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jpeg" ContentType="image/jpeg"/>
  <Default Extension="JPG" ContentType="image/.jpg"/>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0" w:firstLineChars="0"/>
        <w:jc w:val="center"/>
        <w:rPr>
          <w:rFonts w:ascii="黑体" w:hAnsi="黑体" w:eastAsia="黑体"/>
          <w:b/>
          <w:sz w:val="36"/>
          <w:szCs w:val="36"/>
        </w:rPr>
      </w:pPr>
      <w:bookmarkStart w:id="0" w:name="_Toc7763"/>
      <w:r>
        <w:rPr>
          <w:rFonts w:hint="eastAsia" w:ascii="黑体" w:hAnsi="黑体" w:eastAsia="黑体"/>
          <w:b/>
          <w:sz w:val="36"/>
          <w:szCs w:val="36"/>
        </w:rPr>
        <w:t>前  言</w:t>
      </w:r>
      <w:bookmarkEnd w:id="0"/>
    </w:p>
    <w:p>
      <w:pPr>
        <w:ind w:firstLine="560"/>
        <w:rPr>
          <w:rFonts w:ascii="宋体" w:hAnsi="宋体" w:cs="宋体"/>
          <w:szCs w:val="28"/>
        </w:rPr>
      </w:pPr>
      <w:bookmarkStart w:id="1" w:name="_Hlk46135558"/>
      <w:r>
        <w:rPr>
          <w:rFonts w:ascii="宋体" w:hAnsi="宋体"/>
          <w:szCs w:val="20"/>
        </w:rPr>
        <w:t>随着我国</w:t>
      </w:r>
      <w:r>
        <w:rPr>
          <w:rFonts w:hint="eastAsia" w:ascii="宋体" w:hAnsi="宋体"/>
          <w:szCs w:val="20"/>
        </w:rPr>
        <w:t>法治化</w:t>
      </w:r>
      <w:r>
        <w:rPr>
          <w:rFonts w:ascii="宋体" w:hAnsi="宋体"/>
          <w:szCs w:val="20"/>
        </w:rPr>
        <w:t>的日趋健全和完善，安全生产监督管理体系也逐步向科学化、规范化、制度化发展，安全评价作为现代先进安全生产管理模式的主要内容之一越来越受到重视。“安全</w:t>
      </w:r>
      <w:r>
        <w:rPr>
          <w:rFonts w:hint="eastAsia" w:ascii="宋体" w:hAnsi="宋体"/>
          <w:szCs w:val="20"/>
        </w:rPr>
        <w:t>第一、</w:t>
      </w:r>
      <w:r>
        <w:rPr>
          <w:rFonts w:ascii="宋体" w:hAnsi="宋体"/>
          <w:szCs w:val="20"/>
        </w:rPr>
        <w:t>预防为主、综合治理”是我们党和国家始终坚持不渝的安全生产方针，开展安全评价正是突出“安全第一”、体现“预防为主”的一项重要工作。安全设施竣工验收评价可以为各级应急管理部门提供有力的技术支撑依据。</w:t>
      </w:r>
    </w:p>
    <w:p>
      <w:pPr>
        <w:ind w:firstLine="560"/>
        <w:rPr>
          <w:rFonts w:ascii="宋体" w:hAnsi="宋体"/>
          <w:snapToGrid w:val="0"/>
          <w:color w:val="000000"/>
          <w:kern w:val="0"/>
          <w:shd w:val="clear" w:color="auto" w:fill="FFFFFF"/>
        </w:rPr>
      </w:pPr>
      <w:r>
        <w:rPr>
          <w:rFonts w:hint="eastAsia" w:ascii="宋体" w:hAnsi="宋体" w:cs="宋体"/>
          <w:szCs w:val="28"/>
        </w:rPr>
        <w:t>云</w:t>
      </w:r>
      <w:r>
        <w:rPr>
          <w:rFonts w:hint="eastAsia" w:ascii="宋体" w:hAnsi="宋体"/>
          <w:snapToGrid w:val="0"/>
          <w:color w:val="000000"/>
          <w:kern w:val="0"/>
          <w:shd w:val="clear" w:color="auto" w:fill="FFFFFF"/>
        </w:rPr>
        <w:t>南大姚祥华工业制造股份公司成立于2018年01月09日，注册地位于云南省楚雄彝族自治州大姚县金碧镇工业园区南山坝工业片区，统一社会信用代码为91532326MA6MXWCJ75，法定代表人为王振洪。经营范围包括汽车、内燃机、农业机械、拖拉机、机床、环保设备、铸件、机械设备零配件和整机生产制造、装配、销售；农业机械配件、工程机械、普通机械、焊接设备、机电产品、橡胶制品、五金交电、建筑材料，汽车配件、生铁、钢材、汽车的销售；农业机械、工程机械设备安装、维修、租赁；生产性废旧金属、非生产性废旧金属、非金属再生资源的回收、销售。</w:t>
      </w:r>
    </w:p>
    <w:p>
      <w:pPr>
        <w:ind w:firstLine="560"/>
        <w:rPr>
          <w:rFonts w:ascii="宋体" w:hAnsi="宋体" w:cs="宋体"/>
          <w:szCs w:val="28"/>
        </w:rPr>
      </w:pPr>
      <w:r>
        <w:rPr>
          <w:rFonts w:hint="eastAsia" w:ascii="宋体" w:hAnsi="宋体" w:cs="宋体"/>
          <w:szCs w:val="28"/>
        </w:rPr>
        <w:t>云南大姚祥华工业制造股份公司成立之前老厂（云南大姚机械配件厂）位于大姚县金碧镇城北路。</w:t>
      </w:r>
      <w:r>
        <w:rPr>
          <w:rFonts w:ascii="宋体" w:hAnsi="宋体" w:cs="宋体"/>
          <w:szCs w:val="28"/>
        </w:rPr>
        <w:t>由于厂区大部分厂房属于</w:t>
      </w:r>
      <w:r>
        <w:rPr>
          <w:rFonts w:hint="eastAsia" w:ascii="宋体" w:hAnsi="宋体" w:cs="宋体"/>
          <w:szCs w:val="28"/>
        </w:rPr>
        <w:t>20世纪80</w:t>
      </w:r>
      <w:r>
        <w:rPr>
          <w:rFonts w:ascii="宋体" w:hAnsi="宋体" w:cs="宋体"/>
          <w:szCs w:val="28"/>
        </w:rPr>
        <w:t>、</w:t>
      </w:r>
      <w:r>
        <w:rPr>
          <w:rFonts w:hint="eastAsia" w:ascii="宋体" w:hAnsi="宋体" w:cs="宋体"/>
          <w:szCs w:val="28"/>
        </w:rPr>
        <w:t>90</w:t>
      </w:r>
      <w:r>
        <w:rPr>
          <w:rFonts w:ascii="宋体" w:hAnsi="宋体" w:cs="宋体"/>
          <w:szCs w:val="28"/>
        </w:rPr>
        <w:t>年代建筑，厂房面积小、层高低</w:t>
      </w:r>
      <w:r>
        <w:rPr>
          <w:rFonts w:hint="eastAsia" w:ascii="宋体" w:hAnsi="宋体" w:cs="宋体"/>
          <w:szCs w:val="28"/>
        </w:rPr>
        <w:t>，</w:t>
      </w:r>
      <w:r>
        <w:rPr>
          <w:rFonts w:ascii="宋体" w:hAnsi="宋体" w:cs="宋体"/>
          <w:szCs w:val="28"/>
        </w:rPr>
        <w:t>已</w:t>
      </w:r>
      <w:r>
        <w:rPr>
          <w:rFonts w:hint="eastAsia" w:ascii="宋体" w:hAnsi="宋体" w:cs="宋体"/>
          <w:szCs w:val="28"/>
        </w:rPr>
        <w:t>经</w:t>
      </w:r>
      <w:r>
        <w:rPr>
          <w:rFonts w:ascii="宋体" w:hAnsi="宋体" w:cs="宋体"/>
          <w:szCs w:val="28"/>
        </w:rPr>
        <w:t>无法满足现在生产线的</w:t>
      </w:r>
      <w:r>
        <w:rPr>
          <w:rFonts w:hint="eastAsia" w:ascii="宋体" w:hAnsi="宋体" w:cs="宋体"/>
          <w:szCs w:val="28"/>
        </w:rPr>
        <w:t>技术产量</w:t>
      </w:r>
      <w:r>
        <w:rPr>
          <w:rFonts w:ascii="宋体" w:hAnsi="宋体" w:cs="宋体"/>
          <w:szCs w:val="28"/>
        </w:rPr>
        <w:t>要求</w:t>
      </w:r>
      <w:r>
        <w:rPr>
          <w:rFonts w:hint="eastAsia" w:ascii="宋体" w:hAnsi="宋体" w:cs="宋体"/>
          <w:szCs w:val="28"/>
        </w:rPr>
        <w:t>。且</w:t>
      </w:r>
      <w:r>
        <w:rPr>
          <w:rFonts w:ascii="宋体" w:hAnsi="宋体" w:cs="宋体"/>
          <w:szCs w:val="28"/>
        </w:rPr>
        <w:t>厂区已规划为棚户区改造范围</w:t>
      </w:r>
      <w:r>
        <w:rPr>
          <w:rFonts w:hint="eastAsia" w:ascii="宋体" w:hAnsi="宋体" w:cs="宋体"/>
          <w:szCs w:val="28"/>
        </w:rPr>
        <w:t>，</w:t>
      </w:r>
      <w:r>
        <w:rPr>
          <w:rFonts w:ascii="宋体" w:hAnsi="宋体" w:cs="宋体"/>
          <w:szCs w:val="28"/>
        </w:rPr>
        <w:t>无法进行大型改扩建。</w:t>
      </w:r>
      <w:r>
        <w:rPr>
          <w:rFonts w:hint="eastAsia" w:ascii="宋体" w:hAnsi="宋体" w:cs="宋体"/>
          <w:szCs w:val="28"/>
        </w:rPr>
        <w:t>为解决厂房制约因素，故设计规划云南大姚机械配件厂</w:t>
      </w:r>
      <w:r>
        <w:rPr>
          <w:rFonts w:hint="eastAsia"/>
        </w:rPr>
        <w:t>退城入园整体技改搬迁</w:t>
      </w:r>
      <w:r>
        <w:rPr>
          <w:rFonts w:ascii="宋体" w:hAnsi="宋体" w:cs="宋体"/>
          <w:szCs w:val="28"/>
        </w:rPr>
        <w:t>至大姚工业园区南山坝工业片区</w:t>
      </w:r>
      <w:r>
        <w:rPr>
          <w:rFonts w:hint="eastAsia" w:ascii="宋体" w:hAnsi="宋体" w:cs="宋体"/>
          <w:szCs w:val="28"/>
        </w:rPr>
        <w:t>。</w:t>
      </w:r>
    </w:p>
    <w:p>
      <w:pPr>
        <w:ind w:firstLine="560"/>
      </w:pPr>
      <w:r>
        <w:rPr>
          <w:rFonts w:hint="eastAsia"/>
        </w:rPr>
        <w:t>云南大姚机械配件厂2017年8月委托云南省机械研究设计院编制了《云南大姚机械配件厂退城入园整体技改搬迁项目可行性研究报告》，并向大姚县工业园区管理委员会提交了入园申请。2017年9月23日大姚县人民政府对项目入园进行了批准（《大姚县人民政府关于云南大姚机械配件厂退城入园整体技改搬迁项目修建性详细规划的批复》（大政复〔2017〕72号））。2018年1月4日大姚县国土资源局出具《关于大姚机械配件厂退城人园整体技改搬迁项目用地情况说明》；2018年1月9日注册成立云南大姚祥华工业制造股份公司；2018年1月17日取得大姚县发展和改革委员会出具的《投资备案证》（项目代码2018-532326-36-03-017420）；2018年1月22日取得大姚县住房和城乡建设局下发的《建设用地规划许可证》（地字第大姚村镇201800004号）；2018年1月25日取得大姚县住房和城乡建设局下发的《建设工程规划许可证》（建字第大姚村镇201800008号）；2018年2月9日取得《楚雄州环境保护局准予行政许可决定书》(楚环许准〔2018〕3号)。项目由云南木盛和岩土工程有限公司勘察，由云南广厦规划建筑设计院有限公司设计，于2018年3月15日开工建设。建筑安装施工单位昆明三合钢结构制造有限公司，监理单位楚雄市华联建设项目管理有限公司。</w:t>
      </w:r>
    </w:p>
    <w:p>
      <w:pPr>
        <w:ind w:firstLine="560"/>
      </w:pPr>
      <w:r>
        <w:rPr>
          <w:rFonts w:hint="eastAsia"/>
        </w:rPr>
        <w:t>因建设项目安全“三同时”手续不完善，大姚县工业信息化商务科学技术局要求补充完善安全“三同时”手续，该建设项目安全设施设计专篇经审查通过后方可开工建设。云南大姚祥华工业制造股份公司委托贵州荣基安全科技有限责任公司于2020年7月编制完成《云南大姚机械配件厂退城入园整体技改搬迁项目安全生产条件和设施综合分析报告》，并委托辽宁海慧工程技术有限公司进行安全设施设计。2021年7月9日经大姚县工业信息化商务科学技术局组织专家和有关单位审查后，出具安全条件审查意见书《工业企业建设项目安全条件审查意见书大工业项目》（安条审字〔2021〕1号）同意将《云南大姚机械配件厂退城入园整体技改搬迁项目安全生产条件和设施综合分析报告》作为该建设项目安全设施的设计依据之一。2021年7月21日大姚县工业信息化商务科学技术局出具安全设施设计审查意见书《工业企业建设项目安全设施设计审查意见书》（大工业项目安设审字〔2021〕1号），同意该建设项目安全设施设计专篇。2022年7月26日大姚县工业信息化商务科学技术局出具了《关于同意&lt;云南大姚祥华工业制造股份公司生产安全事故应急预案&gt;报备的通知》。2022年8月24日，项目建筑工程进行了竣工验收，各项验收项目合格。大姚县住房和城乡建设局于当日根据云南盈恩检测技术有限公司提供的《建筑消防设施检测评价报告》[YN20220046]及建设工程现场评定情况出具了《特殊建设工程消防验收意见书》(大住建消验字〔2022〕第008号)，验收结论为合格。</w:t>
      </w:r>
    </w:p>
    <w:bookmarkEnd w:id="1"/>
    <w:p>
      <w:pPr>
        <w:adjustRightInd w:val="0"/>
        <w:snapToGrid w:val="0"/>
        <w:ind w:firstLine="560"/>
      </w:pPr>
      <w:r>
        <w:t>根据国家基本建设程序和《建设项目安全设施“三同时”监督管理办法》，（国家安全生产监督管理总局</w:t>
      </w:r>
      <w:r>
        <w:rPr>
          <w:rFonts w:hint="eastAsia"/>
          <w:lang w:eastAsia="zh-CN"/>
        </w:rPr>
        <w:t>令</w:t>
      </w:r>
      <w:r>
        <w:rPr>
          <w:rFonts w:hint="eastAsia"/>
          <w:lang w:val="en-US" w:eastAsia="zh-CN"/>
        </w:rPr>
        <w:t>第</w:t>
      </w:r>
      <w:r>
        <w:t>36号发布，根据国家安全生产监督管理总局令第77号令修改）</w:t>
      </w:r>
      <w:r>
        <w:rPr>
          <w:rFonts w:hint="eastAsia"/>
        </w:rPr>
        <w:t>、《冶金企业和有色金属企业安全生产规定》（原国家安全生产监督管理总局令第91号）</w:t>
      </w:r>
      <w:r>
        <w:t>等国家有关安全生产</w:t>
      </w:r>
      <w:r>
        <w:rPr>
          <w:rFonts w:hint="eastAsia"/>
        </w:rPr>
        <w:t>法律法规</w:t>
      </w:r>
      <w:r>
        <w:t>，</w:t>
      </w:r>
      <w:r>
        <w:rPr>
          <w:rFonts w:hint="eastAsia"/>
        </w:rPr>
        <w:t>云南大姚祥华工业制造股份公司委托昭通市鼎安科技有限公司承担云南大姚机械配件厂退城入园整体技改搬迁项目安全设施竣工验收评价工作。</w:t>
      </w:r>
    </w:p>
    <w:p>
      <w:pPr>
        <w:adjustRightInd w:val="0"/>
        <w:snapToGrid w:val="0"/>
        <w:ind w:firstLine="560"/>
      </w:pPr>
      <w:r>
        <w:t>在接受企业安全设施验收评价工作的委托之后，</w:t>
      </w:r>
      <w:bookmarkStart w:id="2" w:name="_Hlk38458675"/>
      <w:r>
        <w:rPr>
          <w:rFonts w:hint="eastAsia"/>
        </w:rPr>
        <w:t>昭通市鼎安科技有限公司根据评价对象及范围，组建</w:t>
      </w:r>
      <w:r>
        <w:rPr>
          <w:rFonts w:hint="eastAsia"/>
          <w:lang w:val="en-US" w:eastAsia="zh-CN"/>
        </w:rPr>
        <w:t>项目</w:t>
      </w:r>
      <w:r>
        <w:rPr>
          <w:rFonts w:hint="eastAsia"/>
        </w:rPr>
        <w:t>安全评价组。在认真分析项目风险，收集国家法律法规、部门规章、地方性法规及规范性文件、国家标准、行业标准、规程、规范以及企业提供的相关资料的基础上。公司遵照相关规定和公司作业指导书的要求进行了多次现场实地调查和勘验工作</w:t>
      </w:r>
      <w:bookmarkEnd w:id="2"/>
      <w:r>
        <w:rPr>
          <w:rFonts w:hint="eastAsia"/>
        </w:rPr>
        <w:t>，并就安全生产设施方面存在的问题与企业方相关人员进行了交流和沟通</w:t>
      </w:r>
      <w:r>
        <w:t>。</w:t>
      </w:r>
    </w:p>
    <w:p>
      <w:pPr>
        <w:ind w:firstLine="560"/>
      </w:pPr>
      <w:r>
        <w:t>根据</w:t>
      </w:r>
      <w:r>
        <w:rPr>
          <w:rFonts w:hint="eastAsia"/>
        </w:rPr>
        <w:t>企业</w:t>
      </w:r>
      <w:r>
        <w:t>提交资料及现场</w:t>
      </w:r>
      <w:r>
        <w:rPr>
          <w:rFonts w:hint="eastAsia"/>
        </w:rPr>
        <w:t>收集</w:t>
      </w:r>
      <w:r>
        <w:t>的资料、数据，辨识与分析危险、有害因素，并确定其危险程度。合理划分评价单元，选择评价方法，进行定性、定量评价和分析，提出相应的对策措施和建议。经过综合分析后提出结论与建议，完成安全设施竣工验收评价报告的编制，并提交公司进行三级审核定稿。最终</w:t>
      </w:r>
      <w:r>
        <w:rPr>
          <w:rFonts w:hint="eastAsia"/>
        </w:rPr>
        <w:t>完成了</w:t>
      </w:r>
      <w:r>
        <w:t>《</w:t>
      </w:r>
      <w:r>
        <w:rPr>
          <w:rFonts w:hint="eastAsia"/>
        </w:rPr>
        <w:t>云南大姚机械配件厂退城入园整体技改搬迁项目安全设施验收评价报告</w:t>
      </w:r>
      <w:r>
        <w:t>》。</w:t>
      </w:r>
    </w:p>
    <w:p>
      <w:pPr>
        <w:ind w:firstLine="560"/>
      </w:pPr>
      <w:r>
        <w:rPr>
          <w:rFonts w:hint="eastAsia"/>
        </w:rPr>
        <w:t>本评价涉及的有关原始资料由委托方提供，并对其真实性负责。本报告在编写过程中，得到了企业的积极支持和配合，在此表示衷心的感谢！</w:t>
      </w:r>
    </w:p>
    <w:p>
      <w:pPr>
        <w:ind w:firstLine="560"/>
      </w:pPr>
    </w:p>
    <w:p>
      <w:pPr>
        <w:pStyle w:val="2"/>
        <w:ind w:firstLine="560"/>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pgNumType w:fmt="upperRoman"/>
          <w:cols w:space="425" w:num="1"/>
          <w:docGrid w:type="lines" w:linePitch="312" w:charSpace="0"/>
        </w:sectPr>
      </w:pPr>
    </w:p>
    <w:p>
      <w:pPr>
        <w:ind w:firstLine="643"/>
        <w:jc w:val="center"/>
        <w:rPr>
          <w:b/>
          <w:sz w:val="32"/>
          <w:szCs w:val="32"/>
        </w:rPr>
      </w:pPr>
      <w:r>
        <w:rPr>
          <w:rFonts w:hint="eastAsia"/>
          <w:b/>
          <w:sz w:val="32"/>
          <w:szCs w:val="32"/>
        </w:rPr>
        <w:t>目  录</w:t>
      </w:r>
    </w:p>
    <w:p>
      <w:pPr>
        <w:pStyle w:val="23"/>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TOC \o "1-3" \h \z \u </w:instrText>
      </w:r>
      <w:r>
        <w:rPr>
          <w:rFonts w:hint="eastAsia" w:ascii="宋体" w:hAnsi="宋体" w:eastAsia="宋体" w:cs="宋体"/>
          <w:sz w:val="24"/>
          <w:szCs w:val="24"/>
        </w:rPr>
        <w:fldChar w:fldCharType="separate"/>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_Toc11464 </w:instrText>
      </w:r>
      <w:r>
        <w:rPr>
          <w:rFonts w:hint="eastAsia" w:ascii="宋体" w:hAnsi="宋体" w:eastAsia="宋体" w:cs="宋体"/>
          <w:sz w:val="24"/>
          <w:szCs w:val="24"/>
        </w:rPr>
        <w:fldChar w:fldCharType="separate"/>
      </w:r>
      <w:r>
        <w:rPr>
          <w:rFonts w:hint="default" w:ascii="宋体" w:hAnsi="宋体" w:eastAsia="宋体" w:cs="宋体"/>
          <w:sz w:val="24"/>
          <w:szCs w:val="24"/>
        </w:rPr>
        <w:t xml:space="preserve">1. </w:t>
      </w:r>
      <w:r>
        <w:rPr>
          <w:rFonts w:hint="eastAsia"/>
          <w:sz w:val="24"/>
          <w:szCs w:val="24"/>
        </w:rPr>
        <w:t>评价说明</w:t>
      </w:r>
      <w:r>
        <w:rPr>
          <w:sz w:val="24"/>
          <w:szCs w:val="24"/>
        </w:rPr>
        <w:tab/>
      </w:r>
      <w:r>
        <w:rPr>
          <w:sz w:val="24"/>
          <w:szCs w:val="24"/>
        </w:rPr>
        <w:fldChar w:fldCharType="begin"/>
      </w:r>
      <w:r>
        <w:rPr>
          <w:sz w:val="24"/>
          <w:szCs w:val="24"/>
        </w:rPr>
        <w:instrText xml:space="preserve"> PAGEREF _Toc11464 \h </w:instrText>
      </w:r>
      <w:r>
        <w:rPr>
          <w:sz w:val="24"/>
          <w:szCs w:val="24"/>
        </w:rPr>
        <w:fldChar w:fldCharType="separate"/>
      </w:r>
      <w:r>
        <w:rPr>
          <w:sz w:val="24"/>
          <w:szCs w:val="24"/>
        </w:rPr>
        <w:t>1</w:t>
      </w:r>
      <w:r>
        <w:rPr>
          <w:sz w:val="24"/>
          <w:szCs w:val="24"/>
        </w:rPr>
        <w:fldChar w:fldCharType="end"/>
      </w:r>
      <w:r>
        <w:rPr>
          <w:rFonts w:hint="eastAsia" w:ascii="宋体" w:hAnsi="宋体" w:eastAsia="宋体" w:cs="宋体"/>
          <w:sz w:val="24"/>
          <w:szCs w:val="24"/>
        </w:rPr>
        <w:fldChar w:fldCharType="end"/>
      </w:r>
    </w:p>
    <w:p>
      <w:pPr>
        <w:pStyle w:val="26"/>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_Toc18006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1.1 </w:t>
      </w:r>
      <w:r>
        <w:rPr>
          <w:rFonts w:hint="eastAsia"/>
          <w:sz w:val="24"/>
          <w:szCs w:val="24"/>
        </w:rPr>
        <w:t>评价对象和范围</w:t>
      </w:r>
      <w:r>
        <w:rPr>
          <w:sz w:val="24"/>
          <w:szCs w:val="24"/>
        </w:rPr>
        <w:tab/>
      </w:r>
      <w:r>
        <w:rPr>
          <w:sz w:val="24"/>
          <w:szCs w:val="24"/>
        </w:rPr>
        <w:fldChar w:fldCharType="begin"/>
      </w:r>
      <w:r>
        <w:rPr>
          <w:sz w:val="24"/>
          <w:szCs w:val="24"/>
        </w:rPr>
        <w:instrText xml:space="preserve"> PAGEREF _Toc18006 \h </w:instrText>
      </w:r>
      <w:r>
        <w:rPr>
          <w:sz w:val="24"/>
          <w:szCs w:val="24"/>
        </w:rPr>
        <w:fldChar w:fldCharType="separate"/>
      </w:r>
      <w:r>
        <w:rPr>
          <w:sz w:val="24"/>
          <w:szCs w:val="24"/>
        </w:rPr>
        <w:t>1</w:t>
      </w:r>
      <w:r>
        <w:rPr>
          <w:sz w:val="24"/>
          <w:szCs w:val="24"/>
        </w:rPr>
        <w:fldChar w:fldCharType="end"/>
      </w:r>
      <w:r>
        <w:rPr>
          <w:rFonts w:hint="eastAsia" w:ascii="宋体" w:hAnsi="宋体" w:eastAsia="宋体" w:cs="宋体"/>
          <w:sz w:val="24"/>
          <w:szCs w:val="24"/>
        </w:rPr>
        <w:fldChar w:fldCharType="end"/>
      </w:r>
    </w:p>
    <w:p>
      <w:pPr>
        <w:pStyle w:val="17"/>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_Toc32302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1.1.1 </w:t>
      </w:r>
      <w:r>
        <w:rPr>
          <w:rFonts w:hint="eastAsia"/>
          <w:sz w:val="24"/>
          <w:szCs w:val="24"/>
        </w:rPr>
        <w:t>评价对象</w:t>
      </w:r>
      <w:r>
        <w:rPr>
          <w:sz w:val="24"/>
          <w:szCs w:val="24"/>
        </w:rPr>
        <w:tab/>
      </w:r>
      <w:r>
        <w:rPr>
          <w:sz w:val="24"/>
          <w:szCs w:val="24"/>
        </w:rPr>
        <w:fldChar w:fldCharType="begin"/>
      </w:r>
      <w:r>
        <w:rPr>
          <w:sz w:val="24"/>
          <w:szCs w:val="24"/>
        </w:rPr>
        <w:instrText xml:space="preserve"> PAGEREF _Toc32302 \h </w:instrText>
      </w:r>
      <w:r>
        <w:rPr>
          <w:sz w:val="24"/>
          <w:szCs w:val="24"/>
        </w:rPr>
        <w:fldChar w:fldCharType="separate"/>
      </w:r>
      <w:r>
        <w:rPr>
          <w:sz w:val="24"/>
          <w:szCs w:val="24"/>
        </w:rPr>
        <w:t>1</w:t>
      </w:r>
      <w:r>
        <w:rPr>
          <w:sz w:val="24"/>
          <w:szCs w:val="24"/>
        </w:rPr>
        <w:fldChar w:fldCharType="end"/>
      </w:r>
      <w:r>
        <w:rPr>
          <w:rFonts w:hint="eastAsia" w:ascii="宋体" w:hAnsi="宋体" w:eastAsia="宋体" w:cs="宋体"/>
          <w:sz w:val="24"/>
          <w:szCs w:val="24"/>
        </w:rPr>
        <w:fldChar w:fldCharType="end"/>
      </w:r>
    </w:p>
    <w:p>
      <w:pPr>
        <w:pStyle w:val="17"/>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_Toc4748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1.1.2 </w:t>
      </w:r>
      <w:r>
        <w:rPr>
          <w:rFonts w:hint="eastAsia"/>
          <w:sz w:val="24"/>
          <w:szCs w:val="24"/>
        </w:rPr>
        <w:t>评价范围</w:t>
      </w:r>
      <w:r>
        <w:rPr>
          <w:sz w:val="24"/>
          <w:szCs w:val="24"/>
        </w:rPr>
        <w:tab/>
      </w:r>
      <w:r>
        <w:rPr>
          <w:sz w:val="24"/>
          <w:szCs w:val="24"/>
        </w:rPr>
        <w:fldChar w:fldCharType="begin"/>
      </w:r>
      <w:r>
        <w:rPr>
          <w:sz w:val="24"/>
          <w:szCs w:val="24"/>
        </w:rPr>
        <w:instrText xml:space="preserve"> PAGEREF _Toc4748 \h </w:instrText>
      </w:r>
      <w:r>
        <w:rPr>
          <w:sz w:val="24"/>
          <w:szCs w:val="24"/>
        </w:rPr>
        <w:fldChar w:fldCharType="separate"/>
      </w:r>
      <w:r>
        <w:rPr>
          <w:sz w:val="24"/>
          <w:szCs w:val="24"/>
        </w:rPr>
        <w:t>1</w:t>
      </w:r>
      <w:r>
        <w:rPr>
          <w:sz w:val="24"/>
          <w:szCs w:val="24"/>
        </w:rPr>
        <w:fldChar w:fldCharType="end"/>
      </w:r>
      <w:r>
        <w:rPr>
          <w:rFonts w:hint="eastAsia" w:ascii="宋体" w:hAnsi="宋体" w:eastAsia="宋体" w:cs="宋体"/>
          <w:sz w:val="24"/>
          <w:szCs w:val="24"/>
        </w:rPr>
        <w:fldChar w:fldCharType="end"/>
      </w:r>
    </w:p>
    <w:p>
      <w:pPr>
        <w:pStyle w:val="26"/>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_Toc1393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1.2 </w:t>
      </w:r>
      <w:r>
        <w:rPr>
          <w:rFonts w:hint="eastAsia"/>
          <w:sz w:val="24"/>
          <w:szCs w:val="24"/>
        </w:rPr>
        <w:t>评价依据</w:t>
      </w:r>
      <w:r>
        <w:rPr>
          <w:sz w:val="24"/>
          <w:szCs w:val="24"/>
        </w:rPr>
        <w:tab/>
      </w:r>
      <w:r>
        <w:rPr>
          <w:sz w:val="24"/>
          <w:szCs w:val="24"/>
        </w:rPr>
        <w:fldChar w:fldCharType="begin"/>
      </w:r>
      <w:r>
        <w:rPr>
          <w:sz w:val="24"/>
          <w:szCs w:val="24"/>
        </w:rPr>
        <w:instrText xml:space="preserve"> PAGEREF _Toc1393 \h </w:instrText>
      </w:r>
      <w:r>
        <w:rPr>
          <w:sz w:val="24"/>
          <w:szCs w:val="24"/>
        </w:rPr>
        <w:fldChar w:fldCharType="separate"/>
      </w:r>
      <w:r>
        <w:rPr>
          <w:sz w:val="24"/>
          <w:szCs w:val="24"/>
        </w:rPr>
        <w:t>1</w:t>
      </w:r>
      <w:r>
        <w:rPr>
          <w:sz w:val="24"/>
          <w:szCs w:val="24"/>
        </w:rPr>
        <w:fldChar w:fldCharType="end"/>
      </w:r>
      <w:r>
        <w:rPr>
          <w:rFonts w:hint="eastAsia" w:ascii="宋体" w:hAnsi="宋体" w:eastAsia="宋体" w:cs="宋体"/>
          <w:sz w:val="24"/>
          <w:szCs w:val="24"/>
        </w:rPr>
        <w:fldChar w:fldCharType="end"/>
      </w:r>
    </w:p>
    <w:p>
      <w:pPr>
        <w:pStyle w:val="17"/>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_Toc12722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1.2.1 </w:t>
      </w:r>
      <w:r>
        <w:rPr>
          <w:rFonts w:hint="eastAsia"/>
          <w:sz w:val="24"/>
          <w:szCs w:val="24"/>
        </w:rPr>
        <w:t>法律法规、部门规章及规范性文件</w:t>
      </w:r>
      <w:r>
        <w:rPr>
          <w:sz w:val="24"/>
          <w:szCs w:val="24"/>
        </w:rPr>
        <w:tab/>
      </w:r>
      <w:r>
        <w:rPr>
          <w:sz w:val="24"/>
          <w:szCs w:val="24"/>
        </w:rPr>
        <w:fldChar w:fldCharType="begin"/>
      </w:r>
      <w:r>
        <w:rPr>
          <w:sz w:val="24"/>
          <w:szCs w:val="24"/>
        </w:rPr>
        <w:instrText xml:space="preserve"> PAGEREF _Toc12722 \h </w:instrText>
      </w:r>
      <w:r>
        <w:rPr>
          <w:sz w:val="24"/>
          <w:szCs w:val="24"/>
        </w:rPr>
        <w:fldChar w:fldCharType="separate"/>
      </w:r>
      <w:r>
        <w:rPr>
          <w:sz w:val="24"/>
          <w:szCs w:val="24"/>
        </w:rPr>
        <w:t>1</w:t>
      </w:r>
      <w:r>
        <w:rPr>
          <w:sz w:val="24"/>
          <w:szCs w:val="24"/>
        </w:rPr>
        <w:fldChar w:fldCharType="end"/>
      </w:r>
      <w:r>
        <w:rPr>
          <w:rFonts w:hint="eastAsia" w:ascii="宋体" w:hAnsi="宋体" w:eastAsia="宋体" w:cs="宋体"/>
          <w:sz w:val="24"/>
          <w:szCs w:val="24"/>
        </w:rPr>
        <w:fldChar w:fldCharType="end"/>
      </w:r>
    </w:p>
    <w:p>
      <w:pPr>
        <w:pStyle w:val="17"/>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_Toc8019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1.2.2 </w:t>
      </w:r>
      <w:r>
        <w:rPr>
          <w:rFonts w:hint="eastAsia"/>
          <w:sz w:val="24"/>
          <w:szCs w:val="24"/>
        </w:rPr>
        <w:t>建设项目依据的批准文件或相关合法证明文件</w:t>
      </w:r>
      <w:r>
        <w:rPr>
          <w:sz w:val="24"/>
          <w:szCs w:val="24"/>
        </w:rPr>
        <w:tab/>
      </w:r>
      <w:r>
        <w:rPr>
          <w:sz w:val="24"/>
          <w:szCs w:val="24"/>
        </w:rPr>
        <w:fldChar w:fldCharType="begin"/>
      </w:r>
      <w:r>
        <w:rPr>
          <w:sz w:val="24"/>
          <w:szCs w:val="24"/>
        </w:rPr>
        <w:instrText xml:space="preserve"> PAGEREF _Toc8019 \h </w:instrText>
      </w:r>
      <w:r>
        <w:rPr>
          <w:sz w:val="24"/>
          <w:szCs w:val="24"/>
        </w:rPr>
        <w:fldChar w:fldCharType="separate"/>
      </w:r>
      <w:r>
        <w:rPr>
          <w:sz w:val="24"/>
          <w:szCs w:val="24"/>
        </w:rPr>
        <w:t>8</w:t>
      </w:r>
      <w:r>
        <w:rPr>
          <w:sz w:val="24"/>
          <w:szCs w:val="24"/>
        </w:rPr>
        <w:fldChar w:fldCharType="end"/>
      </w:r>
      <w:r>
        <w:rPr>
          <w:rFonts w:hint="eastAsia" w:ascii="宋体" w:hAnsi="宋体" w:eastAsia="宋体" w:cs="宋体"/>
          <w:sz w:val="24"/>
          <w:szCs w:val="24"/>
        </w:rPr>
        <w:fldChar w:fldCharType="end"/>
      </w:r>
    </w:p>
    <w:p>
      <w:pPr>
        <w:pStyle w:val="17"/>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_Toc15284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1.2.3 </w:t>
      </w:r>
      <w:r>
        <w:rPr>
          <w:rFonts w:hint="eastAsia"/>
          <w:sz w:val="24"/>
          <w:szCs w:val="24"/>
        </w:rPr>
        <w:t>建设项目技术资料</w:t>
      </w:r>
      <w:r>
        <w:rPr>
          <w:sz w:val="24"/>
          <w:szCs w:val="24"/>
        </w:rPr>
        <w:tab/>
      </w:r>
      <w:r>
        <w:rPr>
          <w:sz w:val="24"/>
          <w:szCs w:val="24"/>
        </w:rPr>
        <w:fldChar w:fldCharType="begin"/>
      </w:r>
      <w:r>
        <w:rPr>
          <w:sz w:val="24"/>
          <w:szCs w:val="24"/>
        </w:rPr>
        <w:instrText xml:space="preserve"> PAGEREF _Toc15284 \h </w:instrText>
      </w:r>
      <w:r>
        <w:rPr>
          <w:sz w:val="24"/>
          <w:szCs w:val="24"/>
        </w:rPr>
        <w:fldChar w:fldCharType="separate"/>
      </w:r>
      <w:r>
        <w:rPr>
          <w:sz w:val="24"/>
          <w:szCs w:val="24"/>
        </w:rPr>
        <w:t>9</w:t>
      </w:r>
      <w:r>
        <w:rPr>
          <w:sz w:val="24"/>
          <w:szCs w:val="24"/>
        </w:rPr>
        <w:fldChar w:fldCharType="end"/>
      </w:r>
      <w:r>
        <w:rPr>
          <w:rFonts w:hint="eastAsia" w:ascii="宋体" w:hAnsi="宋体" w:eastAsia="宋体" w:cs="宋体"/>
          <w:sz w:val="24"/>
          <w:szCs w:val="24"/>
        </w:rPr>
        <w:fldChar w:fldCharType="end"/>
      </w:r>
    </w:p>
    <w:p>
      <w:pPr>
        <w:pStyle w:val="17"/>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_Toc16761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1.2.4 </w:t>
      </w:r>
      <w:r>
        <w:rPr>
          <w:rFonts w:hint="eastAsia"/>
          <w:sz w:val="24"/>
          <w:szCs w:val="24"/>
        </w:rPr>
        <w:t>其他评价依据</w:t>
      </w:r>
      <w:r>
        <w:rPr>
          <w:sz w:val="24"/>
          <w:szCs w:val="24"/>
        </w:rPr>
        <w:tab/>
      </w:r>
      <w:r>
        <w:rPr>
          <w:sz w:val="24"/>
          <w:szCs w:val="24"/>
        </w:rPr>
        <w:fldChar w:fldCharType="begin"/>
      </w:r>
      <w:r>
        <w:rPr>
          <w:sz w:val="24"/>
          <w:szCs w:val="24"/>
        </w:rPr>
        <w:instrText xml:space="preserve"> PAGEREF _Toc16761 \h </w:instrText>
      </w:r>
      <w:r>
        <w:rPr>
          <w:sz w:val="24"/>
          <w:szCs w:val="24"/>
        </w:rPr>
        <w:fldChar w:fldCharType="separate"/>
      </w:r>
      <w:r>
        <w:rPr>
          <w:sz w:val="24"/>
          <w:szCs w:val="24"/>
        </w:rPr>
        <w:t>10</w:t>
      </w:r>
      <w:r>
        <w:rPr>
          <w:sz w:val="24"/>
          <w:szCs w:val="24"/>
        </w:rPr>
        <w:fldChar w:fldCharType="end"/>
      </w:r>
      <w:r>
        <w:rPr>
          <w:rFonts w:hint="eastAsia" w:ascii="宋体" w:hAnsi="宋体" w:eastAsia="宋体" w:cs="宋体"/>
          <w:sz w:val="24"/>
          <w:szCs w:val="24"/>
        </w:rPr>
        <w:fldChar w:fldCharType="end"/>
      </w:r>
    </w:p>
    <w:p>
      <w:pPr>
        <w:pStyle w:val="26"/>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_Toc16228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1.3 </w:t>
      </w:r>
      <w:r>
        <w:rPr>
          <w:rFonts w:hint="eastAsia"/>
          <w:sz w:val="24"/>
          <w:szCs w:val="24"/>
        </w:rPr>
        <w:t>评价原则</w:t>
      </w:r>
      <w:r>
        <w:rPr>
          <w:sz w:val="24"/>
          <w:szCs w:val="24"/>
        </w:rPr>
        <w:tab/>
      </w:r>
      <w:r>
        <w:rPr>
          <w:sz w:val="24"/>
          <w:szCs w:val="24"/>
        </w:rPr>
        <w:fldChar w:fldCharType="begin"/>
      </w:r>
      <w:r>
        <w:rPr>
          <w:sz w:val="24"/>
          <w:szCs w:val="24"/>
        </w:rPr>
        <w:instrText xml:space="preserve"> PAGEREF _Toc16228 \h </w:instrText>
      </w:r>
      <w:r>
        <w:rPr>
          <w:sz w:val="24"/>
          <w:szCs w:val="24"/>
        </w:rPr>
        <w:fldChar w:fldCharType="separate"/>
      </w:r>
      <w:r>
        <w:rPr>
          <w:sz w:val="24"/>
          <w:szCs w:val="24"/>
        </w:rPr>
        <w:t>11</w:t>
      </w:r>
      <w:r>
        <w:rPr>
          <w:sz w:val="24"/>
          <w:szCs w:val="24"/>
        </w:rPr>
        <w:fldChar w:fldCharType="end"/>
      </w:r>
      <w:r>
        <w:rPr>
          <w:rFonts w:hint="eastAsia" w:ascii="宋体" w:hAnsi="宋体" w:eastAsia="宋体" w:cs="宋体"/>
          <w:sz w:val="24"/>
          <w:szCs w:val="24"/>
        </w:rPr>
        <w:fldChar w:fldCharType="end"/>
      </w:r>
    </w:p>
    <w:p>
      <w:pPr>
        <w:pStyle w:val="26"/>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_Toc30756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1.4 </w:t>
      </w:r>
      <w:r>
        <w:rPr>
          <w:rFonts w:hint="eastAsia"/>
          <w:sz w:val="24"/>
          <w:szCs w:val="24"/>
        </w:rPr>
        <w:t>评价程序</w:t>
      </w:r>
      <w:r>
        <w:rPr>
          <w:sz w:val="24"/>
          <w:szCs w:val="24"/>
        </w:rPr>
        <w:tab/>
      </w:r>
      <w:r>
        <w:rPr>
          <w:sz w:val="24"/>
          <w:szCs w:val="24"/>
        </w:rPr>
        <w:fldChar w:fldCharType="begin"/>
      </w:r>
      <w:r>
        <w:rPr>
          <w:sz w:val="24"/>
          <w:szCs w:val="24"/>
        </w:rPr>
        <w:instrText xml:space="preserve"> PAGEREF _Toc30756 \h </w:instrText>
      </w:r>
      <w:r>
        <w:rPr>
          <w:sz w:val="24"/>
          <w:szCs w:val="24"/>
        </w:rPr>
        <w:fldChar w:fldCharType="separate"/>
      </w:r>
      <w:r>
        <w:rPr>
          <w:sz w:val="24"/>
          <w:szCs w:val="24"/>
        </w:rPr>
        <w:t>11</w:t>
      </w:r>
      <w:r>
        <w:rPr>
          <w:sz w:val="24"/>
          <w:szCs w:val="24"/>
        </w:rPr>
        <w:fldChar w:fldCharType="end"/>
      </w:r>
      <w:r>
        <w:rPr>
          <w:rFonts w:hint="eastAsia" w:ascii="宋体" w:hAnsi="宋体" w:eastAsia="宋体" w:cs="宋体"/>
          <w:sz w:val="24"/>
          <w:szCs w:val="24"/>
        </w:rPr>
        <w:fldChar w:fldCharType="end"/>
      </w:r>
    </w:p>
    <w:p>
      <w:pPr>
        <w:pStyle w:val="26"/>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_Toc21969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1.5 </w:t>
      </w:r>
      <w:r>
        <w:rPr>
          <w:rFonts w:hint="eastAsia"/>
          <w:sz w:val="24"/>
          <w:szCs w:val="24"/>
        </w:rPr>
        <w:t>评价报告使用权声明</w:t>
      </w:r>
      <w:r>
        <w:rPr>
          <w:sz w:val="24"/>
          <w:szCs w:val="24"/>
        </w:rPr>
        <w:tab/>
      </w:r>
      <w:r>
        <w:rPr>
          <w:sz w:val="24"/>
          <w:szCs w:val="24"/>
        </w:rPr>
        <w:fldChar w:fldCharType="begin"/>
      </w:r>
      <w:r>
        <w:rPr>
          <w:sz w:val="24"/>
          <w:szCs w:val="24"/>
        </w:rPr>
        <w:instrText xml:space="preserve"> PAGEREF _Toc21969 \h </w:instrText>
      </w:r>
      <w:r>
        <w:rPr>
          <w:sz w:val="24"/>
          <w:szCs w:val="24"/>
        </w:rPr>
        <w:fldChar w:fldCharType="separate"/>
      </w:r>
      <w:r>
        <w:rPr>
          <w:sz w:val="24"/>
          <w:szCs w:val="24"/>
        </w:rPr>
        <w:t>13</w:t>
      </w:r>
      <w:r>
        <w:rPr>
          <w:sz w:val="24"/>
          <w:szCs w:val="24"/>
        </w:rPr>
        <w:fldChar w:fldCharType="end"/>
      </w:r>
      <w:r>
        <w:rPr>
          <w:rFonts w:hint="eastAsia" w:ascii="宋体" w:hAnsi="宋体" w:eastAsia="宋体" w:cs="宋体"/>
          <w:sz w:val="24"/>
          <w:szCs w:val="24"/>
        </w:rPr>
        <w:fldChar w:fldCharType="end"/>
      </w:r>
    </w:p>
    <w:p>
      <w:pPr>
        <w:pStyle w:val="26"/>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_Toc1715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1.6 </w:t>
      </w:r>
      <w:r>
        <w:rPr>
          <w:rFonts w:hint="eastAsia"/>
          <w:sz w:val="24"/>
          <w:szCs w:val="24"/>
        </w:rPr>
        <w:t>评价基准日</w:t>
      </w:r>
      <w:r>
        <w:rPr>
          <w:sz w:val="24"/>
          <w:szCs w:val="24"/>
        </w:rPr>
        <w:tab/>
      </w:r>
      <w:r>
        <w:rPr>
          <w:sz w:val="24"/>
          <w:szCs w:val="24"/>
        </w:rPr>
        <w:fldChar w:fldCharType="begin"/>
      </w:r>
      <w:r>
        <w:rPr>
          <w:sz w:val="24"/>
          <w:szCs w:val="24"/>
        </w:rPr>
        <w:instrText xml:space="preserve"> PAGEREF _Toc1715 \h </w:instrText>
      </w:r>
      <w:r>
        <w:rPr>
          <w:sz w:val="24"/>
          <w:szCs w:val="24"/>
        </w:rPr>
        <w:fldChar w:fldCharType="separate"/>
      </w:r>
      <w:r>
        <w:rPr>
          <w:sz w:val="24"/>
          <w:szCs w:val="24"/>
        </w:rPr>
        <w:t>13</w:t>
      </w:r>
      <w:r>
        <w:rPr>
          <w:sz w:val="24"/>
          <w:szCs w:val="24"/>
        </w:rPr>
        <w:fldChar w:fldCharType="end"/>
      </w:r>
      <w:r>
        <w:rPr>
          <w:rFonts w:hint="eastAsia" w:ascii="宋体" w:hAnsi="宋体" w:eastAsia="宋体" w:cs="宋体"/>
          <w:sz w:val="24"/>
          <w:szCs w:val="24"/>
        </w:rPr>
        <w:fldChar w:fldCharType="end"/>
      </w:r>
    </w:p>
    <w:p>
      <w:pPr>
        <w:pStyle w:val="23"/>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_Toc12605 </w:instrText>
      </w:r>
      <w:r>
        <w:rPr>
          <w:rFonts w:hint="eastAsia" w:ascii="宋体" w:hAnsi="宋体" w:eastAsia="宋体" w:cs="宋体"/>
          <w:sz w:val="24"/>
          <w:szCs w:val="24"/>
        </w:rPr>
        <w:fldChar w:fldCharType="separate"/>
      </w:r>
      <w:r>
        <w:rPr>
          <w:rFonts w:hint="default" w:ascii="宋体" w:hAnsi="宋体" w:eastAsia="宋体" w:cs="宋体"/>
          <w:sz w:val="24"/>
          <w:szCs w:val="24"/>
        </w:rPr>
        <w:t xml:space="preserve">2. </w:t>
      </w:r>
      <w:r>
        <w:rPr>
          <w:rFonts w:hint="eastAsia"/>
          <w:sz w:val="24"/>
          <w:szCs w:val="24"/>
        </w:rPr>
        <w:t>建设项目概况</w:t>
      </w:r>
      <w:r>
        <w:rPr>
          <w:sz w:val="24"/>
          <w:szCs w:val="24"/>
        </w:rPr>
        <w:tab/>
      </w:r>
      <w:r>
        <w:rPr>
          <w:sz w:val="24"/>
          <w:szCs w:val="24"/>
        </w:rPr>
        <w:fldChar w:fldCharType="begin"/>
      </w:r>
      <w:r>
        <w:rPr>
          <w:sz w:val="24"/>
          <w:szCs w:val="24"/>
        </w:rPr>
        <w:instrText xml:space="preserve"> PAGEREF _Toc12605 \h </w:instrText>
      </w:r>
      <w:r>
        <w:rPr>
          <w:sz w:val="24"/>
          <w:szCs w:val="24"/>
        </w:rPr>
        <w:fldChar w:fldCharType="separate"/>
      </w:r>
      <w:r>
        <w:rPr>
          <w:sz w:val="24"/>
          <w:szCs w:val="24"/>
        </w:rPr>
        <w:t>14</w:t>
      </w:r>
      <w:r>
        <w:rPr>
          <w:sz w:val="24"/>
          <w:szCs w:val="24"/>
        </w:rPr>
        <w:fldChar w:fldCharType="end"/>
      </w:r>
      <w:r>
        <w:rPr>
          <w:rFonts w:hint="eastAsia" w:ascii="宋体" w:hAnsi="宋体" w:eastAsia="宋体" w:cs="宋体"/>
          <w:sz w:val="24"/>
          <w:szCs w:val="24"/>
        </w:rPr>
        <w:fldChar w:fldCharType="end"/>
      </w:r>
    </w:p>
    <w:p>
      <w:pPr>
        <w:pStyle w:val="26"/>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_Toc26937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2.1 </w:t>
      </w:r>
      <w:r>
        <w:rPr>
          <w:rFonts w:hint="eastAsia"/>
          <w:sz w:val="24"/>
          <w:szCs w:val="24"/>
        </w:rPr>
        <w:t>建设单位基本情况</w:t>
      </w:r>
      <w:r>
        <w:rPr>
          <w:sz w:val="24"/>
          <w:szCs w:val="24"/>
        </w:rPr>
        <w:tab/>
      </w:r>
      <w:r>
        <w:rPr>
          <w:sz w:val="24"/>
          <w:szCs w:val="24"/>
        </w:rPr>
        <w:fldChar w:fldCharType="begin"/>
      </w:r>
      <w:r>
        <w:rPr>
          <w:sz w:val="24"/>
          <w:szCs w:val="24"/>
        </w:rPr>
        <w:instrText xml:space="preserve"> PAGEREF _Toc26937 \h </w:instrText>
      </w:r>
      <w:r>
        <w:rPr>
          <w:sz w:val="24"/>
          <w:szCs w:val="24"/>
        </w:rPr>
        <w:fldChar w:fldCharType="separate"/>
      </w:r>
      <w:r>
        <w:rPr>
          <w:sz w:val="24"/>
          <w:szCs w:val="24"/>
        </w:rPr>
        <w:t>14</w:t>
      </w:r>
      <w:r>
        <w:rPr>
          <w:sz w:val="24"/>
          <w:szCs w:val="24"/>
        </w:rPr>
        <w:fldChar w:fldCharType="end"/>
      </w:r>
      <w:r>
        <w:rPr>
          <w:rFonts w:hint="eastAsia" w:ascii="宋体" w:hAnsi="宋体" w:eastAsia="宋体" w:cs="宋体"/>
          <w:sz w:val="24"/>
          <w:szCs w:val="24"/>
        </w:rPr>
        <w:fldChar w:fldCharType="end"/>
      </w:r>
    </w:p>
    <w:p>
      <w:pPr>
        <w:pStyle w:val="26"/>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_Toc3304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2.2 </w:t>
      </w:r>
      <w:r>
        <w:rPr>
          <w:sz w:val="24"/>
          <w:szCs w:val="24"/>
        </w:rPr>
        <w:t>建设项目性质</w:t>
      </w:r>
      <w:r>
        <w:rPr>
          <w:sz w:val="24"/>
          <w:szCs w:val="24"/>
        </w:rPr>
        <w:tab/>
      </w:r>
      <w:r>
        <w:rPr>
          <w:sz w:val="24"/>
          <w:szCs w:val="24"/>
        </w:rPr>
        <w:fldChar w:fldCharType="begin"/>
      </w:r>
      <w:r>
        <w:rPr>
          <w:sz w:val="24"/>
          <w:szCs w:val="24"/>
        </w:rPr>
        <w:instrText xml:space="preserve"> PAGEREF _Toc3304 \h </w:instrText>
      </w:r>
      <w:r>
        <w:rPr>
          <w:sz w:val="24"/>
          <w:szCs w:val="24"/>
        </w:rPr>
        <w:fldChar w:fldCharType="separate"/>
      </w:r>
      <w:r>
        <w:rPr>
          <w:sz w:val="24"/>
          <w:szCs w:val="24"/>
        </w:rPr>
        <w:t>14</w:t>
      </w:r>
      <w:r>
        <w:rPr>
          <w:sz w:val="24"/>
          <w:szCs w:val="24"/>
        </w:rPr>
        <w:fldChar w:fldCharType="end"/>
      </w:r>
      <w:r>
        <w:rPr>
          <w:rFonts w:hint="eastAsia" w:ascii="宋体" w:hAnsi="宋体" w:eastAsia="宋体" w:cs="宋体"/>
          <w:sz w:val="24"/>
          <w:szCs w:val="24"/>
        </w:rPr>
        <w:fldChar w:fldCharType="end"/>
      </w:r>
    </w:p>
    <w:p>
      <w:pPr>
        <w:pStyle w:val="26"/>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_Toc10148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2.3 </w:t>
      </w:r>
      <w:r>
        <w:rPr>
          <w:rFonts w:hint="eastAsia"/>
          <w:sz w:val="24"/>
          <w:szCs w:val="24"/>
        </w:rPr>
        <w:t>建设项目基本概况</w:t>
      </w:r>
      <w:r>
        <w:rPr>
          <w:sz w:val="24"/>
          <w:szCs w:val="24"/>
        </w:rPr>
        <w:tab/>
      </w:r>
      <w:r>
        <w:rPr>
          <w:sz w:val="24"/>
          <w:szCs w:val="24"/>
        </w:rPr>
        <w:fldChar w:fldCharType="begin"/>
      </w:r>
      <w:r>
        <w:rPr>
          <w:sz w:val="24"/>
          <w:szCs w:val="24"/>
        </w:rPr>
        <w:instrText xml:space="preserve"> PAGEREF _Toc10148 \h </w:instrText>
      </w:r>
      <w:r>
        <w:rPr>
          <w:sz w:val="24"/>
          <w:szCs w:val="24"/>
        </w:rPr>
        <w:fldChar w:fldCharType="separate"/>
      </w:r>
      <w:r>
        <w:rPr>
          <w:sz w:val="24"/>
          <w:szCs w:val="24"/>
        </w:rPr>
        <w:t>15</w:t>
      </w:r>
      <w:r>
        <w:rPr>
          <w:sz w:val="24"/>
          <w:szCs w:val="24"/>
        </w:rPr>
        <w:fldChar w:fldCharType="end"/>
      </w:r>
      <w:r>
        <w:rPr>
          <w:rFonts w:hint="eastAsia" w:ascii="宋体" w:hAnsi="宋体" w:eastAsia="宋体" w:cs="宋体"/>
          <w:sz w:val="24"/>
          <w:szCs w:val="24"/>
        </w:rPr>
        <w:fldChar w:fldCharType="end"/>
      </w:r>
    </w:p>
    <w:p>
      <w:pPr>
        <w:pStyle w:val="17"/>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_Toc19463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2.3.1 </w:t>
      </w:r>
      <w:r>
        <w:rPr>
          <w:rFonts w:hint="eastAsia"/>
          <w:sz w:val="24"/>
          <w:szCs w:val="24"/>
        </w:rPr>
        <w:t>项目地理位置及选址</w:t>
      </w:r>
      <w:r>
        <w:rPr>
          <w:sz w:val="24"/>
          <w:szCs w:val="24"/>
        </w:rPr>
        <w:tab/>
      </w:r>
      <w:r>
        <w:rPr>
          <w:sz w:val="24"/>
          <w:szCs w:val="24"/>
        </w:rPr>
        <w:fldChar w:fldCharType="begin"/>
      </w:r>
      <w:r>
        <w:rPr>
          <w:sz w:val="24"/>
          <w:szCs w:val="24"/>
        </w:rPr>
        <w:instrText xml:space="preserve"> PAGEREF _Toc19463 \h </w:instrText>
      </w:r>
      <w:r>
        <w:rPr>
          <w:sz w:val="24"/>
          <w:szCs w:val="24"/>
        </w:rPr>
        <w:fldChar w:fldCharType="separate"/>
      </w:r>
      <w:r>
        <w:rPr>
          <w:sz w:val="24"/>
          <w:szCs w:val="24"/>
        </w:rPr>
        <w:t>15</w:t>
      </w:r>
      <w:r>
        <w:rPr>
          <w:sz w:val="24"/>
          <w:szCs w:val="24"/>
        </w:rPr>
        <w:fldChar w:fldCharType="end"/>
      </w:r>
      <w:r>
        <w:rPr>
          <w:rFonts w:hint="eastAsia" w:ascii="宋体" w:hAnsi="宋体" w:eastAsia="宋体" w:cs="宋体"/>
          <w:sz w:val="24"/>
          <w:szCs w:val="24"/>
        </w:rPr>
        <w:fldChar w:fldCharType="end"/>
      </w:r>
    </w:p>
    <w:p>
      <w:pPr>
        <w:pStyle w:val="17"/>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_Toc12109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2.3.2 </w:t>
      </w:r>
      <w:r>
        <w:rPr>
          <w:rFonts w:hint="eastAsia"/>
          <w:sz w:val="24"/>
          <w:szCs w:val="24"/>
        </w:rPr>
        <w:t>总平面布置及功能分区</w:t>
      </w:r>
      <w:r>
        <w:rPr>
          <w:sz w:val="24"/>
          <w:szCs w:val="24"/>
        </w:rPr>
        <w:tab/>
      </w:r>
      <w:r>
        <w:rPr>
          <w:sz w:val="24"/>
          <w:szCs w:val="24"/>
        </w:rPr>
        <w:fldChar w:fldCharType="begin"/>
      </w:r>
      <w:r>
        <w:rPr>
          <w:sz w:val="24"/>
          <w:szCs w:val="24"/>
        </w:rPr>
        <w:instrText xml:space="preserve"> PAGEREF _Toc12109 \h </w:instrText>
      </w:r>
      <w:r>
        <w:rPr>
          <w:sz w:val="24"/>
          <w:szCs w:val="24"/>
        </w:rPr>
        <w:fldChar w:fldCharType="separate"/>
      </w:r>
      <w:r>
        <w:rPr>
          <w:sz w:val="24"/>
          <w:szCs w:val="24"/>
        </w:rPr>
        <w:t>15</w:t>
      </w:r>
      <w:r>
        <w:rPr>
          <w:sz w:val="24"/>
          <w:szCs w:val="24"/>
        </w:rPr>
        <w:fldChar w:fldCharType="end"/>
      </w:r>
      <w:r>
        <w:rPr>
          <w:rFonts w:hint="eastAsia" w:ascii="宋体" w:hAnsi="宋体" w:eastAsia="宋体" w:cs="宋体"/>
          <w:sz w:val="24"/>
          <w:szCs w:val="24"/>
        </w:rPr>
        <w:fldChar w:fldCharType="end"/>
      </w:r>
    </w:p>
    <w:p>
      <w:pPr>
        <w:pStyle w:val="17"/>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_Toc18846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2.3.3 </w:t>
      </w:r>
      <w:r>
        <w:rPr>
          <w:rFonts w:hint="eastAsia"/>
          <w:sz w:val="24"/>
          <w:szCs w:val="24"/>
        </w:rPr>
        <w:t>建设场地周边环境</w:t>
      </w:r>
      <w:r>
        <w:rPr>
          <w:sz w:val="24"/>
          <w:szCs w:val="24"/>
        </w:rPr>
        <w:tab/>
      </w:r>
      <w:r>
        <w:rPr>
          <w:sz w:val="24"/>
          <w:szCs w:val="24"/>
        </w:rPr>
        <w:fldChar w:fldCharType="begin"/>
      </w:r>
      <w:r>
        <w:rPr>
          <w:sz w:val="24"/>
          <w:szCs w:val="24"/>
        </w:rPr>
        <w:instrText xml:space="preserve"> PAGEREF _Toc18846 \h </w:instrText>
      </w:r>
      <w:r>
        <w:rPr>
          <w:sz w:val="24"/>
          <w:szCs w:val="24"/>
        </w:rPr>
        <w:fldChar w:fldCharType="separate"/>
      </w:r>
      <w:r>
        <w:rPr>
          <w:sz w:val="24"/>
          <w:szCs w:val="24"/>
        </w:rPr>
        <w:t>17</w:t>
      </w:r>
      <w:r>
        <w:rPr>
          <w:sz w:val="24"/>
          <w:szCs w:val="24"/>
        </w:rPr>
        <w:fldChar w:fldCharType="end"/>
      </w:r>
      <w:r>
        <w:rPr>
          <w:rFonts w:hint="eastAsia" w:ascii="宋体" w:hAnsi="宋体" w:eastAsia="宋体" w:cs="宋体"/>
          <w:sz w:val="24"/>
          <w:szCs w:val="24"/>
        </w:rPr>
        <w:fldChar w:fldCharType="end"/>
      </w:r>
    </w:p>
    <w:p>
      <w:pPr>
        <w:pStyle w:val="17"/>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_Toc19951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2.3.4 </w:t>
      </w:r>
      <w:r>
        <w:rPr>
          <w:rFonts w:hint="eastAsia"/>
          <w:sz w:val="24"/>
          <w:szCs w:val="24"/>
        </w:rPr>
        <w:t>产品方案及设计生产规模</w:t>
      </w:r>
      <w:r>
        <w:rPr>
          <w:sz w:val="24"/>
          <w:szCs w:val="24"/>
        </w:rPr>
        <w:tab/>
      </w:r>
      <w:r>
        <w:rPr>
          <w:sz w:val="24"/>
          <w:szCs w:val="24"/>
        </w:rPr>
        <w:fldChar w:fldCharType="begin"/>
      </w:r>
      <w:r>
        <w:rPr>
          <w:sz w:val="24"/>
          <w:szCs w:val="24"/>
        </w:rPr>
        <w:instrText xml:space="preserve"> PAGEREF _Toc19951 \h </w:instrText>
      </w:r>
      <w:r>
        <w:rPr>
          <w:sz w:val="24"/>
          <w:szCs w:val="24"/>
        </w:rPr>
        <w:fldChar w:fldCharType="separate"/>
      </w:r>
      <w:r>
        <w:rPr>
          <w:sz w:val="24"/>
          <w:szCs w:val="24"/>
        </w:rPr>
        <w:t>22</w:t>
      </w:r>
      <w:r>
        <w:rPr>
          <w:sz w:val="24"/>
          <w:szCs w:val="24"/>
        </w:rPr>
        <w:fldChar w:fldCharType="end"/>
      </w:r>
      <w:r>
        <w:rPr>
          <w:rFonts w:hint="eastAsia" w:ascii="宋体" w:hAnsi="宋体" w:eastAsia="宋体" w:cs="宋体"/>
          <w:sz w:val="24"/>
          <w:szCs w:val="24"/>
        </w:rPr>
        <w:fldChar w:fldCharType="end"/>
      </w:r>
    </w:p>
    <w:p>
      <w:pPr>
        <w:pStyle w:val="17"/>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_Toc10272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2.3.5 </w:t>
      </w:r>
      <w:r>
        <w:rPr>
          <w:rFonts w:hint="eastAsia"/>
          <w:sz w:val="24"/>
          <w:szCs w:val="24"/>
        </w:rPr>
        <w:t>项目的工艺流程、主要装置（设备、设施）及特种设备</w:t>
      </w:r>
      <w:r>
        <w:rPr>
          <w:sz w:val="24"/>
          <w:szCs w:val="24"/>
        </w:rPr>
        <w:tab/>
      </w:r>
      <w:r>
        <w:rPr>
          <w:sz w:val="24"/>
          <w:szCs w:val="24"/>
        </w:rPr>
        <w:fldChar w:fldCharType="begin"/>
      </w:r>
      <w:r>
        <w:rPr>
          <w:sz w:val="24"/>
          <w:szCs w:val="24"/>
        </w:rPr>
        <w:instrText xml:space="preserve"> PAGEREF _Toc10272 \h </w:instrText>
      </w:r>
      <w:r>
        <w:rPr>
          <w:sz w:val="24"/>
          <w:szCs w:val="24"/>
        </w:rPr>
        <w:fldChar w:fldCharType="separate"/>
      </w:r>
      <w:r>
        <w:rPr>
          <w:sz w:val="24"/>
          <w:szCs w:val="24"/>
        </w:rPr>
        <w:t>22</w:t>
      </w:r>
      <w:r>
        <w:rPr>
          <w:sz w:val="24"/>
          <w:szCs w:val="24"/>
        </w:rPr>
        <w:fldChar w:fldCharType="end"/>
      </w:r>
      <w:r>
        <w:rPr>
          <w:rFonts w:hint="eastAsia" w:ascii="宋体" w:hAnsi="宋体" w:eastAsia="宋体" w:cs="宋体"/>
          <w:sz w:val="24"/>
          <w:szCs w:val="24"/>
        </w:rPr>
        <w:fldChar w:fldCharType="end"/>
      </w:r>
    </w:p>
    <w:p>
      <w:pPr>
        <w:pStyle w:val="17"/>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_Toc333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2.3.6 </w:t>
      </w:r>
      <w:r>
        <w:rPr>
          <w:rFonts w:hint="eastAsia"/>
          <w:sz w:val="24"/>
          <w:szCs w:val="24"/>
        </w:rPr>
        <w:t>主要原辅材料</w:t>
      </w:r>
      <w:r>
        <w:rPr>
          <w:sz w:val="24"/>
          <w:szCs w:val="24"/>
        </w:rPr>
        <w:tab/>
      </w:r>
      <w:r>
        <w:rPr>
          <w:sz w:val="24"/>
          <w:szCs w:val="24"/>
        </w:rPr>
        <w:fldChar w:fldCharType="begin"/>
      </w:r>
      <w:r>
        <w:rPr>
          <w:sz w:val="24"/>
          <w:szCs w:val="24"/>
        </w:rPr>
        <w:instrText xml:space="preserve"> PAGEREF _Toc333 \h </w:instrText>
      </w:r>
      <w:r>
        <w:rPr>
          <w:sz w:val="24"/>
          <w:szCs w:val="24"/>
        </w:rPr>
        <w:fldChar w:fldCharType="separate"/>
      </w:r>
      <w:r>
        <w:rPr>
          <w:sz w:val="24"/>
          <w:szCs w:val="24"/>
        </w:rPr>
        <w:t>31</w:t>
      </w:r>
      <w:r>
        <w:rPr>
          <w:sz w:val="24"/>
          <w:szCs w:val="24"/>
        </w:rPr>
        <w:fldChar w:fldCharType="end"/>
      </w:r>
      <w:r>
        <w:rPr>
          <w:rFonts w:hint="eastAsia" w:ascii="宋体" w:hAnsi="宋体" w:eastAsia="宋体" w:cs="宋体"/>
          <w:sz w:val="24"/>
          <w:szCs w:val="24"/>
        </w:rPr>
        <w:fldChar w:fldCharType="end"/>
      </w:r>
    </w:p>
    <w:p>
      <w:pPr>
        <w:pStyle w:val="17"/>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_Toc9976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2.3.7 </w:t>
      </w:r>
      <w:r>
        <w:rPr>
          <w:rFonts w:hint="eastAsia"/>
          <w:sz w:val="24"/>
          <w:szCs w:val="24"/>
        </w:rPr>
        <w:t>配套和辅助工程</w:t>
      </w:r>
      <w:r>
        <w:rPr>
          <w:sz w:val="24"/>
          <w:szCs w:val="24"/>
        </w:rPr>
        <w:tab/>
      </w:r>
      <w:r>
        <w:rPr>
          <w:sz w:val="24"/>
          <w:szCs w:val="24"/>
        </w:rPr>
        <w:fldChar w:fldCharType="begin"/>
      </w:r>
      <w:r>
        <w:rPr>
          <w:sz w:val="24"/>
          <w:szCs w:val="24"/>
        </w:rPr>
        <w:instrText xml:space="preserve"> PAGEREF _Toc9976 \h </w:instrText>
      </w:r>
      <w:r>
        <w:rPr>
          <w:sz w:val="24"/>
          <w:szCs w:val="24"/>
        </w:rPr>
        <w:fldChar w:fldCharType="separate"/>
      </w:r>
      <w:r>
        <w:rPr>
          <w:sz w:val="24"/>
          <w:szCs w:val="24"/>
        </w:rPr>
        <w:t>32</w:t>
      </w:r>
      <w:r>
        <w:rPr>
          <w:sz w:val="24"/>
          <w:szCs w:val="24"/>
        </w:rPr>
        <w:fldChar w:fldCharType="end"/>
      </w:r>
      <w:r>
        <w:rPr>
          <w:rFonts w:hint="eastAsia" w:ascii="宋体" w:hAnsi="宋体" w:eastAsia="宋体" w:cs="宋体"/>
          <w:sz w:val="24"/>
          <w:szCs w:val="24"/>
        </w:rPr>
        <w:fldChar w:fldCharType="end"/>
      </w:r>
    </w:p>
    <w:p>
      <w:pPr>
        <w:pStyle w:val="17"/>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_Toc10513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2.3.8 </w:t>
      </w:r>
      <w:r>
        <w:rPr>
          <w:rFonts w:hint="eastAsia"/>
          <w:sz w:val="24"/>
          <w:szCs w:val="24"/>
        </w:rPr>
        <w:t>厂内外运输方式</w:t>
      </w:r>
      <w:r>
        <w:rPr>
          <w:sz w:val="24"/>
          <w:szCs w:val="24"/>
        </w:rPr>
        <w:tab/>
      </w:r>
      <w:r>
        <w:rPr>
          <w:sz w:val="24"/>
          <w:szCs w:val="24"/>
        </w:rPr>
        <w:fldChar w:fldCharType="begin"/>
      </w:r>
      <w:r>
        <w:rPr>
          <w:sz w:val="24"/>
          <w:szCs w:val="24"/>
        </w:rPr>
        <w:instrText xml:space="preserve"> PAGEREF _Toc10513 \h </w:instrText>
      </w:r>
      <w:r>
        <w:rPr>
          <w:sz w:val="24"/>
          <w:szCs w:val="24"/>
        </w:rPr>
        <w:fldChar w:fldCharType="separate"/>
      </w:r>
      <w:r>
        <w:rPr>
          <w:sz w:val="24"/>
          <w:szCs w:val="24"/>
        </w:rPr>
        <w:t>39</w:t>
      </w:r>
      <w:r>
        <w:rPr>
          <w:sz w:val="24"/>
          <w:szCs w:val="24"/>
        </w:rPr>
        <w:fldChar w:fldCharType="end"/>
      </w:r>
      <w:r>
        <w:rPr>
          <w:rFonts w:hint="eastAsia" w:ascii="宋体" w:hAnsi="宋体" w:eastAsia="宋体" w:cs="宋体"/>
          <w:sz w:val="24"/>
          <w:szCs w:val="24"/>
        </w:rPr>
        <w:fldChar w:fldCharType="end"/>
      </w:r>
    </w:p>
    <w:p>
      <w:pPr>
        <w:pStyle w:val="17"/>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_Toc30056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2.3.9 </w:t>
      </w:r>
      <w:r>
        <w:rPr>
          <w:sz w:val="24"/>
          <w:szCs w:val="24"/>
        </w:rPr>
        <w:t>建设项目总投资与主要技术经济指标</w:t>
      </w:r>
      <w:r>
        <w:rPr>
          <w:sz w:val="24"/>
          <w:szCs w:val="24"/>
        </w:rPr>
        <w:tab/>
      </w:r>
      <w:r>
        <w:rPr>
          <w:sz w:val="24"/>
          <w:szCs w:val="24"/>
        </w:rPr>
        <w:fldChar w:fldCharType="begin"/>
      </w:r>
      <w:r>
        <w:rPr>
          <w:sz w:val="24"/>
          <w:szCs w:val="24"/>
        </w:rPr>
        <w:instrText xml:space="preserve"> PAGEREF _Toc30056 \h </w:instrText>
      </w:r>
      <w:r>
        <w:rPr>
          <w:sz w:val="24"/>
          <w:szCs w:val="24"/>
        </w:rPr>
        <w:fldChar w:fldCharType="separate"/>
      </w:r>
      <w:r>
        <w:rPr>
          <w:sz w:val="24"/>
          <w:szCs w:val="24"/>
        </w:rPr>
        <w:t>39</w:t>
      </w:r>
      <w:r>
        <w:rPr>
          <w:sz w:val="24"/>
          <w:szCs w:val="24"/>
        </w:rPr>
        <w:fldChar w:fldCharType="end"/>
      </w:r>
      <w:r>
        <w:rPr>
          <w:rFonts w:hint="eastAsia" w:ascii="宋体" w:hAnsi="宋体" w:eastAsia="宋体" w:cs="宋体"/>
          <w:sz w:val="24"/>
          <w:szCs w:val="24"/>
        </w:rPr>
        <w:fldChar w:fldCharType="end"/>
      </w:r>
    </w:p>
    <w:p>
      <w:pPr>
        <w:pStyle w:val="17"/>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_Toc21679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2.3.10 </w:t>
      </w:r>
      <w:r>
        <w:rPr>
          <w:rFonts w:hint="eastAsia"/>
          <w:sz w:val="24"/>
          <w:szCs w:val="24"/>
        </w:rPr>
        <w:t>安全管理与应急救援</w:t>
      </w:r>
      <w:r>
        <w:rPr>
          <w:sz w:val="24"/>
          <w:szCs w:val="24"/>
        </w:rPr>
        <w:tab/>
      </w:r>
      <w:r>
        <w:rPr>
          <w:sz w:val="24"/>
          <w:szCs w:val="24"/>
        </w:rPr>
        <w:fldChar w:fldCharType="begin"/>
      </w:r>
      <w:r>
        <w:rPr>
          <w:sz w:val="24"/>
          <w:szCs w:val="24"/>
        </w:rPr>
        <w:instrText xml:space="preserve"> PAGEREF _Toc21679 \h </w:instrText>
      </w:r>
      <w:r>
        <w:rPr>
          <w:sz w:val="24"/>
          <w:szCs w:val="24"/>
        </w:rPr>
        <w:fldChar w:fldCharType="separate"/>
      </w:r>
      <w:r>
        <w:rPr>
          <w:sz w:val="24"/>
          <w:szCs w:val="24"/>
        </w:rPr>
        <w:t>39</w:t>
      </w:r>
      <w:r>
        <w:rPr>
          <w:sz w:val="24"/>
          <w:szCs w:val="24"/>
        </w:rPr>
        <w:fldChar w:fldCharType="end"/>
      </w:r>
      <w:r>
        <w:rPr>
          <w:rFonts w:hint="eastAsia" w:ascii="宋体" w:hAnsi="宋体" w:eastAsia="宋体" w:cs="宋体"/>
          <w:sz w:val="24"/>
          <w:szCs w:val="24"/>
        </w:rPr>
        <w:fldChar w:fldCharType="end"/>
      </w:r>
    </w:p>
    <w:p>
      <w:pPr>
        <w:pStyle w:val="26"/>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_Toc30054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2.4 </w:t>
      </w:r>
      <w:r>
        <w:rPr>
          <w:sz w:val="24"/>
          <w:szCs w:val="24"/>
        </w:rPr>
        <w:t>改、扩建项目利用原有设施情况</w:t>
      </w:r>
      <w:r>
        <w:rPr>
          <w:sz w:val="24"/>
          <w:szCs w:val="24"/>
        </w:rPr>
        <w:tab/>
      </w:r>
      <w:r>
        <w:rPr>
          <w:sz w:val="24"/>
          <w:szCs w:val="24"/>
        </w:rPr>
        <w:fldChar w:fldCharType="begin"/>
      </w:r>
      <w:r>
        <w:rPr>
          <w:sz w:val="24"/>
          <w:szCs w:val="24"/>
        </w:rPr>
        <w:instrText xml:space="preserve"> PAGEREF _Toc30054 \h </w:instrText>
      </w:r>
      <w:r>
        <w:rPr>
          <w:sz w:val="24"/>
          <w:szCs w:val="24"/>
        </w:rPr>
        <w:fldChar w:fldCharType="separate"/>
      </w:r>
      <w:r>
        <w:rPr>
          <w:sz w:val="24"/>
          <w:szCs w:val="24"/>
        </w:rPr>
        <w:t>46</w:t>
      </w:r>
      <w:r>
        <w:rPr>
          <w:sz w:val="24"/>
          <w:szCs w:val="24"/>
        </w:rPr>
        <w:fldChar w:fldCharType="end"/>
      </w:r>
      <w:r>
        <w:rPr>
          <w:rFonts w:hint="eastAsia" w:ascii="宋体" w:hAnsi="宋体" w:eastAsia="宋体" w:cs="宋体"/>
          <w:sz w:val="24"/>
          <w:szCs w:val="24"/>
        </w:rPr>
        <w:fldChar w:fldCharType="end"/>
      </w:r>
    </w:p>
    <w:p>
      <w:pPr>
        <w:pStyle w:val="26"/>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_Toc30030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2.5 </w:t>
      </w:r>
      <w:r>
        <w:rPr>
          <w:rFonts w:hint="eastAsia"/>
          <w:sz w:val="24"/>
          <w:szCs w:val="24"/>
        </w:rPr>
        <w:t>设计变更</w:t>
      </w:r>
      <w:r>
        <w:rPr>
          <w:sz w:val="24"/>
          <w:szCs w:val="24"/>
        </w:rPr>
        <w:tab/>
      </w:r>
      <w:r>
        <w:rPr>
          <w:sz w:val="24"/>
          <w:szCs w:val="24"/>
        </w:rPr>
        <w:fldChar w:fldCharType="begin"/>
      </w:r>
      <w:r>
        <w:rPr>
          <w:sz w:val="24"/>
          <w:szCs w:val="24"/>
        </w:rPr>
        <w:instrText xml:space="preserve"> PAGEREF _Toc30030 \h </w:instrText>
      </w:r>
      <w:r>
        <w:rPr>
          <w:sz w:val="24"/>
          <w:szCs w:val="24"/>
        </w:rPr>
        <w:fldChar w:fldCharType="separate"/>
      </w:r>
      <w:r>
        <w:rPr>
          <w:sz w:val="24"/>
          <w:szCs w:val="24"/>
        </w:rPr>
        <w:t>46</w:t>
      </w:r>
      <w:r>
        <w:rPr>
          <w:sz w:val="24"/>
          <w:szCs w:val="24"/>
        </w:rPr>
        <w:fldChar w:fldCharType="end"/>
      </w:r>
      <w:r>
        <w:rPr>
          <w:rFonts w:hint="eastAsia" w:ascii="宋体" w:hAnsi="宋体" w:eastAsia="宋体" w:cs="宋体"/>
          <w:sz w:val="24"/>
          <w:szCs w:val="24"/>
        </w:rPr>
        <w:fldChar w:fldCharType="end"/>
      </w:r>
    </w:p>
    <w:p>
      <w:pPr>
        <w:pStyle w:val="26"/>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_Toc13917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2.6 </w:t>
      </w:r>
      <w:r>
        <w:rPr>
          <w:rFonts w:hint="eastAsia"/>
          <w:sz w:val="24"/>
          <w:szCs w:val="24"/>
        </w:rPr>
        <w:t>施工监理资质</w:t>
      </w:r>
      <w:r>
        <w:rPr>
          <w:sz w:val="24"/>
          <w:szCs w:val="24"/>
        </w:rPr>
        <w:tab/>
      </w:r>
      <w:r>
        <w:rPr>
          <w:sz w:val="24"/>
          <w:szCs w:val="24"/>
        </w:rPr>
        <w:fldChar w:fldCharType="begin"/>
      </w:r>
      <w:r>
        <w:rPr>
          <w:sz w:val="24"/>
          <w:szCs w:val="24"/>
        </w:rPr>
        <w:instrText xml:space="preserve"> PAGEREF _Toc13917 \h </w:instrText>
      </w:r>
      <w:r>
        <w:rPr>
          <w:sz w:val="24"/>
          <w:szCs w:val="24"/>
        </w:rPr>
        <w:fldChar w:fldCharType="separate"/>
      </w:r>
      <w:r>
        <w:rPr>
          <w:sz w:val="24"/>
          <w:szCs w:val="24"/>
        </w:rPr>
        <w:t>46</w:t>
      </w:r>
      <w:r>
        <w:rPr>
          <w:sz w:val="24"/>
          <w:szCs w:val="24"/>
        </w:rPr>
        <w:fldChar w:fldCharType="end"/>
      </w:r>
      <w:r>
        <w:rPr>
          <w:rFonts w:hint="eastAsia" w:ascii="宋体" w:hAnsi="宋体" w:eastAsia="宋体" w:cs="宋体"/>
          <w:sz w:val="24"/>
          <w:szCs w:val="24"/>
        </w:rPr>
        <w:fldChar w:fldCharType="end"/>
      </w:r>
    </w:p>
    <w:p>
      <w:pPr>
        <w:pStyle w:val="26"/>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_Toc15365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2.7 </w:t>
      </w:r>
      <w:r>
        <w:rPr>
          <w:rFonts w:hint="eastAsia"/>
          <w:sz w:val="24"/>
          <w:szCs w:val="24"/>
        </w:rPr>
        <w:t>试运行概况</w:t>
      </w:r>
      <w:r>
        <w:rPr>
          <w:sz w:val="24"/>
          <w:szCs w:val="24"/>
        </w:rPr>
        <w:tab/>
      </w:r>
      <w:r>
        <w:rPr>
          <w:sz w:val="24"/>
          <w:szCs w:val="24"/>
        </w:rPr>
        <w:fldChar w:fldCharType="begin"/>
      </w:r>
      <w:r>
        <w:rPr>
          <w:sz w:val="24"/>
          <w:szCs w:val="24"/>
        </w:rPr>
        <w:instrText xml:space="preserve"> PAGEREF _Toc15365 \h </w:instrText>
      </w:r>
      <w:r>
        <w:rPr>
          <w:sz w:val="24"/>
          <w:szCs w:val="24"/>
        </w:rPr>
        <w:fldChar w:fldCharType="separate"/>
      </w:r>
      <w:r>
        <w:rPr>
          <w:sz w:val="24"/>
          <w:szCs w:val="24"/>
        </w:rPr>
        <w:t>47</w:t>
      </w:r>
      <w:r>
        <w:rPr>
          <w:sz w:val="24"/>
          <w:szCs w:val="24"/>
        </w:rPr>
        <w:fldChar w:fldCharType="end"/>
      </w:r>
      <w:r>
        <w:rPr>
          <w:rFonts w:hint="eastAsia" w:ascii="宋体" w:hAnsi="宋体" w:eastAsia="宋体" w:cs="宋体"/>
          <w:sz w:val="24"/>
          <w:szCs w:val="24"/>
        </w:rPr>
        <w:fldChar w:fldCharType="end"/>
      </w:r>
    </w:p>
    <w:p>
      <w:pPr>
        <w:pStyle w:val="17"/>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_Toc28416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2.7.1 </w:t>
      </w:r>
      <w:r>
        <w:rPr>
          <w:rFonts w:hint="eastAsia"/>
          <w:sz w:val="24"/>
          <w:szCs w:val="24"/>
        </w:rPr>
        <w:t>试运行前准备</w:t>
      </w:r>
      <w:r>
        <w:rPr>
          <w:sz w:val="24"/>
          <w:szCs w:val="24"/>
        </w:rPr>
        <w:tab/>
      </w:r>
      <w:r>
        <w:rPr>
          <w:sz w:val="24"/>
          <w:szCs w:val="24"/>
        </w:rPr>
        <w:fldChar w:fldCharType="begin"/>
      </w:r>
      <w:r>
        <w:rPr>
          <w:sz w:val="24"/>
          <w:szCs w:val="24"/>
        </w:rPr>
        <w:instrText xml:space="preserve"> PAGEREF _Toc28416 \h </w:instrText>
      </w:r>
      <w:r>
        <w:rPr>
          <w:sz w:val="24"/>
          <w:szCs w:val="24"/>
        </w:rPr>
        <w:fldChar w:fldCharType="separate"/>
      </w:r>
      <w:r>
        <w:rPr>
          <w:sz w:val="24"/>
          <w:szCs w:val="24"/>
        </w:rPr>
        <w:t>47</w:t>
      </w:r>
      <w:r>
        <w:rPr>
          <w:sz w:val="24"/>
          <w:szCs w:val="24"/>
        </w:rPr>
        <w:fldChar w:fldCharType="end"/>
      </w:r>
      <w:r>
        <w:rPr>
          <w:rFonts w:hint="eastAsia" w:ascii="宋体" w:hAnsi="宋体" w:eastAsia="宋体" w:cs="宋体"/>
          <w:sz w:val="24"/>
          <w:szCs w:val="24"/>
        </w:rPr>
        <w:fldChar w:fldCharType="end"/>
      </w:r>
    </w:p>
    <w:p>
      <w:pPr>
        <w:pStyle w:val="17"/>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_Toc28395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2.7.2 </w:t>
      </w:r>
      <w:r>
        <w:rPr>
          <w:rFonts w:hint="eastAsia"/>
          <w:sz w:val="24"/>
          <w:szCs w:val="24"/>
        </w:rPr>
        <w:t>试运行情况</w:t>
      </w:r>
      <w:r>
        <w:rPr>
          <w:sz w:val="24"/>
          <w:szCs w:val="24"/>
        </w:rPr>
        <w:tab/>
      </w:r>
      <w:r>
        <w:rPr>
          <w:sz w:val="24"/>
          <w:szCs w:val="24"/>
        </w:rPr>
        <w:fldChar w:fldCharType="begin"/>
      </w:r>
      <w:r>
        <w:rPr>
          <w:sz w:val="24"/>
          <w:szCs w:val="24"/>
        </w:rPr>
        <w:instrText xml:space="preserve"> PAGEREF _Toc28395 \h </w:instrText>
      </w:r>
      <w:r>
        <w:rPr>
          <w:sz w:val="24"/>
          <w:szCs w:val="24"/>
        </w:rPr>
        <w:fldChar w:fldCharType="separate"/>
      </w:r>
      <w:r>
        <w:rPr>
          <w:sz w:val="24"/>
          <w:szCs w:val="24"/>
        </w:rPr>
        <w:t>47</w:t>
      </w:r>
      <w:r>
        <w:rPr>
          <w:sz w:val="24"/>
          <w:szCs w:val="24"/>
        </w:rPr>
        <w:fldChar w:fldCharType="end"/>
      </w:r>
      <w:r>
        <w:rPr>
          <w:rFonts w:hint="eastAsia" w:ascii="宋体" w:hAnsi="宋体" w:eastAsia="宋体" w:cs="宋体"/>
          <w:sz w:val="24"/>
          <w:szCs w:val="24"/>
        </w:rPr>
        <w:fldChar w:fldCharType="end"/>
      </w:r>
    </w:p>
    <w:p>
      <w:pPr>
        <w:pStyle w:val="17"/>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_Toc13957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2.7.3 </w:t>
      </w:r>
      <w:r>
        <w:rPr>
          <w:sz w:val="24"/>
          <w:szCs w:val="24"/>
        </w:rPr>
        <w:t>试运行结论</w:t>
      </w:r>
      <w:r>
        <w:rPr>
          <w:sz w:val="24"/>
          <w:szCs w:val="24"/>
        </w:rPr>
        <w:tab/>
      </w:r>
      <w:r>
        <w:rPr>
          <w:sz w:val="24"/>
          <w:szCs w:val="24"/>
        </w:rPr>
        <w:fldChar w:fldCharType="begin"/>
      </w:r>
      <w:r>
        <w:rPr>
          <w:sz w:val="24"/>
          <w:szCs w:val="24"/>
        </w:rPr>
        <w:instrText xml:space="preserve"> PAGEREF _Toc13957 \h </w:instrText>
      </w:r>
      <w:r>
        <w:rPr>
          <w:sz w:val="24"/>
          <w:szCs w:val="24"/>
        </w:rPr>
        <w:fldChar w:fldCharType="separate"/>
      </w:r>
      <w:r>
        <w:rPr>
          <w:sz w:val="24"/>
          <w:szCs w:val="24"/>
        </w:rPr>
        <w:t>48</w:t>
      </w:r>
      <w:r>
        <w:rPr>
          <w:sz w:val="24"/>
          <w:szCs w:val="24"/>
        </w:rPr>
        <w:fldChar w:fldCharType="end"/>
      </w:r>
      <w:r>
        <w:rPr>
          <w:rFonts w:hint="eastAsia" w:ascii="宋体" w:hAnsi="宋体" w:eastAsia="宋体" w:cs="宋体"/>
          <w:sz w:val="24"/>
          <w:szCs w:val="24"/>
        </w:rPr>
        <w:fldChar w:fldCharType="end"/>
      </w:r>
    </w:p>
    <w:p>
      <w:pPr>
        <w:pStyle w:val="26"/>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_Toc5074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2.8 </w:t>
      </w:r>
      <w:r>
        <w:rPr>
          <w:rFonts w:hint="eastAsia"/>
          <w:sz w:val="24"/>
          <w:szCs w:val="24"/>
        </w:rPr>
        <w:t>采取的主要安全设施、措施</w:t>
      </w:r>
      <w:r>
        <w:rPr>
          <w:sz w:val="24"/>
          <w:szCs w:val="24"/>
        </w:rPr>
        <w:tab/>
      </w:r>
      <w:r>
        <w:rPr>
          <w:sz w:val="24"/>
          <w:szCs w:val="24"/>
        </w:rPr>
        <w:fldChar w:fldCharType="begin"/>
      </w:r>
      <w:r>
        <w:rPr>
          <w:sz w:val="24"/>
          <w:szCs w:val="24"/>
        </w:rPr>
        <w:instrText xml:space="preserve"> PAGEREF _Toc5074 \h </w:instrText>
      </w:r>
      <w:r>
        <w:rPr>
          <w:sz w:val="24"/>
          <w:szCs w:val="24"/>
        </w:rPr>
        <w:fldChar w:fldCharType="separate"/>
      </w:r>
      <w:r>
        <w:rPr>
          <w:sz w:val="24"/>
          <w:szCs w:val="24"/>
        </w:rPr>
        <w:t>48</w:t>
      </w:r>
      <w:r>
        <w:rPr>
          <w:sz w:val="24"/>
          <w:szCs w:val="24"/>
        </w:rPr>
        <w:fldChar w:fldCharType="end"/>
      </w:r>
      <w:r>
        <w:rPr>
          <w:rFonts w:hint="eastAsia" w:ascii="宋体" w:hAnsi="宋体" w:eastAsia="宋体" w:cs="宋体"/>
          <w:sz w:val="24"/>
          <w:szCs w:val="24"/>
        </w:rPr>
        <w:fldChar w:fldCharType="end"/>
      </w:r>
    </w:p>
    <w:p>
      <w:pPr>
        <w:pStyle w:val="26"/>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_Toc271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2.9 </w:t>
      </w:r>
      <w:r>
        <w:rPr>
          <w:rFonts w:hint="eastAsia"/>
          <w:sz w:val="24"/>
          <w:szCs w:val="24"/>
        </w:rPr>
        <w:t>建设项目图片</w:t>
      </w:r>
      <w:r>
        <w:rPr>
          <w:sz w:val="24"/>
          <w:szCs w:val="24"/>
        </w:rPr>
        <w:tab/>
      </w:r>
      <w:r>
        <w:rPr>
          <w:sz w:val="24"/>
          <w:szCs w:val="24"/>
        </w:rPr>
        <w:fldChar w:fldCharType="begin"/>
      </w:r>
      <w:r>
        <w:rPr>
          <w:sz w:val="24"/>
          <w:szCs w:val="24"/>
        </w:rPr>
        <w:instrText xml:space="preserve"> PAGEREF _Toc271 \h </w:instrText>
      </w:r>
      <w:r>
        <w:rPr>
          <w:sz w:val="24"/>
          <w:szCs w:val="24"/>
        </w:rPr>
        <w:fldChar w:fldCharType="separate"/>
      </w:r>
      <w:r>
        <w:rPr>
          <w:sz w:val="24"/>
          <w:szCs w:val="24"/>
        </w:rPr>
        <w:t>52</w:t>
      </w:r>
      <w:r>
        <w:rPr>
          <w:sz w:val="24"/>
          <w:szCs w:val="24"/>
        </w:rPr>
        <w:fldChar w:fldCharType="end"/>
      </w:r>
      <w:r>
        <w:rPr>
          <w:rFonts w:hint="eastAsia" w:ascii="宋体" w:hAnsi="宋体" w:eastAsia="宋体" w:cs="宋体"/>
          <w:sz w:val="24"/>
          <w:szCs w:val="24"/>
        </w:rPr>
        <w:fldChar w:fldCharType="end"/>
      </w:r>
    </w:p>
    <w:p>
      <w:pPr>
        <w:pStyle w:val="26"/>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_Toc1438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2.10 </w:t>
      </w:r>
      <w:r>
        <w:rPr>
          <w:rFonts w:hint="eastAsia"/>
          <w:sz w:val="24"/>
          <w:szCs w:val="24"/>
        </w:rPr>
        <w:t>评价人员现场踏勘</w:t>
      </w:r>
      <w:r>
        <w:rPr>
          <w:sz w:val="24"/>
          <w:szCs w:val="24"/>
        </w:rPr>
        <w:tab/>
      </w:r>
      <w:r>
        <w:rPr>
          <w:sz w:val="24"/>
          <w:szCs w:val="24"/>
        </w:rPr>
        <w:fldChar w:fldCharType="begin"/>
      </w:r>
      <w:r>
        <w:rPr>
          <w:sz w:val="24"/>
          <w:szCs w:val="24"/>
        </w:rPr>
        <w:instrText xml:space="preserve"> PAGEREF _Toc1438 \h </w:instrText>
      </w:r>
      <w:r>
        <w:rPr>
          <w:sz w:val="24"/>
          <w:szCs w:val="24"/>
        </w:rPr>
        <w:fldChar w:fldCharType="separate"/>
      </w:r>
      <w:r>
        <w:rPr>
          <w:sz w:val="24"/>
          <w:szCs w:val="24"/>
        </w:rPr>
        <w:t>54</w:t>
      </w:r>
      <w:r>
        <w:rPr>
          <w:sz w:val="24"/>
          <w:szCs w:val="24"/>
        </w:rPr>
        <w:fldChar w:fldCharType="end"/>
      </w:r>
      <w:r>
        <w:rPr>
          <w:rFonts w:hint="eastAsia" w:ascii="宋体" w:hAnsi="宋体" w:eastAsia="宋体" w:cs="宋体"/>
          <w:sz w:val="24"/>
          <w:szCs w:val="24"/>
        </w:rPr>
        <w:fldChar w:fldCharType="end"/>
      </w:r>
    </w:p>
    <w:p>
      <w:pPr>
        <w:pStyle w:val="23"/>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_Toc16397 </w:instrText>
      </w:r>
      <w:r>
        <w:rPr>
          <w:rFonts w:hint="eastAsia" w:ascii="宋体" w:hAnsi="宋体" w:eastAsia="宋体" w:cs="宋体"/>
          <w:sz w:val="24"/>
          <w:szCs w:val="24"/>
        </w:rPr>
        <w:fldChar w:fldCharType="separate"/>
      </w:r>
      <w:r>
        <w:rPr>
          <w:rFonts w:hint="default" w:ascii="宋体" w:hAnsi="宋体" w:eastAsia="宋体" w:cs="宋体"/>
          <w:sz w:val="24"/>
          <w:szCs w:val="24"/>
        </w:rPr>
        <w:t xml:space="preserve">3. </w:t>
      </w:r>
      <w:r>
        <w:rPr>
          <w:rFonts w:hint="eastAsia"/>
          <w:sz w:val="24"/>
          <w:szCs w:val="24"/>
        </w:rPr>
        <w:t>项目危险、有害因素辨识分析</w:t>
      </w:r>
      <w:r>
        <w:rPr>
          <w:sz w:val="24"/>
          <w:szCs w:val="24"/>
        </w:rPr>
        <w:tab/>
      </w:r>
      <w:r>
        <w:rPr>
          <w:sz w:val="24"/>
          <w:szCs w:val="24"/>
        </w:rPr>
        <w:fldChar w:fldCharType="begin"/>
      </w:r>
      <w:r>
        <w:rPr>
          <w:sz w:val="24"/>
          <w:szCs w:val="24"/>
        </w:rPr>
        <w:instrText xml:space="preserve"> PAGEREF _Toc16397 \h </w:instrText>
      </w:r>
      <w:r>
        <w:rPr>
          <w:sz w:val="24"/>
          <w:szCs w:val="24"/>
        </w:rPr>
        <w:fldChar w:fldCharType="separate"/>
      </w:r>
      <w:r>
        <w:rPr>
          <w:sz w:val="24"/>
          <w:szCs w:val="24"/>
        </w:rPr>
        <w:t>55</w:t>
      </w:r>
      <w:r>
        <w:rPr>
          <w:sz w:val="24"/>
          <w:szCs w:val="24"/>
        </w:rPr>
        <w:fldChar w:fldCharType="end"/>
      </w:r>
      <w:r>
        <w:rPr>
          <w:rFonts w:hint="eastAsia" w:ascii="宋体" w:hAnsi="宋体" w:eastAsia="宋体" w:cs="宋体"/>
          <w:sz w:val="24"/>
          <w:szCs w:val="24"/>
        </w:rPr>
        <w:fldChar w:fldCharType="end"/>
      </w:r>
    </w:p>
    <w:p>
      <w:pPr>
        <w:pStyle w:val="26"/>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_Toc29084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3.1 </w:t>
      </w:r>
      <w:r>
        <w:rPr>
          <w:rFonts w:hint="eastAsia"/>
          <w:sz w:val="24"/>
          <w:szCs w:val="24"/>
        </w:rPr>
        <w:t>生产过程</w:t>
      </w:r>
      <w:r>
        <w:rPr>
          <w:rFonts w:hint="eastAsia" w:ascii="Times New Roman" w:hAnsi="Times New Roman" w:eastAsia="宋体"/>
          <w:sz w:val="24"/>
          <w:szCs w:val="24"/>
        </w:rPr>
        <w:t>危险和有害因素分析</w:t>
      </w:r>
      <w:r>
        <w:rPr>
          <w:sz w:val="24"/>
          <w:szCs w:val="24"/>
        </w:rPr>
        <w:tab/>
      </w:r>
      <w:r>
        <w:rPr>
          <w:sz w:val="24"/>
          <w:szCs w:val="24"/>
        </w:rPr>
        <w:fldChar w:fldCharType="begin"/>
      </w:r>
      <w:r>
        <w:rPr>
          <w:sz w:val="24"/>
          <w:szCs w:val="24"/>
        </w:rPr>
        <w:instrText xml:space="preserve"> PAGEREF _Toc29084 \h </w:instrText>
      </w:r>
      <w:r>
        <w:rPr>
          <w:sz w:val="24"/>
          <w:szCs w:val="24"/>
        </w:rPr>
        <w:fldChar w:fldCharType="separate"/>
      </w:r>
      <w:r>
        <w:rPr>
          <w:sz w:val="24"/>
          <w:szCs w:val="24"/>
        </w:rPr>
        <w:t>55</w:t>
      </w:r>
      <w:r>
        <w:rPr>
          <w:sz w:val="24"/>
          <w:szCs w:val="24"/>
        </w:rPr>
        <w:fldChar w:fldCharType="end"/>
      </w:r>
      <w:r>
        <w:rPr>
          <w:rFonts w:hint="eastAsia" w:ascii="宋体" w:hAnsi="宋体" w:eastAsia="宋体" w:cs="宋体"/>
          <w:sz w:val="24"/>
          <w:szCs w:val="24"/>
        </w:rPr>
        <w:fldChar w:fldCharType="end"/>
      </w:r>
    </w:p>
    <w:p>
      <w:pPr>
        <w:pStyle w:val="17"/>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_Toc20175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3.1.1 </w:t>
      </w:r>
      <w:r>
        <w:rPr>
          <w:rFonts w:hint="eastAsia"/>
          <w:sz w:val="24"/>
          <w:szCs w:val="24"/>
        </w:rPr>
        <w:t>人的因素</w:t>
      </w:r>
      <w:r>
        <w:rPr>
          <w:sz w:val="24"/>
          <w:szCs w:val="24"/>
        </w:rPr>
        <w:tab/>
      </w:r>
      <w:r>
        <w:rPr>
          <w:sz w:val="24"/>
          <w:szCs w:val="24"/>
        </w:rPr>
        <w:fldChar w:fldCharType="begin"/>
      </w:r>
      <w:r>
        <w:rPr>
          <w:sz w:val="24"/>
          <w:szCs w:val="24"/>
        </w:rPr>
        <w:instrText xml:space="preserve"> PAGEREF _Toc20175 \h </w:instrText>
      </w:r>
      <w:r>
        <w:rPr>
          <w:sz w:val="24"/>
          <w:szCs w:val="24"/>
        </w:rPr>
        <w:fldChar w:fldCharType="separate"/>
      </w:r>
      <w:r>
        <w:rPr>
          <w:sz w:val="24"/>
          <w:szCs w:val="24"/>
        </w:rPr>
        <w:t>55</w:t>
      </w:r>
      <w:r>
        <w:rPr>
          <w:sz w:val="24"/>
          <w:szCs w:val="24"/>
        </w:rPr>
        <w:fldChar w:fldCharType="end"/>
      </w:r>
      <w:r>
        <w:rPr>
          <w:rFonts w:hint="eastAsia" w:ascii="宋体" w:hAnsi="宋体" w:eastAsia="宋体" w:cs="宋体"/>
          <w:sz w:val="24"/>
          <w:szCs w:val="24"/>
        </w:rPr>
        <w:fldChar w:fldCharType="end"/>
      </w:r>
    </w:p>
    <w:p>
      <w:pPr>
        <w:pStyle w:val="17"/>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_Toc25667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3.1.2 </w:t>
      </w:r>
      <w:r>
        <w:rPr>
          <w:rFonts w:hint="eastAsia"/>
          <w:sz w:val="24"/>
          <w:szCs w:val="24"/>
        </w:rPr>
        <w:t>物的因素</w:t>
      </w:r>
      <w:r>
        <w:rPr>
          <w:sz w:val="24"/>
          <w:szCs w:val="24"/>
        </w:rPr>
        <w:tab/>
      </w:r>
      <w:r>
        <w:rPr>
          <w:sz w:val="24"/>
          <w:szCs w:val="24"/>
        </w:rPr>
        <w:fldChar w:fldCharType="begin"/>
      </w:r>
      <w:r>
        <w:rPr>
          <w:sz w:val="24"/>
          <w:szCs w:val="24"/>
        </w:rPr>
        <w:instrText xml:space="preserve"> PAGEREF _Toc25667 \h </w:instrText>
      </w:r>
      <w:r>
        <w:rPr>
          <w:sz w:val="24"/>
          <w:szCs w:val="24"/>
        </w:rPr>
        <w:fldChar w:fldCharType="separate"/>
      </w:r>
      <w:r>
        <w:rPr>
          <w:sz w:val="24"/>
          <w:szCs w:val="24"/>
        </w:rPr>
        <w:t>56</w:t>
      </w:r>
      <w:r>
        <w:rPr>
          <w:sz w:val="24"/>
          <w:szCs w:val="24"/>
        </w:rPr>
        <w:fldChar w:fldCharType="end"/>
      </w:r>
      <w:r>
        <w:rPr>
          <w:rFonts w:hint="eastAsia" w:ascii="宋体" w:hAnsi="宋体" w:eastAsia="宋体" w:cs="宋体"/>
          <w:sz w:val="24"/>
          <w:szCs w:val="24"/>
        </w:rPr>
        <w:fldChar w:fldCharType="end"/>
      </w:r>
    </w:p>
    <w:p>
      <w:pPr>
        <w:pStyle w:val="17"/>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_Toc2370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3.1.3 </w:t>
      </w:r>
      <w:r>
        <w:rPr>
          <w:rFonts w:hint="eastAsia"/>
          <w:sz w:val="24"/>
          <w:szCs w:val="24"/>
        </w:rPr>
        <w:t>环境因素</w:t>
      </w:r>
      <w:r>
        <w:rPr>
          <w:sz w:val="24"/>
          <w:szCs w:val="24"/>
        </w:rPr>
        <w:tab/>
      </w:r>
      <w:r>
        <w:rPr>
          <w:sz w:val="24"/>
          <w:szCs w:val="24"/>
        </w:rPr>
        <w:fldChar w:fldCharType="begin"/>
      </w:r>
      <w:r>
        <w:rPr>
          <w:sz w:val="24"/>
          <w:szCs w:val="24"/>
        </w:rPr>
        <w:instrText xml:space="preserve"> PAGEREF _Toc2370 \h </w:instrText>
      </w:r>
      <w:r>
        <w:rPr>
          <w:sz w:val="24"/>
          <w:szCs w:val="24"/>
        </w:rPr>
        <w:fldChar w:fldCharType="separate"/>
      </w:r>
      <w:r>
        <w:rPr>
          <w:sz w:val="24"/>
          <w:szCs w:val="24"/>
        </w:rPr>
        <w:t>60</w:t>
      </w:r>
      <w:r>
        <w:rPr>
          <w:sz w:val="24"/>
          <w:szCs w:val="24"/>
        </w:rPr>
        <w:fldChar w:fldCharType="end"/>
      </w:r>
      <w:r>
        <w:rPr>
          <w:rFonts w:hint="eastAsia" w:ascii="宋体" w:hAnsi="宋体" w:eastAsia="宋体" w:cs="宋体"/>
          <w:sz w:val="24"/>
          <w:szCs w:val="24"/>
        </w:rPr>
        <w:fldChar w:fldCharType="end"/>
      </w:r>
    </w:p>
    <w:p>
      <w:pPr>
        <w:pStyle w:val="17"/>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_Toc20851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3.1.4 </w:t>
      </w:r>
      <w:r>
        <w:rPr>
          <w:rFonts w:hint="eastAsia"/>
          <w:sz w:val="24"/>
          <w:szCs w:val="24"/>
        </w:rPr>
        <w:t>管理</w:t>
      </w:r>
      <w:r>
        <w:rPr>
          <w:sz w:val="24"/>
          <w:szCs w:val="24"/>
        </w:rPr>
        <w:t>因素</w:t>
      </w:r>
      <w:r>
        <w:rPr>
          <w:sz w:val="24"/>
          <w:szCs w:val="24"/>
        </w:rPr>
        <w:tab/>
      </w:r>
      <w:r>
        <w:rPr>
          <w:sz w:val="24"/>
          <w:szCs w:val="24"/>
        </w:rPr>
        <w:fldChar w:fldCharType="begin"/>
      </w:r>
      <w:r>
        <w:rPr>
          <w:sz w:val="24"/>
          <w:szCs w:val="24"/>
        </w:rPr>
        <w:instrText xml:space="preserve"> PAGEREF _Toc20851 \h </w:instrText>
      </w:r>
      <w:r>
        <w:rPr>
          <w:sz w:val="24"/>
          <w:szCs w:val="24"/>
        </w:rPr>
        <w:fldChar w:fldCharType="separate"/>
      </w:r>
      <w:r>
        <w:rPr>
          <w:sz w:val="24"/>
          <w:szCs w:val="24"/>
        </w:rPr>
        <w:t>60</w:t>
      </w:r>
      <w:r>
        <w:rPr>
          <w:sz w:val="24"/>
          <w:szCs w:val="24"/>
        </w:rPr>
        <w:fldChar w:fldCharType="end"/>
      </w:r>
      <w:r>
        <w:rPr>
          <w:rFonts w:hint="eastAsia" w:ascii="宋体" w:hAnsi="宋体" w:eastAsia="宋体" w:cs="宋体"/>
          <w:sz w:val="24"/>
          <w:szCs w:val="24"/>
        </w:rPr>
        <w:fldChar w:fldCharType="end"/>
      </w:r>
    </w:p>
    <w:p>
      <w:pPr>
        <w:pStyle w:val="26"/>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_Toc8400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3.2 </w:t>
      </w:r>
      <w:r>
        <w:rPr>
          <w:rFonts w:hint="eastAsia"/>
          <w:sz w:val="24"/>
          <w:szCs w:val="24"/>
        </w:rPr>
        <w:t>生产工艺危险和有害因素分析</w:t>
      </w:r>
      <w:r>
        <w:rPr>
          <w:sz w:val="24"/>
          <w:szCs w:val="24"/>
        </w:rPr>
        <w:tab/>
      </w:r>
      <w:r>
        <w:rPr>
          <w:sz w:val="24"/>
          <w:szCs w:val="24"/>
        </w:rPr>
        <w:fldChar w:fldCharType="begin"/>
      </w:r>
      <w:r>
        <w:rPr>
          <w:sz w:val="24"/>
          <w:szCs w:val="24"/>
        </w:rPr>
        <w:instrText xml:space="preserve"> PAGEREF _Toc8400 \h </w:instrText>
      </w:r>
      <w:r>
        <w:rPr>
          <w:sz w:val="24"/>
          <w:szCs w:val="24"/>
        </w:rPr>
        <w:fldChar w:fldCharType="separate"/>
      </w:r>
      <w:r>
        <w:rPr>
          <w:sz w:val="24"/>
          <w:szCs w:val="24"/>
        </w:rPr>
        <w:t>60</w:t>
      </w:r>
      <w:r>
        <w:rPr>
          <w:sz w:val="24"/>
          <w:szCs w:val="24"/>
        </w:rPr>
        <w:fldChar w:fldCharType="end"/>
      </w:r>
      <w:r>
        <w:rPr>
          <w:rFonts w:hint="eastAsia" w:ascii="宋体" w:hAnsi="宋体" w:eastAsia="宋体" w:cs="宋体"/>
          <w:sz w:val="24"/>
          <w:szCs w:val="24"/>
        </w:rPr>
        <w:fldChar w:fldCharType="end"/>
      </w:r>
    </w:p>
    <w:p>
      <w:pPr>
        <w:pStyle w:val="17"/>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_Toc28121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3.2.1 </w:t>
      </w:r>
      <w:r>
        <w:rPr>
          <w:rFonts w:hint="eastAsia"/>
          <w:sz w:val="24"/>
          <w:szCs w:val="24"/>
        </w:rPr>
        <w:t>物体打击</w:t>
      </w:r>
      <w:r>
        <w:rPr>
          <w:sz w:val="24"/>
          <w:szCs w:val="24"/>
        </w:rPr>
        <w:tab/>
      </w:r>
      <w:r>
        <w:rPr>
          <w:sz w:val="24"/>
          <w:szCs w:val="24"/>
        </w:rPr>
        <w:fldChar w:fldCharType="begin"/>
      </w:r>
      <w:r>
        <w:rPr>
          <w:sz w:val="24"/>
          <w:szCs w:val="24"/>
        </w:rPr>
        <w:instrText xml:space="preserve"> PAGEREF _Toc28121 \h </w:instrText>
      </w:r>
      <w:r>
        <w:rPr>
          <w:sz w:val="24"/>
          <w:szCs w:val="24"/>
        </w:rPr>
        <w:fldChar w:fldCharType="separate"/>
      </w:r>
      <w:r>
        <w:rPr>
          <w:sz w:val="24"/>
          <w:szCs w:val="24"/>
        </w:rPr>
        <w:t>61</w:t>
      </w:r>
      <w:r>
        <w:rPr>
          <w:sz w:val="24"/>
          <w:szCs w:val="24"/>
        </w:rPr>
        <w:fldChar w:fldCharType="end"/>
      </w:r>
      <w:r>
        <w:rPr>
          <w:rFonts w:hint="eastAsia" w:ascii="宋体" w:hAnsi="宋体" w:eastAsia="宋体" w:cs="宋体"/>
          <w:sz w:val="24"/>
          <w:szCs w:val="24"/>
        </w:rPr>
        <w:fldChar w:fldCharType="end"/>
      </w:r>
    </w:p>
    <w:p>
      <w:pPr>
        <w:pStyle w:val="17"/>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_Toc31888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3.2.2 </w:t>
      </w:r>
      <w:r>
        <w:rPr>
          <w:rFonts w:hint="eastAsia"/>
          <w:sz w:val="24"/>
          <w:szCs w:val="24"/>
        </w:rPr>
        <w:t>车辆伤害</w:t>
      </w:r>
      <w:r>
        <w:rPr>
          <w:sz w:val="24"/>
          <w:szCs w:val="24"/>
        </w:rPr>
        <w:tab/>
      </w:r>
      <w:r>
        <w:rPr>
          <w:sz w:val="24"/>
          <w:szCs w:val="24"/>
        </w:rPr>
        <w:fldChar w:fldCharType="begin"/>
      </w:r>
      <w:r>
        <w:rPr>
          <w:sz w:val="24"/>
          <w:szCs w:val="24"/>
        </w:rPr>
        <w:instrText xml:space="preserve"> PAGEREF _Toc31888 \h </w:instrText>
      </w:r>
      <w:r>
        <w:rPr>
          <w:sz w:val="24"/>
          <w:szCs w:val="24"/>
        </w:rPr>
        <w:fldChar w:fldCharType="separate"/>
      </w:r>
      <w:r>
        <w:rPr>
          <w:sz w:val="24"/>
          <w:szCs w:val="24"/>
        </w:rPr>
        <w:t>61</w:t>
      </w:r>
      <w:r>
        <w:rPr>
          <w:sz w:val="24"/>
          <w:szCs w:val="24"/>
        </w:rPr>
        <w:fldChar w:fldCharType="end"/>
      </w:r>
      <w:r>
        <w:rPr>
          <w:rFonts w:hint="eastAsia" w:ascii="宋体" w:hAnsi="宋体" w:eastAsia="宋体" w:cs="宋体"/>
          <w:sz w:val="24"/>
          <w:szCs w:val="24"/>
        </w:rPr>
        <w:fldChar w:fldCharType="end"/>
      </w:r>
    </w:p>
    <w:p>
      <w:pPr>
        <w:pStyle w:val="17"/>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_Toc14698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3.2.3 </w:t>
      </w:r>
      <w:r>
        <w:rPr>
          <w:rFonts w:hint="eastAsia"/>
          <w:sz w:val="24"/>
          <w:szCs w:val="24"/>
        </w:rPr>
        <w:t>机械伤害</w:t>
      </w:r>
      <w:r>
        <w:rPr>
          <w:sz w:val="24"/>
          <w:szCs w:val="24"/>
        </w:rPr>
        <w:tab/>
      </w:r>
      <w:r>
        <w:rPr>
          <w:sz w:val="24"/>
          <w:szCs w:val="24"/>
        </w:rPr>
        <w:fldChar w:fldCharType="begin"/>
      </w:r>
      <w:r>
        <w:rPr>
          <w:sz w:val="24"/>
          <w:szCs w:val="24"/>
        </w:rPr>
        <w:instrText xml:space="preserve"> PAGEREF _Toc14698 \h </w:instrText>
      </w:r>
      <w:r>
        <w:rPr>
          <w:sz w:val="24"/>
          <w:szCs w:val="24"/>
        </w:rPr>
        <w:fldChar w:fldCharType="separate"/>
      </w:r>
      <w:r>
        <w:rPr>
          <w:sz w:val="24"/>
          <w:szCs w:val="24"/>
        </w:rPr>
        <w:t>62</w:t>
      </w:r>
      <w:r>
        <w:rPr>
          <w:sz w:val="24"/>
          <w:szCs w:val="24"/>
        </w:rPr>
        <w:fldChar w:fldCharType="end"/>
      </w:r>
      <w:r>
        <w:rPr>
          <w:rFonts w:hint="eastAsia" w:ascii="宋体" w:hAnsi="宋体" w:eastAsia="宋体" w:cs="宋体"/>
          <w:sz w:val="24"/>
          <w:szCs w:val="24"/>
        </w:rPr>
        <w:fldChar w:fldCharType="end"/>
      </w:r>
    </w:p>
    <w:p>
      <w:pPr>
        <w:pStyle w:val="17"/>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_Toc10379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3.2.4 </w:t>
      </w:r>
      <w:r>
        <w:rPr>
          <w:rFonts w:hint="eastAsia"/>
          <w:sz w:val="24"/>
          <w:szCs w:val="24"/>
        </w:rPr>
        <w:t>起重伤害</w:t>
      </w:r>
      <w:r>
        <w:rPr>
          <w:sz w:val="24"/>
          <w:szCs w:val="24"/>
        </w:rPr>
        <w:tab/>
      </w:r>
      <w:r>
        <w:rPr>
          <w:sz w:val="24"/>
          <w:szCs w:val="24"/>
        </w:rPr>
        <w:fldChar w:fldCharType="begin"/>
      </w:r>
      <w:r>
        <w:rPr>
          <w:sz w:val="24"/>
          <w:szCs w:val="24"/>
        </w:rPr>
        <w:instrText xml:space="preserve"> PAGEREF _Toc10379 \h </w:instrText>
      </w:r>
      <w:r>
        <w:rPr>
          <w:sz w:val="24"/>
          <w:szCs w:val="24"/>
        </w:rPr>
        <w:fldChar w:fldCharType="separate"/>
      </w:r>
      <w:r>
        <w:rPr>
          <w:sz w:val="24"/>
          <w:szCs w:val="24"/>
        </w:rPr>
        <w:t>63</w:t>
      </w:r>
      <w:r>
        <w:rPr>
          <w:sz w:val="24"/>
          <w:szCs w:val="24"/>
        </w:rPr>
        <w:fldChar w:fldCharType="end"/>
      </w:r>
      <w:r>
        <w:rPr>
          <w:rFonts w:hint="eastAsia" w:ascii="宋体" w:hAnsi="宋体" w:eastAsia="宋体" w:cs="宋体"/>
          <w:sz w:val="24"/>
          <w:szCs w:val="24"/>
        </w:rPr>
        <w:fldChar w:fldCharType="end"/>
      </w:r>
    </w:p>
    <w:p>
      <w:pPr>
        <w:pStyle w:val="17"/>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_Toc2059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3.2.5 </w:t>
      </w:r>
      <w:r>
        <w:rPr>
          <w:rFonts w:hint="eastAsia"/>
          <w:sz w:val="24"/>
          <w:szCs w:val="24"/>
        </w:rPr>
        <w:t>触电</w:t>
      </w:r>
      <w:r>
        <w:rPr>
          <w:sz w:val="24"/>
          <w:szCs w:val="24"/>
        </w:rPr>
        <w:tab/>
      </w:r>
      <w:r>
        <w:rPr>
          <w:sz w:val="24"/>
          <w:szCs w:val="24"/>
        </w:rPr>
        <w:fldChar w:fldCharType="begin"/>
      </w:r>
      <w:r>
        <w:rPr>
          <w:sz w:val="24"/>
          <w:szCs w:val="24"/>
        </w:rPr>
        <w:instrText xml:space="preserve"> PAGEREF _Toc2059 \h </w:instrText>
      </w:r>
      <w:r>
        <w:rPr>
          <w:sz w:val="24"/>
          <w:szCs w:val="24"/>
        </w:rPr>
        <w:fldChar w:fldCharType="separate"/>
      </w:r>
      <w:r>
        <w:rPr>
          <w:sz w:val="24"/>
          <w:szCs w:val="24"/>
        </w:rPr>
        <w:t>64</w:t>
      </w:r>
      <w:r>
        <w:rPr>
          <w:sz w:val="24"/>
          <w:szCs w:val="24"/>
        </w:rPr>
        <w:fldChar w:fldCharType="end"/>
      </w:r>
      <w:r>
        <w:rPr>
          <w:rFonts w:hint="eastAsia" w:ascii="宋体" w:hAnsi="宋体" w:eastAsia="宋体" w:cs="宋体"/>
          <w:sz w:val="24"/>
          <w:szCs w:val="24"/>
        </w:rPr>
        <w:fldChar w:fldCharType="end"/>
      </w:r>
    </w:p>
    <w:p>
      <w:pPr>
        <w:pStyle w:val="17"/>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_Toc18705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3.2.6 </w:t>
      </w:r>
      <w:r>
        <w:rPr>
          <w:rFonts w:hint="eastAsia"/>
          <w:sz w:val="24"/>
          <w:szCs w:val="24"/>
        </w:rPr>
        <w:t>灼烫</w:t>
      </w:r>
      <w:r>
        <w:rPr>
          <w:sz w:val="24"/>
          <w:szCs w:val="24"/>
        </w:rPr>
        <w:tab/>
      </w:r>
      <w:r>
        <w:rPr>
          <w:sz w:val="24"/>
          <w:szCs w:val="24"/>
        </w:rPr>
        <w:fldChar w:fldCharType="begin"/>
      </w:r>
      <w:r>
        <w:rPr>
          <w:sz w:val="24"/>
          <w:szCs w:val="24"/>
        </w:rPr>
        <w:instrText xml:space="preserve"> PAGEREF _Toc18705 \h </w:instrText>
      </w:r>
      <w:r>
        <w:rPr>
          <w:sz w:val="24"/>
          <w:szCs w:val="24"/>
        </w:rPr>
        <w:fldChar w:fldCharType="separate"/>
      </w:r>
      <w:r>
        <w:rPr>
          <w:sz w:val="24"/>
          <w:szCs w:val="24"/>
        </w:rPr>
        <w:t>64</w:t>
      </w:r>
      <w:r>
        <w:rPr>
          <w:sz w:val="24"/>
          <w:szCs w:val="24"/>
        </w:rPr>
        <w:fldChar w:fldCharType="end"/>
      </w:r>
      <w:r>
        <w:rPr>
          <w:rFonts w:hint="eastAsia" w:ascii="宋体" w:hAnsi="宋体" w:eastAsia="宋体" w:cs="宋体"/>
          <w:sz w:val="24"/>
          <w:szCs w:val="24"/>
        </w:rPr>
        <w:fldChar w:fldCharType="end"/>
      </w:r>
    </w:p>
    <w:p>
      <w:pPr>
        <w:pStyle w:val="17"/>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_Toc29921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3.2.7 </w:t>
      </w:r>
      <w:r>
        <w:rPr>
          <w:rFonts w:hint="eastAsia"/>
          <w:sz w:val="24"/>
          <w:szCs w:val="24"/>
        </w:rPr>
        <w:t>火灾</w:t>
      </w:r>
      <w:r>
        <w:rPr>
          <w:sz w:val="24"/>
          <w:szCs w:val="24"/>
        </w:rPr>
        <w:tab/>
      </w:r>
      <w:r>
        <w:rPr>
          <w:sz w:val="24"/>
          <w:szCs w:val="24"/>
        </w:rPr>
        <w:fldChar w:fldCharType="begin"/>
      </w:r>
      <w:r>
        <w:rPr>
          <w:sz w:val="24"/>
          <w:szCs w:val="24"/>
        </w:rPr>
        <w:instrText xml:space="preserve"> PAGEREF _Toc29921 \h </w:instrText>
      </w:r>
      <w:r>
        <w:rPr>
          <w:sz w:val="24"/>
          <w:szCs w:val="24"/>
        </w:rPr>
        <w:fldChar w:fldCharType="separate"/>
      </w:r>
      <w:r>
        <w:rPr>
          <w:sz w:val="24"/>
          <w:szCs w:val="24"/>
        </w:rPr>
        <w:t>65</w:t>
      </w:r>
      <w:r>
        <w:rPr>
          <w:sz w:val="24"/>
          <w:szCs w:val="24"/>
        </w:rPr>
        <w:fldChar w:fldCharType="end"/>
      </w:r>
      <w:r>
        <w:rPr>
          <w:rFonts w:hint="eastAsia" w:ascii="宋体" w:hAnsi="宋体" w:eastAsia="宋体" w:cs="宋体"/>
          <w:sz w:val="24"/>
          <w:szCs w:val="24"/>
        </w:rPr>
        <w:fldChar w:fldCharType="end"/>
      </w:r>
    </w:p>
    <w:p>
      <w:pPr>
        <w:pStyle w:val="17"/>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_Toc15483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3.2.8 </w:t>
      </w:r>
      <w:r>
        <w:rPr>
          <w:rFonts w:hint="eastAsia"/>
          <w:sz w:val="24"/>
          <w:szCs w:val="24"/>
        </w:rPr>
        <w:t>高处坠落</w:t>
      </w:r>
      <w:r>
        <w:rPr>
          <w:sz w:val="24"/>
          <w:szCs w:val="24"/>
        </w:rPr>
        <w:tab/>
      </w:r>
      <w:r>
        <w:rPr>
          <w:sz w:val="24"/>
          <w:szCs w:val="24"/>
        </w:rPr>
        <w:fldChar w:fldCharType="begin"/>
      </w:r>
      <w:r>
        <w:rPr>
          <w:sz w:val="24"/>
          <w:szCs w:val="24"/>
        </w:rPr>
        <w:instrText xml:space="preserve"> PAGEREF _Toc15483 \h </w:instrText>
      </w:r>
      <w:r>
        <w:rPr>
          <w:sz w:val="24"/>
          <w:szCs w:val="24"/>
        </w:rPr>
        <w:fldChar w:fldCharType="separate"/>
      </w:r>
      <w:r>
        <w:rPr>
          <w:sz w:val="24"/>
          <w:szCs w:val="24"/>
        </w:rPr>
        <w:t>66</w:t>
      </w:r>
      <w:r>
        <w:rPr>
          <w:sz w:val="24"/>
          <w:szCs w:val="24"/>
        </w:rPr>
        <w:fldChar w:fldCharType="end"/>
      </w:r>
      <w:r>
        <w:rPr>
          <w:rFonts w:hint="eastAsia" w:ascii="宋体" w:hAnsi="宋体" w:eastAsia="宋体" w:cs="宋体"/>
          <w:sz w:val="24"/>
          <w:szCs w:val="24"/>
        </w:rPr>
        <w:fldChar w:fldCharType="end"/>
      </w:r>
    </w:p>
    <w:p>
      <w:pPr>
        <w:pStyle w:val="17"/>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_Toc32128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3.2.9 </w:t>
      </w:r>
      <w:r>
        <w:rPr>
          <w:rFonts w:hint="eastAsia"/>
          <w:sz w:val="24"/>
          <w:szCs w:val="24"/>
        </w:rPr>
        <w:t>容器爆炸</w:t>
      </w:r>
      <w:r>
        <w:rPr>
          <w:sz w:val="24"/>
          <w:szCs w:val="24"/>
        </w:rPr>
        <w:tab/>
      </w:r>
      <w:r>
        <w:rPr>
          <w:sz w:val="24"/>
          <w:szCs w:val="24"/>
        </w:rPr>
        <w:fldChar w:fldCharType="begin"/>
      </w:r>
      <w:r>
        <w:rPr>
          <w:sz w:val="24"/>
          <w:szCs w:val="24"/>
        </w:rPr>
        <w:instrText xml:space="preserve"> PAGEREF _Toc32128 \h </w:instrText>
      </w:r>
      <w:r>
        <w:rPr>
          <w:sz w:val="24"/>
          <w:szCs w:val="24"/>
        </w:rPr>
        <w:fldChar w:fldCharType="separate"/>
      </w:r>
      <w:r>
        <w:rPr>
          <w:sz w:val="24"/>
          <w:szCs w:val="24"/>
        </w:rPr>
        <w:t>66</w:t>
      </w:r>
      <w:r>
        <w:rPr>
          <w:sz w:val="24"/>
          <w:szCs w:val="24"/>
        </w:rPr>
        <w:fldChar w:fldCharType="end"/>
      </w:r>
      <w:r>
        <w:rPr>
          <w:rFonts w:hint="eastAsia" w:ascii="宋体" w:hAnsi="宋体" w:eastAsia="宋体" w:cs="宋体"/>
          <w:sz w:val="24"/>
          <w:szCs w:val="24"/>
        </w:rPr>
        <w:fldChar w:fldCharType="end"/>
      </w:r>
    </w:p>
    <w:p>
      <w:pPr>
        <w:pStyle w:val="17"/>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_Toc18468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3.2.10 </w:t>
      </w:r>
      <w:r>
        <w:rPr>
          <w:rFonts w:hint="eastAsia"/>
          <w:sz w:val="24"/>
          <w:szCs w:val="24"/>
        </w:rPr>
        <w:t>其他爆炸</w:t>
      </w:r>
      <w:r>
        <w:rPr>
          <w:sz w:val="24"/>
          <w:szCs w:val="24"/>
        </w:rPr>
        <w:tab/>
      </w:r>
      <w:r>
        <w:rPr>
          <w:sz w:val="24"/>
          <w:szCs w:val="24"/>
        </w:rPr>
        <w:fldChar w:fldCharType="begin"/>
      </w:r>
      <w:r>
        <w:rPr>
          <w:sz w:val="24"/>
          <w:szCs w:val="24"/>
        </w:rPr>
        <w:instrText xml:space="preserve"> PAGEREF _Toc18468 \h </w:instrText>
      </w:r>
      <w:r>
        <w:rPr>
          <w:sz w:val="24"/>
          <w:szCs w:val="24"/>
        </w:rPr>
        <w:fldChar w:fldCharType="separate"/>
      </w:r>
      <w:r>
        <w:rPr>
          <w:sz w:val="24"/>
          <w:szCs w:val="24"/>
        </w:rPr>
        <w:t>67</w:t>
      </w:r>
      <w:r>
        <w:rPr>
          <w:sz w:val="24"/>
          <w:szCs w:val="24"/>
        </w:rPr>
        <w:fldChar w:fldCharType="end"/>
      </w:r>
      <w:r>
        <w:rPr>
          <w:rFonts w:hint="eastAsia" w:ascii="宋体" w:hAnsi="宋体" w:eastAsia="宋体" w:cs="宋体"/>
          <w:sz w:val="24"/>
          <w:szCs w:val="24"/>
        </w:rPr>
        <w:fldChar w:fldCharType="end"/>
      </w:r>
    </w:p>
    <w:p>
      <w:pPr>
        <w:pStyle w:val="17"/>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_Toc32649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3.2.11 </w:t>
      </w:r>
      <w:r>
        <w:rPr>
          <w:rFonts w:hint="eastAsia"/>
          <w:sz w:val="24"/>
          <w:szCs w:val="24"/>
        </w:rPr>
        <w:t>中毒窒息</w:t>
      </w:r>
      <w:r>
        <w:rPr>
          <w:sz w:val="24"/>
          <w:szCs w:val="24"/>
        </w:rPr>
        <w:tab/>
      </w:r>
      <w:r>
        <w:rPr>
          <w:sz w:val="24"/>
          <w:szCs w:val="24"/>
        </w:rPr>
        <w:fldChar w:fldCharType="begin"/>
      </w:r>
      <w:r>
        <w:rPr>
          <w:sz w:val="24"/>
          <w:szCs w:val="24"/>
        </w:rPr>
        <w:instrText xml:space="preserve"> PAGEREF _Toc32649 \h </w:instrText>
      </w:r>
      <w:r>
        <w:rPr>
          <w:sz w:val="24"/>
          <w:szCs w:val="24"/>
        </w:rPr>
        <w:fldChar w:fldCharType="separate"/>
      </w:r>
      <w:r>
        <w:rPr>
          <w:sz w:val="24"/>
          <w:szCs w:val="24"/>
        </w:rPr>
        <w:t>69</w:t>
      </w:r>
      <w:r>
        <w:rPr>
          <w:sz w:val="24"/>
          <w:szCs w:val="24"/>
        </w:rPr>
        <w:fldChar w:fldCharType="end"/>
      </w:r>
      <w:r>
        <w:rPr>
          <w:rFonts w:hint="eastAsia" w:ascii="宋体" w:hAnsi="宋体" w:eastAsia="宋体" w:cs="宋体"/>
          <w:sz w:val="24"/>
          <w:szCs w:val="24"/>
        </w:rPr>
        <w:fldChar w:fldCharType="end"/>
      </w:r>
    </w:p>
    <w:p>
      <w:pPr>
        <w:pStyle w:val="17"/>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_Toc4636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3.2.12 </w:t>
      </w:r>
      <w:r>
        <w:rPr>
          <w:rFonts w:hint="eastAsia"/>
          <w:sz w:val="24"/>
          <w:szCs w:val="24"/>
        </w:rPr>
        <w:t>其他伤害（粉尘危害）</w:t>
      </w:r>
      <w:r>
        <w:rPr>
          <w:sz w:val="24"/>
          <w:szCs w:val="24"/>
        </w:rPr>
        <w:tab/>
      </w:r>
      <w:r>
        <w:rPr>
          <w:sz w:val="24"/>
          <w:szCs w:val="24"/>
        </w:rPr>
        <w:fldChar w:fldCharType="begin"/>
      </w:r>
      <w:r>
        <w:rPr>
          <w:sz w:val="24"/>
          <w:szCs w:val="24"/>
        </w:rPr>
        <w:instrText xml:space="preserve"> PAGEREF _Toc4636 \h </w:instrText>
      </w:r>
      <w:r>
        <w:rPr>
          <w:sz w:val="24"/>
          <w:szCs w:val="24"/>
        </w:rPr>
        <w:fldChar w:fldCharType="separate"/>
      </w:r>
      <w:r>
        <w:rPr>
          <w:sz w:val="24"/>
          <w:szCs w:val="24"/>
        </w:rPr>
        <w:t>69</w:t>
      </w:r>
      <w:r>
        <w:rPr>
          <w:sz w:val="24"/>
          <w:szCs w:val="24"/>
        </w:rPr>
        <w:fldChar w:fldCharType="end"/>
      </w:r>
      <w:r>
        <w:rPr>
          <w:rFonts w:hint="eastAsia" w:ascii="宋体" w:hAnsi="宋体" w:eastAsia="宋体" w:cs="宋体"/>
          <w:sz w:val="24"/>
          <w:szCs w:val="24"/>
        </w:rPr>
        <w:fldChar w:fldCharType="end"/>
      </w:r>
    </w:p>
    <w:p>
      <w:pPr>
        <w:pStyle w:val="17"/>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_Toc29714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3.2.13 </w:t>
      </w:r>
      <w:r>
        <w:rPr>
          <w:rFonts w:hint="eastAsia"/>
          <w:sz w:val="24"/>
          <w:szCs w:val="24"/>
        </w:rPr>
        <w:t>有限空间</w:t>
      </w:r>
      <w:r>
        <w:rPr>
          <w:sz w:val="24"/>
          <w:szCs w:val="24"/>
        </w:rPr>
        <w:tab/>
      </w:r>
      <w:r>
        <w:rPr>
          <w:sz w:val="24"/>
          <w:szCs w:val="24"/>
        </w:rPr>
        <w:fldChar w:fldCharType="begin"/>
      </w:r>
      <w:r>
        <w:rPr>
          <w:sz w:val="24"/>
          <w:szCs w:val="24"/>
        </w:rPr>
        <w:instrText xml:space="preserve"> PAGEREF _Toc29714 \h </w:instrText>
      </w:r>
      <w:r>
        <w:rPr>
          <w:sz w:val="24"/>
          <w:szCs w:val="24"/>
        </w:rPr>
        <w:fldChar w:fldCharType="separate"/>
      </w:r>
      <w:r>
        <w:rPr>
          <w:sz w:val="24"/>
          <w:szCs w:val="24"/>
        </w:rPr>
        <w:t>70</w:t>
      </w:r>
      <w:r>
        <w:rPr>
          <w:sz w:val="24"/>
          <w:szCs w:val="24"/>
        </w:rPr>
        <w:fldChar w:fldCharType="end"/>
      </w:r>
      <w:r>
        <w:rPr>
          <w:rFonts w:hint="eastAsia" w:ascii="宋体" w:hAnsi="宋体" w:eastAsia="宋体" w:cs="宋体"/>
          <w:sz w:val="24"/>
          <w:szCs w:val="24"/>
        </w:rPr>
        <w:fldChar w:fldCharType="end"/>
      </w:r>
    </w:p>
    <w:p>
      <w:pPr>
        <w:pStyle w:val="26"/>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_Toc30034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3.3 </w:t>
      </w:r>
      <w:r>
        <w:rPr>
          <w:rFonts w:hint="eastAsia"/>
          <w:sz w:val="24"/>
          <w:szCs w:val="24"/>
        </w:rPr>
        <w:t>主要物料危险、有害因素分析</w:t>
      </w:r>
      <w:r>
        <w:rPr>
          <w:sz w:val="24"/>
          <w:szCs w:val="24"/>
        </w:rPr>
        <w:tab/>
      </w:r>
      <w:r>
        <w:rPr>
          <w:sz w:val="24"/>
          <w:szCs w:val="24"/>
        </w:rPr>
        <w:fldChar w:fldCharType="begin"/>
      </w:r>
      <w:r>
        <w:rPr>
          <w:sz w:val="24"/>
          <w:szCs w:val="24"/>
        </w:rPr>
        <w:instrText xml:space="preserve"> PAGEREF _Toc30034 \h </w:instrText>
      </w:r>
      <w:r>
        <w:rPr>
          <w:sz w:val="24"/>
          <w:szCs w:val="24"/>
        </w:rPr>
        <w:fldChar w:fldCharType="separate"/>
      </w:r>
      <w:r>
        <w:rPr>
          <w:sz w:val="24"/>
          <w:szCs w:val="24"/>
        </w:rPr>
        <w:t>71</w:t>
      </w:r>
      <w:r>
        <w:rPr>
          <w:sz w:val="24"/>
          <w:szCs w:val="24"/>
        </w:rPr>
        <w:fldChar w:fldCharType="end"/>
      </w:r>
      <w:r>
        <w:rPr>
          <w:rFonts w:hint="eastAsia" w:ascii="宋体" w:hAnsi="宋体" w:eastAsia="宋体" w:cs="宋体"/>
          <w:sz w:val="24"/>
          <w:szCs w:val="24"/>
        </w:rPr>
        <w:fldChar w:fldCharType="end"/>
      </w:r>
    </w:p>
    <w:p>
      <w:pPr>
        <w:pStyle w:val="17"/>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_Toc24474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3.3.1 </w:t>
      </w:r>
      <w:r>
        <w:rPr>
          <w:rFonts w:hint="eastAsia"/>
          <w:sz w:val="24"/>
          <w:szCs w:val="24"/>
        </w:rPr>
        <w:t>项目涉及的危险化学品特性</w:t>
      </w:r>
      <w:r>
        <w:rPr>
          <w:sz w:val="24"/>
          <w:szCs w:val="24"/>
        </w:rPr>
        <w:tab/>
      </w:r>
      <w:r>
        <w:rPr>
          <w:sz w:val="24"/>
          <w:szCs w:val="24"/>
        </w:rPr>
        <w:fldChar w:fldCharType="begin"/>
      </w:r>
      <w:r>
        <w:rPr>
          <w:sz w:val="24"/>
          <w:szCs w:val="24"/>
        </w:rPr>
        <w:instrText xml:space="preserve"> PAGEREF _Toc24474 \h </w:instrText>
      </w:r>
      <w:r>
        <w:rPr>
          <w:sz w:val="24"/>
          <w:szCs w:val="24"/>
        </w:rPr>
        <w:fldChar w:fldCharType="separate"/>
      </w:r>
      <w:r>
        <w:rPr>
          <w:sz w:val="24"/>
          <w:szCs w:val="24"/>
        </w:rPr>
        <w:t>71</w:t>
      </w:r>
      <w:r>
        <w:rPr>
          <w:sz w:val="24"/>
          <w:szCs w:val="24"/>
        </w:rPr>
        <w:fldChar w:fldCharType="end"/>
      </w:r>
      <w:r>
        <w:rPr>
          <w:rFonts w:hint="eastAsia" w:ascii="宋体" w:hAnsi="宋体" w:eastAsia="宋体" w:cs="宋体"/>
          <w:sz w:val="24"/>
          <w:szCs w:val="24"/>
        </w:rPr>
        <w:fldChar w:fldCharType="end"/>
      </w:r>
    </w:p>
    <w:p>
      <w:pPr>
        <w:pStyle w:val="17"/>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_Toc27735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3.3.2 </w:t>
      </w:r>
      <w:r>
        <w:rPr>
          <w:rFonts w:hint="eastAsia"/>
          <w:sz w:val="24"/>
          <w:szCs w:val="24"/>
        </w:rPr>
        <w:t>涉及的危险化学品有害因素分析</w:t>
      </w:r>
      <w:r>
        <w:rPr>
          <w:sz w:val="24"/>
          <w:szCs w:val="24"/>
        </w:rPr>
        <w:tab/>
      </w:r>
      <w:r>
        <w:rPr>
          <w:sz w:val="24"/>
          <w:szCs w:val="24"/>
        </w:rPr>
        <w:fldChar w:fldCharType="begin"/>
      </w:r>
      <w:r>
        <w:rPr>
          <w:sz w:val="24"/>
          <w:szCs w:val="24"/>
        </w:rPr>
        <w:instrText xml:space="preserve"> PAGEREF _Toc27735 \h </w:instrText>
      </w:r>
      <w:r>
        <w:rPr>
          <w:sz w:val="24"/>
          <w:szCs w:val="24"/>
        </w:rPr>
        <w:fldChar w:fldCharType="separate"/>
      </w:r>
      <w:r>
        <w:rPr>
          <w:sz w:val="24"/>
          <w:szCs w:val="24"/>
        </w:rPr>
        <w:t>71</w:t>
      </w:r>
      <w:r>
        <w:rPr>
          <w:sz w:val="24"/>
          <w:szCs w:val="24"/>
        </w:rPr>
        <w:fldChar w:fldCharType="end"/>
      </w:r>
      <w:r>
        <w:rPr>
          <w:rFonts w:hint="eastAsia" w:ascii="宋体" w:hAnsi="宋体" w:eastAsia="宋体" w:cs="宋体"/>
          <w:sz w:val="24"/>
          <w:szCs w:val="24"/>
        </w:rPr>
        <w:fldChar w:fldCharType="end"/>
      </w:r>
    </w:p>
    <w:p>
      <w:pPr>
        <w:pStyle w:val="17"/>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_Toc25176 </w:instrText>
      </w:r>
      <w:r>
        <w:rPr>
          <w:rFonts w:hint="eastAsia" w:ascii="宋体" w:hAnsi="宋体" w:eastAsia="宋体" w:cs="宋体"/>
          <w:sz w:val="24"/>
          <w:szCs w:val="24"/>
        </w:rPr>
        <w:fldChar w:fldCharType="separate"/>
      </w:r>
      <w:r>
        <w:rPr>
          <w:rFonts w:hint="eastAsia" w:ascii="宋体" w:hAnsi="宋体" w:eastAsia="宋体" w:cs="宋体"/>
          <w:bCs/>
          <w:kern w:val="2"/>
          <w:sz w:val="24"/>
          <w:szCs w:val="24"/>
          <w:lang w:val="en-US" w:eastAsia="zh-CN" w:bidi="ar-SA"/>
        </w:rPr>
        <w:t xml:space="preserve">3.3.3 </w:t>
      </w:r>
      <w:r>
        <w:rPr>
          <w:rFonts w:hint="eastAsia" w:cs="Times New Roman"/>
          <w:bCs/>
          <w:kern w:val="2"/>
          <w:sz w:val="24"/>
          <w:szCs w:val="24"/>
          <w:lang w:val="en-US" w:eastAsia="zh-CN" w:bidi="ar-SA"/>
        </w:rPr>
        <w:t>危险化学品的理化特性</w:t>
      </w:r>
      <w:r>
        <w:rPr>
          <w:sz w:val="24"/>
          <w:szCs w:val="24"/>
        </w:rPr>
        <w:tab/>
      </w:r>
      <w:r>
        <w:rPr>
          <w:sz w:val="24"/>
          <w:szCs w:val="24"/>
        </w:rPr>
        <w:fldChar w:fldCharType="begin"/>
      </w:r>
      <w:r>
        <w:rPr>
          <w:sz w:val="24"/>
          <w:szCs w:val="24"/>
        </w:rPr>
        <w:instrText xml:space="preserve"> PAGEREF _Toc25176 \h </w:instrText>
      </w:r>
      <w:r>
        <w:rPr>
          <w:sz w:val="24"/>
          <w:szCs w:val="24"/>
        </w:rPr>
        <w:fldChar w:fldCharType="separate"/>
      </w:r>
      <w:r>
        <w:rPr>
          <w:sz w:val="24"/>
          <w:szCs w:val="24"/>
        </w:rPr>
        <w:t>73</w:t>
      </w:r>
      <w:r>
        <w:rPr>
          <w:sz w:val="24"/>
          <w:szCs w:val="24"/>
        </w:rPr>
        <w:fldChar w:fldCharType="end"/>
      </w:r>
      <w:r>
        <w:rPr>
          <w:rFonts w:hint="eastAsia" w:ascii="宋体" w:hAnsi="宋体" w:eastAsia="宋体" w:cs="宋体"/>
          <w:sz w:val="24"/>
          <w:szCs w:val="24"/>
        </w:rPr>
        <w:fldChar w:fldCharType="end"/>
      </w:r>
    </w:p>
    <w:p>
      <w:pPr>
        <w:pStyle w:val="26"/>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_Toc28383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3.4 </w:t>
      </w:r>
      <w:r>
        <w:rPr>
          <w:rFonts w:hint="eastAsia"/>
          <w:sz w:val="24"/>
          <w:szCs w:val="24"/>
        </w:rPr>
        <w:t>总平面布置危险性分析</w:t>
      </w:r>
      <w:r>
        <w:rPr>
          <w:sz w:val="24"/>
          <w:szCs w:val="24"/>
        </w:rPr>
        <w:tab/>
      </w:r>
      <w:r>
        <w:rPr>
          <w:sz w:val="24"/>
          <w:szCs w:val="24"/>
        </w:rPr>
        <w:fldChar w:fldCharType="begin"/>
      </w:r>
      <w:r>
        <w:rPr>
          <w:sz w:val="24"/>
          <w:szCs w:val="24"/>
        </w:rPr>
        <w:instrText xml:space="preserve"> PAGEREF _Toc28383 \h </w:instrText>
      </w:r>
      <w:r>
        <w:rPr>
          <w:sz w:val="24"/>
          <w:szCs w:val="24"/>
        </w:rPr>
        <w:fldChar w:fldCharType="separate"/>
      </w:r>
      <w:r>
        <w:rPr>
          <w:sz w:val="24"/>
          <w:szCs w:val="24"/>
        </w:rPr>
        <w:t>80</w:t>
      </w:r>
      <w:r>
        <w:rPr>
          <w:sz w:val="24"/>
          <w:szCs w:val="24"/>
        </w:rPr>
        <w:fldChar w:fldCharType="end"/>
      </w:r>
      <w:r>
        <w:rPr>
          <w:rFonts w:hint="eastAsia" w:ascii="宋体" w:hAnsi="宋体" w:eastAsia="宋体" w:cs="宋体"/>
          <w:sz w:val="24"/>
          <w:szCs w:val="24"/>
        </w:rPr>
        <w:fldChar w:fldCharType="end"/>
      </w:r>
    </w:p>
    <w:p>
      <w:pPr>
        <w:pStyle w:val="26"/>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_Toc29720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3.5 </w:t>
      </w:r>
      <w:r>
        <w:rPr>
          <w:rFonts w:hint="eastAsia"/>
          <w:sz w:val="24"/>
          <w:szCs w:val="24"/>
        </w:rPr>
        <w:t>周边环境危险有害因素分析</w:t>
      </w:r>
      <w:r>
        <w:rPr>
          <w:sz w:val="24"/>
          <w:szCs w:val="24"/>
        </w:rPr>
        <w:tab/>
      </w:r>
      <w:r>
        <w:rPr>
          <w:sz w:val="24"/>
          <w:szCs w:val="24"/>
        </w:rPr>
        <w:fldChar w:fldCharType="begin"/>
      </w:r>
      <w:r>
        <w:rPr>
          <w:sz w:val="24"/>
          <w:szCs w:val="24"/>
        </w:rPr>
        <w:instrText xml:space="preserve"> PAGEREF _Toc29720 \h </w:instrText>
      </w:r>
      <w:r>
        <w:rPr>
          <w:sz w:val="24"/>
          <w:szCs w:val="24"/>
        </w:rPr>
        <w:fldChar w:fldCharType="separate"/>
      </w:r>
      <w:r>
        <w:rPr>
          <w:sz w:val="24"/>
          <w:szCs w:val="24"/>
        </w:rPr>
        <w:t>80</w:t>
      </w:r>
      <w:r>
        <w:rPr>
          <w:sz w:val="24"/>
          <w:szCs w:val="24"/>
        </w:rPr>
        <w:fldChar w:fldCharType="end"/>
      </w:r>
      <w:r>
        <w:rPr>
          <w:rFonts w:hint="eastAsia" w:ascii="宋体" w:hAnsi="宋体" w:eastAsia="宋体" w:cs="宋体"/>
          <w:sz w:val="24"/>
          <w:szCs w:val="24"/>
        </w:rPr>
        <w:fldChar w:fldCharType="end"/>
      </w:r>
    </w:p>
    <w:p>
      <w:pPr>
        <w:pStyle w:val="17"/>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_Toc16560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3.5.1 </w:t>
      </w:r>
      <w:r>
        <w:rPr>
          <w:rFonts w:hint="eastAsia"/>
          <w:sz w:val="24"/>
          <w:szCs w:val="24"/>
        </w:rPr>
        <w:t>雷电</w:t>
      </w:r>
      <w:r>
        <w:rPr>
          <w:sz w:val="24"/>
          <w:szCs w:val="24"/>
        </w:rPr>
        <w:tab/>
      </w:r>
      <w:r>
        <w:rPr>
          <w:sz w:val="24"/>
          <w:szCs w:val="24"/>
        </w:rPr>
        <w:fldChar w:fldCharType="begin"/>
      </w:r>
      <w:r>
        <w:rPr>
          <w:sz w:val="24"/>
          <w:szCs w:val="24"/>
        </w:rPr>
        <w:instrText xml:space="preserve"> PAGEREF _Toc16560 \h </w:instrText>
      </w:r>
      <w:r>
        <w:rPr>
          <w:sz w:val="24"/>
          <w:szCs w:val="24"/>
        </w:rPr>
        <w:fldChar w:fldCharType="separate"/>
      </w:r>
      <w:r>
        <w:rPr>
          <w:sz w:val="24"/>
          <w:szCs w:val="24"/>
        </w:rPr>
        <w:t>81</w:t>
      </w:r>
      <w:r>
        <w:rPr>
          <w:sz w:val="24"/>
          <w:szCs w:val="24"/>
        </w:rPr>
        <w:fldChar w:fldCharType="end"/>
      </w:r>
      <w:r>
        <w:rPr>
          <w:rFonts w:hint="eastAsia" w:ascii="宋体" w:hAnsi="宋体" w:eastAsia="宋体" w:cs="宋体"/>
          <w:sz w:val="24"/>
          <w:szCs w:val="24"/>
        </w:rPr>
        <w:fldChar w:fldCharType="end"/>
      </w:r>
    </w:p>
    <w:p>
      <w:pPr>
        <w:pStyle w:val="17"/>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_Toc28689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3.5.2 </w:t>
      </w:r>
      <w:r>
        <w:rPr>
          <w:rFonts w:hint="eastAsia"/>
          <w:sz w:val="24"/>
          <w:szCs w:val="24"/>
        </w:rPr>
        <w:t>地震</w:t>
      </w:r>
      <w:r>
        <w:rPr>
          <w:sz w:val="24"/>
          <w:szCs w:val="24"/>
        </w:rPr>
        <w:tab/>
      </w:r>
      <w:r>
        <w:rPr>
          <w:sz w:val="24"/>
          <w:szCs w:val="24"/>
        </w:rPr>
        <w:fldChar w:fldCharType="begin"/>
      </w:r>
      <w:r>
        <w:rPr>
          <w:sz w:val="24"/>
          <w:szCs w:val="24"/>
        </w:rPr>
        <w:instrText xml:space="preserve"> PAGEREF _Toc28689 \h </w:instrText>
      </w:r>
      <w:r>
        <w:rPr>
          <w:sz w:val="24"/>
          <w:szCs w:val="24"/>
        </w:rPr>
        <w:fldChar w:fldCharType="separate"/>
      </w:r>
      <w:r>
        <w:rPr>
          <w:sz w:val="24"/>
          <w:szCs w:val="24"/>
        </w:rPr>
        <w:t>82</w:t>
      </w:r>
      <w:r>
        <w:rPr>
          <w:sz w:val="24"/>
          <w:szCs w:val="24"/>
        </w:rPr>
        <w:fldChar w:fldCharType="end"/>
      </w:r>
      <w:r>
        <w:rPr>
          <w:rFonts w:hint="eastAsia" w:ascii="宋体" w:hAnsi="宋体" w:eastAsia="宋体" w:cs="宋体"/>
          <w:sz w:val="24"/>
          <w:szCs w:val="24"/>
        </w:rPr>
        <w:fldChar w:fldCharType="end"/>
      </w:r>
    </w:p>
    <w:p>
      <w:pPr>
        <w:pStyle w:val="17"/>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_Toc25759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3.5.3 </w:t>
      </w:r>
      <w:r>
        <w:rPr>
          <w:rFonts w:hint="eastAsia"/>
          <w:sz w:val="24"/>
          <w:szCs w:val="24"/>
          <w:lang w:val="en-US" w:eastAsia="zh-CN"/>
        </w:rPr>
        <w:t>暴雨</w:t>
      </w:r>
      <w:r>
        <w:rPr>
          <w:sz w:val="24"/>
          <w:szCs w:val="24"/>
        </w:rPr>
        <w:tab/>
      </w:r>
      <w:r>
        <w:rPr>
          <w:sz w:val="24"/>
          <w:szCs w:val="24"/>
        </w:rPr>
        <w:fldChar w:fldCharType="begin"/>
      </w:r>
      <w:r>
        <w:rPr>
          <w:sz w:val="24"/>
          <w:szCs w:val="24"/>
        </w:rPr>
        <w:instrText xml:space="preserve"> PAGEREF _Toc25759 \h </w:instrText>
      </w:r>
      <w:r>
        <w:rPr>
          <w:sz w:val="24"/>
          <w:szCs w:val="24"/>
        </w:rPr>
        <w:fldChar w:fldCharType="separate"/>
      </w:r>
      <w:r>
        <w:rPr>
          <w:sz w:val="24"/>
          <w:szCs w:val="24"/>
        </w:rPr>
        <w:t>82</w:t>
      </w:r>
      <w:r>
        <w:rPr>
          <w:sz w:val="24"/>
          <w:szCs w:val="24"/>
        </w:rPr>
        <w:fldChar w:fldCharType="end"/>
      </w:r>
      <w:r>
        <w:rPr>
          <w:rFonts w:hint="eastAsia" w:ascii="宋体" w:hAnsi="宋体" w:eastAsia="宋体" w:cs="宋体"/>
          <w:sz w:val="24"/>
          <w:szCs w:val="24"/>
        </w:rPr>
        <w:fldChar w:fldCharType="end"/>
      </w:r>
    </w:p>
    <w:p>
      <w:pPr>
        <w:pStyle w:val="17"/>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_Toc30805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3.5.4 </w:t>
      </w:r>
      <w:r>
        <w:rPr>
          <w:rFonts w:hint="eastAsia"/>
          <w:sz w:val="24"/>
          <w:szCs w:val="24"/>
          <w:lang w:val="en-US" w:eastAsia="zh-CN"/>
        </w:rPr>
        <w:t>滑坡</w:t>
      </w:r>
      <w:r>
        <w:rPr>
          <w:sz w:val="24"/>
          <w:szCs w:val="24"/>
        </w:rPr>
        <w:tab/>
      </w:r>
      <w:r>
        <w:rPr>
          <w:sz w:val="24"/>
          <w:szCs w:val="24"/>
        </w:rPr>
        <w:fldChar w:fldCharType="begin"/>
      </w:r>
      <w:r>
        <w:rPr>
          <w:sz w:val="24"/>
          <w:szCs w:val="24"/>
        </w:rPr>
        <w:instrText xml:space="preserve"> PAGEREF _Toc30805 \h </w:instrText>
      </w:r>
      <w:r>
        <w:rPr>
          <w:sz w:val="24"/>
          <w:szCs w:val="24"/>
        </w:rPr>
        <w:fldChar w:fldCharType="separate"/>
      </w:r>
      <w:r>
        <w:rPr>
          <w:sz w:val="24"/>
          <w:szCs w:val="24"/>
        </w:rPr>
        <w:t>83</w:t>
      </w:r>
      <w:r>
        <w:rPr>
          <w:sz w:val="24"/>
          <w:szCs w:val="24"/>
        </w:rPr>
        <w:fldChar w:fldCharType="end"/>
      </w:r>
      <w:r>
        <w:rPr>
          <w:rFonts w:hint="eastAsia" w:ascii="宋体" w:hAnsi="宋体" w:eastAsia="宋体" w:cs="宋体"/>
          <w:sz w:val="24"/>
          <w:szCs w:val="24"/>
        </w:rPr>
        <w:fldChar w:fldCharType="end"/>
      </w:r>
    </w:p>
    <w:p>
      <w:pPr>
        <w:pStyle w:val="17"/>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_Toc15554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3.5.5 </w:t>
      </w:r>
      <w:r>
        <w:rPr>
          <w:rFonts w:hint="eastAsia"/>
          <w:sz w:val="24"/>
          <w:szCs w:val="24"/>
        </w:rPr>
        <w:t>大风</w:t>
      </w:r>
      <w:r>
        <w:rPr>
          <w:sz w:val="24"/>
          <w:szCs w:val="24"/>
        </w:rPr>
        <w:tab/>
      </w:r>
      <w:r>
        <w:rPr>
          <w:sz w:val="24"/>
          <w:szCs w:val="24"/>
        </w:rPr>
        <w:fldChar w:fldCharType="begin"/>
      </w:r>
      <w:r>
        <w:rPr>
          <w:sz w:val="24"/>
          <w:szCs w:val="24"/>
        </w:rPr>
        <w:instrText xml:space="preserve"> PAGEREF _Toc15554 \h </w:instrText>
      </w:r>
      <w:r>
        <w:rPr>
          <w:sz w:val="24"/>
          <w:szCs w:val="24"/>
        </w:rPr>
        <w:fldChar w:fldCharType="separate"/>
      </w:r>
      <w:r>
        <w:rPr>
          <w:sz w:val="24"/>
          <w:szCs w:val="24"/>
        </w:rPr>
        <w:t>83</w:t>
      </w:r>
      <w:r>
        <w:rPr>
          <w:sz w:val="24"/>
          <w:szCs w:val="24"/>
        </w:rPr>
        <w:fldChar w:fldCharType="end"/>
      </w:r>
      <w:r>
        <w:rPr>
          <w:rFonts w:hint="eastAsia" w:ascii="宋体" w:hAnsi="宋体" w:eastAsia="宋体" w:cs="宋体"/>
          <w:sz w:val="24"/>
          <w:szCs w:val="24"/>
        </w:rPr>
        <w:fldChar w:fldCharType="end"/>
      </w:r>
    </w:p>
    <w:p>
      <w:pPr>
        <w:pStyle w:val="17"/>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_Toc13765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3.5.6 </w:t>
      </w:r>
      <w:r>
        <w:rPr>
          <w:rFonts w:hint="eastAsia"/>
          <w:sz w:val="24"/>
          <w:szCs w:val="24"/>
        </w:rPr>
        <w:t>高低温</w:t>
      </w:r>
      <w:r>
        <w:rPr>
          <w:sz w:val="24"/>
          <w:szCs w:val="24"/>
        </w:rPr>
        <w:tab/>
      </w:r>
      <w:r>
        <w:rPr>
          <w:sz w:val="24"/>
          <w:szCs w:val="24"/>
        </w:rPr>
        <w:fldChar w:fldCharType="begin"/>
      </w:r>
      <w:r>
        <w:rPr>
          <w:sz w:val="24"/>
          <w:szCs w:val="24"/>
        </w:rPr>
        <w:instrText xml:space="preserve"> PAGEREF _Toc13765 \h </w:instrText>
      </w:r>
      <w:r>
        <w:rPr>
          <w:sz w:val="24"/>
          <w:szCs w:val="24"/>
        </w:rPr>
        <w:fldChar w:fldCharType="separate"/>
      </w:r>
      <w:r>
        <w:rPr>
          <w:sz w:val="24"/>
          <w:szCs w:val="24"/>
        </w:rPr>
        <w:t>83</w:t>
      </w:r>
      <w:r>
        <w:rPr>
          <w:sz w:val="24"/>
          <w:szCs w:val="24"/>
        </w:rPr>
        <w:fldChar w:fldCharType="end"/>
      </w:r>
      <w:r>
        <w:rPr>
          <w:rFonts w:hint="eastAsia" w:ascii="宋体" w:hAnsi="宋体" w:eastAsia="宋体" w:cs="宋体"/>
          <w:sz w:val="24"/>
          <w:szCs w:val="24"/>
        </w:rPr>
        <w:fldChar w:fldCharType="end"/>
      </w:r>
    </w:p>
    <w:p>
      <w:pPr>
        <w:pStyle w:val="26"/>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_Toc26891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3.6 </w:t>
      </w:r>
      <w:r>
        <w:rPr>
          <w:rFonts w:hint="eastAsia"/>
          <w:sz w:val="24"/>
          <w:szCs w:val="24"/>
        </w:rPr>
        <w:t>检维修过程危险、有害因素辨识</w:t>
      </w:r>
      <w:r>
        <w:rPr>
          <w:sz w:val="24"/>
          <w:szCs w:val="24"/>
        </w:rPr>
        <w:tab/>
      </w:r>
      <w:r>
        <w:rPr>
          <w:sz w:val="24"/>
          <w:szCs w:val="24"/>
        </w:rPr>
        <w:fldChar w:fldCharType="begin"/>
      </w:r>
      <w:r>
        <w:rPr>
          <w:sz w:val="24"/>
          <w:szCs w:val="24"/>
        </w:rPr>
        <w:instrText xml:space="preserve"> PAGEREF _Toc26891 \h </w:instrText>
      </w:r>
      <w:r>
        <w:rPr>
          <w:sz w:val="24"/>
          <w:szCs w:val="24"/>
        </w:rPr>
        <w:fldChar w:fldCharType="separate"/>
      </w:r>
      <w:r>
        <w:rPr>
          <w:sz w:val="24"/>
          <w:szCs w:val="24"/>
        </w:rPr>
        <w:t>83</w:t>
      </w:r>
      <w:r>
        <w:rPr>
          <w:sz w:val="24"/>
          <w:szCs w:val="24"/>
        </w:rPr>
        <w:fldChar w:fldCharType="end"/>
      </w:r>
      <w:r>
        <w:rPr>
          <w:rFonts w:hint="eastAsia" w:ascii="宋体" w:hAnsi="宋体" w:eastAsia="宋体" w:cs="宋体"/>
          <w:sz w:val="24"/>
          <w:szCs w:val="24"/>
        </w:rPr>
        <w:fldChar w:fldCharType="end"/>
      </w:r>
    </w:p>
    <w:p>
      <w:pPr>
        <w:pStyle w:val="26"/>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_Toc24759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3.7 </w:t>
      </w:r>
      <w:r>
        <w:rPr>
          <w:rFonts w:hint="eastAsia"/>
          <w:sz w:val="24"/>
          <w:szCs w:val="24"/>
        </w:rPr>
        <w:t>重大危险源分析</w:t>
      </w:r>
      <w:r>
        <w:rPr>
          <w:sz w:val="24"/>
          <w:szCs w:val="24"/>
        </w:rPr>
        <w:tab/>
      </w:r>
      <w:r>
        <w:rPr>
          <w:sz w:val="24"/>
          <w:szCs w:val="24"/>
        </w:rPr>
        <w:fldChar w:fldCharType="begin"/>
      </w:r>
      <w:r>
        <w:rPr>
          <w:sz w:val="24"/>
          <w:szCs w:val="24"/>
        </w:rPr>
        <w:instrText xml:space="preserve"> PAGEREF _Toc24759 \h </w:instrText>
      </w:r>
      <w:r>
        <w:rPr>
          <w:sz w:val="24"/>
          <w:szCs w:val="24"/>
        </w:rPr>
        <w:fldChar w:fldCharType="separate"/>
      </w:r>
      <w:r>
        <w:rPr>
          <w:sz w:val="24"/>
          <w:szCs w:val="24"/>
        </w:rPr>
        <w:t>86</w:t>
      </w:r>
      <w:r>
        <w:rPr>
          <w:sz w:val="24"/>
          <w:szCs w:val="24"/>
        </w:rPr>
        <w:fldChar w:fldCharType="end"/>
      </w:r>
      <w:r>
        <w:rPr>
          <w:rFonts w:hint="eastAsia" w:ascii="宋体" w:hAnsi="宋体" w:eastAsia="宋体" w:cs="宋体"/>
          <w:sz w:val="24"/>
          <w:szCs w:val="24"/>
        </w:rPr>
        <w:fldChar w:fldCharType="end"/>
      </w:r>
    </w:p>
    <w:p>
      <w:pPr>
        <w:pStyle w:val="26"/>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_Toc16360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3.8 </w:t>
      </w:r>
      <w:r>
        <w:rPr>
          <w:rFonts w:hint="eastAsia"/>
          <w:sz w:val="24"/>
          <w:szCs w:val="24"/>
        </w:rPr>
        <w:t>项目危险源及危险和有害因素</w:t>
      </w:r>
      <w:r>
        <w:rPr>
          <w:sz w:val="24"/>
          <w:szCs w:val="24"/>
        </w:rPr>
        <w:tab/>
      </w:r>
      <w:r>
        <w:rPr>
          <w:sz w:val="24"/>
          <w:szCs w:val="24"/>
        </w:rPr>
        <w:fldChar w:fldCharType="begin"/>
      </w:r>
      <w:r>
        <w:rPr>
          <w:sz w:val="24"/>
          <w:szCs w:val="24"/>
        </w:rPr>
        <w:instrText xml:space="preserve"> PAGEREF _Toc16360 \h </w:instrText>
      </w:r>
      <w:r>
        <w:rPr>
          <w:sz w:val="24"/>
          <w:szCs w:val="24"/>
        </w:rPr>
        <w:fldChar w:fldCharType="separate"/>
      </w:r>
      <w:r>
        <w:rPr>
          <w:sz w:val="24"/>
          <w:szCs w:val="24"/>
        </w:rPr>
        <w:t>87</w:t>
      </w:r>
      <w:r>
        <w:rPr>
          <w:sz w:val="24"/>
          <w:szCs w:val="24"/>
        </w:rPr>
        <w:fldChar w:fldCharType="end"/>
      </w:r>
      <w:r>
        <w:rPr>
          <w:rFonts w:hint="eastAsia" w:ascii="宋体" w:hAnsi="宋体" w:eastAsia="宋体" w:cs="宋体"/>
          <w:sz w:val="24"/>
          <w:szCs w:val="24"/>
        </w:rPr>
        <w:fldChar w:fldCharType="end"/>
      </w:r>
    </w:p>
    <w:p>
      <w:pPr>
        <w:pStyle w:val="23"/>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_Toc8105 </w:instrText>
      </w:r>
      <w:r>
        <w:rPr>
          <w:rFonts w:hint="eastAsia" w:ascii="宋体" w:hAnsi="宋体" w:eastAsia="宋体" w:cs="宋体"/>
          <w:sz w:val="24"/>
          <w:szCs w:val="24"/>
        </w:rPr>
        <w:fldChar w:fldCharType="separate"/>
      </w:r>
      <w:r>
        <w:rPr>
          <w:rFonts w:hint="default" w:ascii="宋体" w:hAnsi="宋体" w:eastAsia="宋体" w:cs="宋体"/>
          <w:sz w:val="24"/>
          <w:szCs w:val="24"/>
        </w:rPr>
        <w:t xml:space="preserve">4. </w:t>
      </w:r>
      <w:r>
        <w:rPr>
          <w:sz w:val="24"/>
          <w:szCs w:val="24"/>
        </w:rPr>
        <w:t>评价单元划分及评价方法选择</w:t>
      </w:r>
      <w:r>
        <w:rPr>
          <w:sz w:val="24"/>
          <w:szCs w:val="24"/>
        </w:rPr>
        <w:tab/>
      </w:r>
      <w:r>
        <w:rPr>
          <w:sz w:val="24"/>
          <w:szCs w:val="24"/>
        </w:rPr>
        <w:fldChar w:fldCharType="begin"/>
      </w:r>
      <w:r>
        <w:rPr>
          <w:sz w:val="24"/>
          <w:szCs w:val="24"/>
        </w:rPr>
        <w:instrText xml:space="preserve"> PAGEREF _Toc8105 \h </w:instrText>
      </w:r>
      <w:r>
        <w:rPr>
          <w:sz w:val="24"/>
          <w:szCs w:val="24"/>
        </w:rPr>
        <w:fldChar w:fldCharType="separate"/>
      </w:r>
      <w:r>
        <w:rPr>
          <w:sz w:val="24"/>
          <w:szCs w:val="24"/>
        </w:rPr>
        <w:t>89</w:t>
      </w:r>
      <w:r>
        <w:rPr>
          <w:sz w:val="24"/>
          <w:szCs w:val="24"/>
        </w:rPr>
        <w:fldChar w:fldCharType="end"/>
      </w:r>
      <w:r>
        <w:rPr>
          <w:rFonts w:hint="eastAsia" w:ascii="宋体" w:hAnsi="宋体" w:eastAsia="宋体" w:cs="宋体"/>
          <w:sz w:val="24"/>
          <w:szCs w:val="24"/>
        </w:rPr>
        <w:fldChar w:fldCharType="end"/>
      </w:r>
    </w:p>
    <w:p>
      <w:pPr>
        <w:pStyle w:val="26"/>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_Toc22676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4.1 </w:t>
      </w:r>
      <w:r>
        <w:rPr>
          <w:sz w:val="24"/>
          <w:szCs w:val="24"/>
        </w:rPr>
        <w:t>评价单元划分</w:t>
      </w:r>
      <w:r>
        <w:rPr>
          <w:sz w:val="24"/>
          <w:szCs w:val="24"/>
        </w:rPr>
        <w:tab/>
      </w:r>
      <w:r>
        <w:rPr>
          <w:sz w:val="24"/>
          <w:szCs w:val="24"/>
        </w:rPr>
        <w:fldChar w:fldCharType="begin"/>
      </w:r>
      <w:r>
        <w:rPr>
          <w:sz w:val="24"/>
          <w:szCs w:val="24"/>
        </w:rPr>
        <w:instrText xml:space="preserve"> PAGEREF _Toc22676 \h </w:instrText>
      </w:r>
      <w:r>
        <w:rPr>
          <w:sz w:val="24"/>
          <w:szCs w:val="24"/>
        </w:rPr>
        <w:fldChar w:fldCharType="separate"/>
      </w:r>
      <w:r>
        <w:rPr>
          <w:sz w:val="24"/>
          <w:szCs w:val="24"/>
        </w:rPr>
        <w:t>89</w:t>
      </w:r>
      <w:r>
        <w:rPr>
          <w:sz w:val="24"/>
          <w:szCs w:val="24"/>
        </w:rPr>
        <w:fldChar w:fldCharType="end"/>
      </w:r>
      <w:r>
        <w:rPr>
          <w:rFonts w:hint="eastAsia" w:ascii="宋体" w:hAnsi="宋体" w:eastAsia="宋体" w:cs="宋体"/>
          <w:sz w:val="24"/>
          <w:szCs w:val="24"/>
        </w:rPr>
        <w:fldChar w:fldCharType="end"/>
      </w:r>
    </w:p>
    <w:p>
      <w:pPr>
        <w:pStyle w:val="17"/>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_Toc29883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4.1.1 </w:t>
      </w:r>
      <w:r>
        <w:rPr>
          <w:sz w:val="24"/>
          <w:szCs w:val="24"/>
        </w:rPr>
        <w:t>评价单元划分原则</w:t>
      </w:r>
      <w:r>
        <w:rPr>
          <w:sz w:val="24"/>
          <w:szCs w:val="24"/>
        </w:rPr>
        <w:tab/>
      </w:r>
      <w:r>
        <w:rPr>
          <w:sz w:val="24"/>
          <w:szCs w:val="24"/>
        </w:rPr>
        <w:fldChar w:fldCharType="begin"/>
      </w:r>
      <w:r>
        <w:rPr>
          <w:sz w:val="24"/>
          <w:szCs w:val="24"/>
        </w:rPr>
        <w:instrText xml:space="preserve"> PAGEREF _Toc29883 \h </w:instrText>
      </w:r>
      <w:r>
        <w:rPr>
          <w:sz w:val="24"/>
          <w:szCs w:val="24"/>
        </w:rPr>
        <w:fldChar w:fldCharType="separate"/>
      </w:r>
      <w:r>
        <w:rPr>
          <w:sz w:val="24"/>
          <w:szCs w:val="24"/>
        </w:rPr>
        <w:t>89</w:t>
      </w:r>
      <w:r>
        <w:rPr>
          <w:sz w:val="24"/>
          <w:szCs w:val="24"/>
        </w:rPr>
        <w:fldChar w:fldCharType="end"/>
      </w:r>
      <w:r>
        <w:rPr>
          <w:rFonts w:hint="eastAsia" w:ascii="宋体" w:hAnsi="宋体" w:eastAsia="宋体" w:cs="宋体"/>
          <w:sz w:val="24"/>
          <w:szCs w:val="24"/>
        </w:rPr>
        <w:fldChar w:fldCharType="end"/>
      </w:r>
    </w:p>
    <w:p>
      <w:pPr>
        <w:pStyle w:val="17"/>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_Toc7486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4.1.2 </w:t>
      </w:r>
      <w:r>
        <w:rPr>
          <w:sz w:val="24"/>
          <w:szCs w:val="24"/>
        </w:rPr>
        <w:t>评价单元划分过程与结果</w:t>
      </w:r>
      <w:r>
        <w:rPr>
          <w:sz w:val="24"/>
          <w:szCs w:val="24"/>
        </w:rPr>
        <w:tab/>
      </w:r>
      <w:r>
        <w:rPr>
          <w:sz w:val="24"/>
          <w:szCs w:val="24"/>
        </w:rPr>
        <w:fldChar w:fldCharType="begin"/>
      </w:r>
      <w:r>
        <w:rPr>
          <w:sz w:val="24"/>
          <w:szCs w:val="24"/>
        </w:rPr>
        <w:instrText xml:space="preserve"> PAGEREF _Toc7486 \h </w:instrText>
      </w:r>
      <w:r>
        <w:rPr>
          <w:sz w:val="24"/>
          <w:szCs w:val="24"/>
        </w:rPr>
        <w:fldChar w:fldCharType="separate"/>
      </w:r>
      <w:r>
        <w:rPr>
          <w:sz w:val="24"/>
          <w:szCs w:val="24"/>
        </w:rPr>
        <w:t>89</w:t>
      </w:r>
      <w:r>
        <w:rPr>
          <w:sz w:val="24"/>
          <w:szCs w:val="24"/>
        </w:rPr>
        <w:fldChar w:fldCharType="end"/>
      </w:r>
      <w:r>
        <w:rPr>
          <w:rFonts w:hint="eastAsia" w:ascii="宋体" w:hAnsi="宋体" w:eastAsia="宋体" w:cs="宋体"/>
          <w:sz w:val="24"/>
          <w:szCs w:val="24"/>
        </w:rPr>
        <w:fldChar w:fldCharType="end"/>
      </w:r>
    </w:p>
    <w:p>
      <w:pPr>
        <w:pStyle w:val="26"/>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_Toc30660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4.2 </w:t>
      </w:r>
      <w:r>
        <w:rPr>
          <w:sz w:val="24"/>
          <w:szCs w:val="24"/>
        </w:rPr>
        <w:t>评价方法确定</w:t>
      </w:r>
      <w:r>
        <w:rPr>
          <w:sz w:val="24"/>
          <w:szCs w:val="24"/>
        </w:rPr>
        <w:tab/>
      </w:r>
      <w:r>
        <w:rPr>
          <w:sz w:val="24"/>
          <w:szCs w:val="24"/>
        </w:rPr>
        <w:fldChar w:fldCharType="begin"/>
      </w:r>
      <w:r>
        <w:rPr>
          <w:sz w:val="24"/>
          <w:szCs w:val="24"/>
        </w:rPr>
        <w:instrText xml:space="preserve"> PAGEREF _Toc30660 \h </w:instrText>
      </w:r>
      <w:r>
        <w:rPr>
          <w:sz w:val="24"/>
          <w:szCs w:val="24"/>
        </w:rPr>
        <w:fldChar w:fldCharType="separate"/>
      </w:r>
      <w:r>
        <w:rPr>
          <w:sz w:val="24"/>
          <w:szCs w:val="24"/>
        </w:rPr>
        <w:t>90</w:t>
      </w:r>
      <w:r>
        <w:rPr>
          <w:sz w:val="24"/>
          <w:szCs w:val="24"/>
        </w:rPr>
        <w:fldChar w:fldCharType="end"/>
      </w:r>
      <w:r>
        <w:rPr>
          <w:rFonts w:hint="eastAsia" w:ascii="宋体" w:hAnsi="宋体" w:eastAsia="宋体" w:cs="宋体"/>
          <w:sz w:val="24"/>
          <w:szCs w:val="24"/>
        </w:rPr>
        <w:fldChar w:fldCharType="end"/>
      </w:r>
    </w:p>
    <w:p>
      <w:pPr>
        <w:pStyle w:val="26"/>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_Toc19256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4.3 </w:t>
      </w:r>
      <w:r>
        <w:rPr>
          <w:sz w:val="24"/>
          <w:szCs w:val="24"/>
        </w:rPr>
        <w:t>评价方法简介</w:t>
      </w:r>
      <w:r>
        <w:rPr>
          <w:sz w:val="24"/>
          <w:szCs w:val="24"/>
        </w:rPr>
        <w:tab/>
      </w:r>
      <w:r>
        <w:rPr>
          <w:sz w:val="24"/>
          <w:szCs w:val="24"/>
        </w:rPr>
        <w:fldChar w:fldCharType="begin"/>
      </w:r>
      <w:r>
        <w:rPr>
          <w:sz w:val="24"/>
          <w:szCs w:val="24"/>
        </w:rPr>
        <w:instrText xml:space="preserve"> PAGEREF _Toc19256 \h </w:instrText>
      </w:r>
      <w:r>
        <w:rPr>
          <w:sz w:val="24"/>
          <w:szCs w:val="24"/>
        </w:rPr>
        <w:fldChar w:fldCharType="separate"/>
      </w:r>
      <w:r>
        <w:rPr>
          <w:sz w:val="24"/>
          <w:szCs w:val="24"/>
        </w:rPr>
        <w:t>91</w:t>
      </w:r>
      <w:r>
        <w:rPr>
          <w:sz w:val="24"/>
          <w:szCs w:val="24"/>
        </w:rPr>
        <w:fldChar w:fldCharType="end"/>
      </w:r>
      <w:r>
        <w:rPr>
          <w:rFonts w:hint="eastAsia" w:ascii="宋体" w:hAnsi="宋体" w:eastAsia="宋体" w:cs="宋体"/>
          <w:sz w:val="24"/>
          <w:szCs w:val="24"/>
        </w:rPr>
        <w:fldChar w:fldCharType="end"/>
      </w:r>
    </w:p>
    <w:p>
      <w:pPr>
        <w:pStyle w:val="23"/>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_Toc19002 </w:instrText>
      </w:r>
      <w:r>
        <w:rPr>
          <w:rFonts w:hint="eastAsia" w:ascii="宋体" w:hAnsi="宋体" w:eastAsia="宋体" w:cs="宋体"/>
          <w:sz w:val="24"/>
          <w:szCs w:val="24"/>
        </w:rPr>
        <w:fldChar w:fldCharType="separate"/>
      </w:r>
      <w:r>
        <w:rPr>
          <w:rFonts w:hint="default" w:ascii="宋体" w:hAnsi="宋体" w:eastAsia="宋体" w:cs="宋体"/>
          <w:sz w:val="24"/>
          <w:szCs w:val="24"/>
        </w:rPr>
        <w:t xml:space="preserve">5. </w:t>
      </w:r>
      <w:r>
        <w:rPr>
          <w:sz w:val="24"/>
          <w:szCs w:val="24"/>
        </w:rPr>
        <w:t>定性、定量分析危险、有害程度符合性评价结果</w:t>
      </w:r>
      <w:r>
        <w:rPr>
          <w:sz w:val="24"/>
          <w:szCs w:val="24"/>
        </w:rPr>
        <w:tab/>
      </w:r>
      <w:r>
        <w:rPr>
          <w:sz w:val="24"/>
          <w:szCs w:val="24"/>
        </w:rPr>
        <w:fldChar w:fldCharType="begin"/>
      </w:r>
      <w:r>
        <w:rPr>
          <w:sz w:val="24"/>
          <w:szCs w:val="24"/>
        </w:rPr>
        <w:instrText xml:space="preserve"> PAGEREF _Toc19002 \h </w:instrText>
      </w:r>
      <w:r>
        <w:rPr>
          <w:sz w:val="24"/>
          <w:szCs w:val="24"/>
        </w:rPr>
        <w:fldChar w:fldCharType="separate"/>
      </w:r>
      <w:r>
        <w:rPr>
          <w:sz w:val="24"/>
          <w:szCs w:val="24"/>
        </w:rPr>
        <w:t>92</w:t>
      </w:r>
      <w:r>
        <w:rPr>
          <w:sz w:val="24"/>
          <w:szCs w:val="24"/>
        </w:rPr>
        <w:fldChar w:fldCharType="end"/>
      </w:r>
      <w:r>
        <w:rPr>
          <w:rFonts w:hint="eastAsia" w:ascii="宋体" w:hAnsi="宋体" w:eastAsia="宋体" w:cs="宋体"/>
          <w:sz w:val="24"/>
          <w:szCs w:val="24"/>
        </w:rPr>
        <w:fldChar w:fldCharType="end"/>
      </w:r>
    </w:p>
    <w:p>
      <w:pPr>
        <w:pStyle w:val="26"/>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_Toc14792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5.1 </w:t>
      </w:r>
      <w:r>
        <w:rPr>
          <w:sz w:val="24"/>
          <w:szCs w:val="24"/>
        </w:rPr>
        <w:t>法律法规符合性</w:t>
      </w:r>
      <w:r>
        <w:rPr>
          <w:rFonts w:hint="eastAsia"/>
          <w:sz w:val="24"/>
          <w:szCs w:val="24"/>
        </w:rPr>
        <w:t>单元</w:t>
      </w:r>
      <w:r>
        <w:rPr>
          <w:sz w:val="24"/>
          <w:szCs w:val="24"/>
        </w:rPr>
        <w:tab/>
      </w:r>
      <w:r>
        <w:rPr>
          <w:sz w:val="24"/>
          <w:szCs w:val="24"/>
        </w:rPr>
        <w:fldChar w:fldCharType="begin"/>
      </w:r>
      <w:r>
        <w:rPr>
          <w:sz w:val="24"/>
          <w:szCs w:val="24"/>
        </w:rPr>
        <w:instrText xml:space="preserve"> PAGEREF _Toc14792 \h </w:instrText>
      </w:r>
      <w:r>
        <w:rPr>
          <w:sz w:val="24"/>
          <w:szCs w:val="24"/>
        </w:rPr>
        <w:fldChar w:fldCharType="separate"/>
      </w:r>
      <w:r>
        <w:rPr>
          <w:sz w:val="24"/>
          <w:szCs w:val="24"/>
        </w:rPr>
        <w:t>92</w:t>
      </w:r>
      <w:r>
        <w:rPr>
          <w:sz w:val="24"/>
          <w:szCs w:val="24"/>
        </w:rPr>
        <w:fldChar w:fldCharType="end"/>
      </w:r>
      <w:r>
        <w:rPr>
          <w:rFonts w:hint="eastAsia" w:ascii="宋体" w:hAnsi="宋体" w:eastAsia="宋体" w:cs="宋体"/>
          <w:sz w:val="24"/>
          <w:szCs w:val="24"/>
        </w:rPr>
        <w:fldChar w:fldCharType="end"/>
      </w:r>
    </w:p>
    <w:p>
      <w:pPr>
        <w:pStyle w:val="17"/>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_Toc23376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5.1.1 </w:t>
      </w:r>
      <w:r>
        <w:rPr>
          <w:sz w:val="24"/>
          <w:szCs w:val="24"/>
        </w:rPr>
        <w:t>安全设施“三同时”程序</w:t>
      </w:r>
      <w:r>
        <w:rPr>
          <w:sz w:val="24"/>
          <w:szCs w:val="24"/>
        </w:rPr>
        <w:tab/>
      </w:r>
      <w:r>
        <w:rPr>
          <w:sz w:val="24"/>
          <w:szCs w:val="24"/>
        </w:rPr>
        <w:fldChar w:fldCharType="begin"/>
      </w:r>
      <w:r>
        <w:rPr>
          <w:sz w:val="24"/>
          <w:szCs w:val="24"/>
        </w:rPr>
        <w:instrText xml:space="preserve"> PAGEREF _Toc23376 \h </w:instrText>
      </w:r>
      <w:r>
        <w:rPr>
          <w:sz w:val="24"/>
          <w:szCs w:val="24"/>
        </w:rPr>
        <w:fldChar w:fldCharType="separate"/>
      </w:r>
      <w:r>
        <w:rPr>
          <w:sz w:val="24"/>
          <w:szCs w:val="24"/>
        </w:rPr>
        <w:t>92</w:t>
      </w:r>
      <w:r>
        <w:rPr>
          <w:sz w:val="24"/>
          <w:szCs w:val="24"/>
        </w:rPr>
        <w:fldChar w:fldCharType="end"/>
      </w:r>
      <w:r>
        <w:rPr>
          <w:rFonts w:hint="eastAsia" w:ascii="宋体" w:hAnsi="宋体" w:eastAsia="宋体" w:cs="宋体"/>
          <w:sz w:val="24"/>
          <w:szCs w:val="24"/>
        </w:rPr>
        <w:fldChar w:fldCharType="end"/>
      </w:r>
    </w:p>
    <w:p>
      <w:pPr>
        <w:pStyle w:val="17"/>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_Toc17490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5.1.2 </w:t>
      </w:r>
      <w:r>
        <w:rPr>
          <w:sz w:val="24"/>
          <w:szCs w:val="24"/>
        </w:rPr>
        <w:t>安全设施专项投资情况</w:t>
      </w:r>
      <w:r>
        <w:rPr>
          <w:sz w:val="24"/>
          <w:szCs w:val="24"/>
        </w:rPr>
        <w:tab/>
      </w:r>
      <w:r>
        <w:rPr>
          <w:sz w:val="24"/>
          <w:szCs w:val="24"/>
        </w:rPr>
        <w:fldChar w:fldCharType="begin"/>
      </w:r>
      <w:r>
        <w:rPr>
          <w:sz w:val="24"/>
          <w:szCs w:val="24"/>
        </w:rPr>
        <w:instrText xml:space="preserve"> PAGEREF _Toc17490 \h </w:instrText>
      </w:r>
      <w:r>
        <w:rPr>
          <w:sz w:val="24"/>
          <w:szCs w:val="24"/>
        </w:rPr>
        <w:fldChar w:fldCharType="separate"/>
      </w:r>
      <w:r>
        <w:rPr>
          <w:sz w:val="24"/>
          <w:szCs w:val="24"/>
        </w:rPr>
        <w:t>94</w:t>
      </w:r>
      <w:r>
        <w:rPr>
          <w:sz w:val="24"/>
          <w:szCs w:val="24"/>
        </w:rPr>
        <w:fldChar w:fldCharType="end"/>
      </w:r>
      <w:r>
        <w:rPr>
          <w:rFonts w:hint="eastAsia" w:ascii="宋体" w:hAnsi="宋体" w:eastAsia="宋体" w:cs="宋体"/>
          <w:sz w:val="24"/>
          <w:szCs w:val="24"/>
        </w:rPr>
        <w:fldChar w:fldCharType="end"/>
      </w:r>
    </w:p>
    <w:p>
      <w:pPr>
        <w:pStyle w:val="17"/>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_Toc1515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5.1.3 </w:t>
      </w:r>
      <w:r>
        <w:rPr>
          <w:sz w:val="24"/>
          <w:szCs w:val="24"/>
        </w:rPr>
        <w:t>重大隐患判定</w:t>
      </w:r>
      <w:r>
        <w:rPr>
          <w:sz w:val="24"/>
          <w:szCs w:val="24"/>
        </w:rPr>
        <w:tab/>
      </w:r>
      <w:r>
        <w:rPr>
          <w:sz w:val="24"/>
          <w:szCs w:val="24"/>
        </w:rPr>
        <w:fldChar w:fldCharType="begin"/>
      </w:r>
      <w:r>
        <w:rPr>
          <w:sz w:val="24"/>
          <w:szCs w:val="24"/>
        </w:rPr>
        <w:instrText xml:space="preserve"> PAGEREF _Toc1515 \h </w:instrText>
      </w:r>
      <w:r>
        <w:rPr>
          <w:sz w:val="24"/>
          <w:szCs w:val="24"/>
        </w:rPr>
        <w:fldChar w:fldCharType="separate"/>
      </w:r>
      <w:r>
        <w:rPr>
          <w:sz w:val="24"/>
          <w:szCs w:val="24"/>
        </w:rPr>
        <w:t>95</w:t>
      </w:r>
      <w:r>
        <w:rPr>
          <w:sz w:val="24"/>
          <w:szCs w:val="24"/>
        </w:rPr>
        <w:fldChar w:fldCharType="end"/>
      </w:r>
      <w:r>
        <w:rPr>
          <w:rFonts w:hint="eastAsia" w:ascii="宋体" w:hAnsi="宋体" w:eastAsia="宋体" w:cs="宋体"/>
          <w:sz w:val="24"/>
          <w:szCs w:val="24"/>
        </w:rPr>
        <w:fldChar w:fldCharType="end"/>
      </w:r>
    </w:p>
    <w:p>
      <w:pPr>
        <w:pStyle w:val="26"/>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_Toc23280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5.2 </w:t>
      </w:r>
      <w:r>
        <w:rPr>
          <w:sz w:val="24"/>
          <w:szCs w:val="24"/>
        </w:rPr>
        <w:t>选址</w:t>
      </w:r>
      <w:r>
        <w:rPr>
          <w:rFonts w:hint="eastAsia"/>
          <w:sz w:val="24"/>
          <w:szCs w:val="24"/>
        </w:rPr>
        <w:t>及总图布置</w:t>
      </w:r>
      <w:r>
        <w:rPr>
          <w:sz w:val="24"/>
          <w:szCs w:val="24"/>
        </w:rPr>
        <w:t>单元</w:t>
      </w:r>
      <w:r>
        <w:rPr>
          <w:sz w:val="24"/>
          <w:szCs w:val="24"/>
        </w:rPr>
        <w:tab/>
      </w:r>
      <w:r>
        <w:rPr>
          <w:sz w:val="24"/>
          <w:szCs w:val="24"/>
        </w:rPr>
        <w:fldChar w:fldCharType="begin"/>
      </w:r>
      <w:r>
        <w:rPr>
          <w:sz w:val="24"/>
          <w:szCs w:val="24"/>
        </w:rPr>
        <w:instrText xml:space="preserve"> PAGEREF _Toc23280 \h </w:instrText>
      </w:r>
      <w:r>
        <w:rPr>
          <w:sz w:val="24"/>
          <w:szCs w:val="24"/>
        </w:rPr>
        <w:fldChar w:fldCharType="separate"/>
      </w:r>
      <w:r>
        <w:rPr>
          <w:sz w:val="24"/>
          <w:szCs w:val="24"/>
        </w:rPr>
        <w:t>97</w:t>
      </w:r>
      <w:r>
        <w:rPr>
          <w:sz w:val="24"/>
          <w:szCs w:val="24"/>
        </w:rPr>
        <w:fldChar w:fldCharType="end"/>
      </w:r>
      <w:r>
        <w:rPr>
          <w:rFonts w:hint="eastAsia" w:ascii="宋体" w:hAnsi="宋体" w:eastAsia="宋体" w:cs="宋体"/>
          <w:sz w:val="24"/>
          <w:szCs w:val="24"/>
        </w:rPr>
        <w:fldChar w:fldCharType="end"/>
      </w:r>
    </w:p>
    <w:p>
      <w:pPr>
        <w:pStyle w:val="26"/>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_Toc8035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5.3 </w:t>
      </w:r>
      <w:r>
        <w:rPr>
          <w:sz w:val="24"/>
          <w:szCs w:val="24"/>
        </w:rPr>
        <w:t>建筑及工艺布置单元</w:t>
      </w:r>
      <w:r>
        <w:rPr>
          <w:sz w:val="24"/>
          <w:szCs w:val="24"/>
        </w:rPr>
        <w:tab/>
      </w:r>
      <w:r>
        <w:rPr>
          <w:sz w:val="24"/>
          <w:szCs w:val="24"/>
        </w:rPr>
        <w:fldChar w:fldCharType="begin"/>
      </w:r>
      <w:r>
        <w:rPr>
          <w:sz w:val="24"/>
          <w:szCs w:val="24"/>
        </w:rPr>
        <w:instrText xml:space="preserve"> PAGEREF _Toc8035 \h </w:instrText>
      </w:r>
      <w:r>
        <w:rPr>
          <w:sz w:val="24"/>
          <w:szCs w:val="24"/>
        </w:rPr>
        <w:fldChar w:fldCharType="separate"/>
      </w:r>
      <w:r>
        <w:rPr>
          <w:sz w:val="24"/>
          <w:szCs w:val="24"/>
        </w:rPr>
        <w:t>103</w:t>
      </w:r>
      <w:r>
        <w:rPr>
          <w:sz w:val="24"/>
          <w:szCs w:val="24"/>
        </w:rPr>
        <w:fldChar w:fldCharType="end"/>
      </w:r>
      <w:r>
        <w:rPr>
          <w:rFonts w:hint="eastAsia" w:ascii="宋体" w:hAnsi="宋体" w:eastAsia="宋体" w:cs="宋体"/>
          <w:sz w:val="24"/>
          <w:szCs w:val="24"/>
        </w:rPr>
        <w:fldChar w:fldCharType="end"/>
      </w:r>
    </w:p>
    <w:p>
      <w:pPr>
        <w:pStyle w:val="17"/>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_Toc5302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5.3.1 </w:t>
      </w:r>
      <w:r>
        <w:rPr>
          <w:sz w:val="24"/>
          <w:szCs w:val="24"/>
        </w:rPr>
        <w:t>厂房及结构</w:t>
      </w:r>
      <w:r>
        <w:rPr>
          <w:sz w:val="24"/>
          <w:szCs w:val="24"/>
        </w:rPr>
        <w:tab/>
      </w:r>
      <w:r>
        <w:rPr>
          <w:sz w:val="24"/>
          <w:szCs w:val="24"/>
        </w:rPr>
        <w:fldChar w:fldCharType="begin"/>
      </w:r>
      <w:r>
        <w:rPr>
          <w:sz w:val="24"/>
          <w:szCs w:val="24"/>
        </w:rPr>
        <w:instrText xml:space="preserve"> PAGEREF _Toc5302 \h </w:instrText>
      </w:r>
      <w:r>
        <w:rPr>
          <w:sz w:val="24"/>
          <w:szCs w:val="24"/>
        </w:rPr>
        <w:fldChar w:fldCharType="separate"/>
      </w:r>
      <w:r>
        <w:rPr>
          <w:sz w:val="24"/>
          <w:szCs w:val="24"/>
        </w:rPr>
        <w:t>103</w:t>
      </w:r>
      <w:r>
        <w:rPr>
          <w:sz w:val="24"/>
          <w:szCs w:val="24"/>
        </w:rPr>
        <w:fldChar w:fldCharType="end"/>
      </w:r>
      <w:r>
        <w:rPr>
          <w:rFonts w:hint="eastAsia" w:ascii="宋体" w:hAnsi="宋体" w:eastAsia="宋体" w:cs="宋体"/>
          <w:sz w:val="24"/>
          <w:szCs w:val="24"/>
        </w:rPr>
        <w:fldChar w:fldCharType="end"/>
      </w:r>
    </w:p>
    <w:p>
      <w:pPr>
        <w:pStyle w:val="17"/>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_Toc1322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5.3.2 </w:t>
      </w:r>
      <w:r>
        <w:rPr>
          <w:sz w:val="24"/>
          <w:szCs w:val="24"/>
        </w:rPr>
        <w:t>工艺布置与运输</w:t>
      </w:r>
      <w:r>
        <w:rPr>
          <w:sz w:val="24"/>
          <w:szCs w:val="24"/>
        </w:rPr>
        <w:tab/>
      </w:r>
      <w:r>
        <w:rPr>
          <w:sz w:val="24"/>
          <w:szCs w:val="24"/>
        </w:rPr>
        <w:fldChar w:fldCharType="begin"/>
      </w:r>
      <w:r>
        <w:rPr>
          <w:sz w:val="24"/>
          <w:szCs w:val="24"/>
        </w:rPr>
        <w:instrText xml:space="preserve"> PAGEREF _Toc1322 \h </w:instrText>
      </w:r>
      <w:r>
        <w:rPr>
          <w:sz w:val="24"/>
          <w:szCs w:val="24"/>
        </w:rPr>
        <w:fldChar w:fldCharType="separate"/>
      </w:r>
      <w:r>
        <w:rPr>
          <w:sz w:val="24"/>
          <w:szCs w:val="24"/>
        </w:rPr>
        <w:t>107</w:t>
      </w:r>
      <w:r>
        <w:rPr>
          <w:sz w:val="24"/>
          <w:szCs w:val="24"/>
        </w:rPr>
        <w:fldChar w:fldCharType="end"/>
      </w:r>
      <w:r>
        <w:rPr>
          <w:rFonts w:hint="eastAsia" w:ascii="宋体" w:hAnsi="宋体" w:eastAsia="宋体" w:cs="宋体"/>
          <w:sz w:val="24"/>
          <w:szCs w:val="24"/>
        </w:rPr>
        <w:fldChar w:fldCharType="end"/>
      </w:r>
    </w:p>
    <w:p>
      <w:pPr>
        <w:pStyle w:val="26"/>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_Toc14646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5.4 </w:t>
      </w:r>
      <w:r>
        <w:rPr>
          <w:rFonts w:hint="eastAsia"/>
          <w:sz w:val="24"/>
          <w:szCs w:val="24"/>
        </w:rPr>
        <w:t>物料、产品安全性单元</w:t>
      </w:r>
      <w:r>
        <w:rPr>
          <w:sz w:val="24"/>
          <w:szCs w:val="24"/>
        </w:rPr>
        <w:tab/>
      </w:r>
      <w:r>
        <w:rPr>
          <w:sz w:val="24"/>
          <w:szCs w:val="24"/>
        </w:rPr>
        <w:fldChar w:fldCharType="begin"/>
      </w:r>
      <w:r>
        <w:rPr>
          <w:sz w:val="24"/>
          <w:szCs w:val="24"/>
        </w:rPr>
        <w:instrText xml:space="preserve"> PAGEREF _Toc14646 \h </w:instrText>
      </w:r>
      <w:r>
        <w:rPr>
          <w:sz w:val="24"/>
          <w:szCs w:val="24"/>
        </w:rPr>
        <w:fldChar w:fldCharType="separate"/>
      </w:r>
      <w:r>
        <w:rPr>
          <w:sz w:val="24"/>
          <w:szCs w:val="24"/>
        </w:rPr>
        <w:t>112</w:t>
      </w:r>
      <w:r>
        <w:rPr>
          <w:sz w:val="24"/>
          <w:szCs w:val="24"/>
        </w:rPr>
        <w:fldChar w:fldCharType="end"/>
      </w:r>
      <w:r>
        <w:rPr>
          <w:rFonts w:hint="eastAsia" w:ascii="宋体" w:hAnsi="宋体" w:eastAsia="宋体" w:cs="宋体"/>
          <w:sz w:val="24"/>
          <w:szCs w:val="24"/>
        </w:rPr>
        <w:fldChar w:fldCharType="end"/>
      </w:r>
    </w:p>
    <w:p>
      <w:pPr>
        <w:pStyle w:val="26"/>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_Toc26830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5.5 </w:t>
      </w:r>
      <w:r>
        <w:rPr>
          <w:sz w:val="24"/>
          <w:szCs w:val="24"/>
        </w:rPr>
        <w:t>生产工艺系统、装置、设施、设备单元</w:t>
      </w:r>
      <w:r>
        <w:rPr>
          <w:sz w:val="24"/>
          <w:szCs w:val="24"/>
        </w:rPr>
        <w:tab/>
      </w:r>
      <w:r>
        <w:rPr>
          <w:sz w:val="24"/>
          <w:szCs w:val="24"/>
        </w:rPr>
        <w:fldChar w:fldCharType="begin"/>
      </w:r>
      <w:r>
        <w:rPr>
          <w:sz w:val="24"/>
          <w:szCs w:val="24"/>
        </w:rPr>
        <w:instrText xml:space="preserve"> PAGEREF _Toc26830 \h </w:instrText>
      </w:r>
      <w:r>
        <w:rPr>
          <w:sz w:val="24"/>
          <w:szCs w:val="24"/>
        </w:rPr>
        <w:fldChar w:fldCharType="separate"/>
      </w:r>
      <w:r>
        <w:rPr>
          <w:sz w:val="24"/>
          <w:szCs w:val="24"/>
        </w:rPr>
        <w:t>114</w:t>
      </w:r>
      <w:r>
        <w:rPr>
          <w:sz w:val="24"/>
          <w:szCs w:val="24"/>
        </w:rPr>
        <w:fldChar w:fldCharType="end"/>
      </w:r>
      <w:r>
        <w:rPr>
          <w:rFonts w:hint="eastAsia" w:ascii="宋体" w:hAnsi="宋体" w:eastAsia="宋体" w:cs="宋体"/>
          <w:sz w:val="24"/>
          <w:szCs w:val="24"/>
        </w:rPr>
        <w:fldChar w:fldCharType="end"/>
      </w:r>
    </w:p>
    <w:p>
      <w:pPr>
        <w:pStyle w:val="26"/>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_Toc8957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5.6 </w:t>
      </w:r>
      <w:r>
        <w:rPr>
          <w:sz w:val="24"/>
          <w:szCs w:val="24"/>
        </w:rPr>
        <w:t>公用工程及辅助设施单元</w:t>
      </w:r>
      <w:r>
        <w:rPr>
          <w:sz w:val="24"/>
          <w:szCs w:val="24"/>
        </w:rPr>
        <w:tab/>
      </w:r>
      <w:r>
        <w:rPr>
          <w:sz w:val="24"/>
          <w:szCs w:val="24"/>
        </w:rPr>
        <w:fldChar w:fldCharType="begin"/>
      </w:r>
      <w:r>
        <w:rPr>
          <w:sz w:val="24"/>
          <w:szCs w:val="24"/>
        </w:rPr>
        <w:instrText xml:space="preserve"> PAGEREF _Toc8957 \h </w:instrText>
      </w:r>
      <w:r>
        <w:rPr>
          <w:sz w:val="24"/>
          <w:szCs w:val="24"/>
        </w:rPr>
        <w:fldChar w:fldCharType="separate"/>
      </w:r>
      <w:r>
        <w:rPr>
          <w:sz w:val="24"/>
          <w:szCs w:val="24"/>
        </w:rPr>
        <w:t>121</w:t>
      </w:r>
      <w:r>
        <w:rPr>
          <w:sz w:val="24"/>
          <w:szCs w:val="24"/>
        </w:rPr>
        <w:fldChar w:fldCharType="end"/>
      </w:r>
      <w:r>
        <w:rPr>
          <w:rFonts w:hint="eastAsia" w:ascii="宋体" w:hAnsi="宋体" w:eastAsia="宋体" w:cs="宋体"/>
          <w:sz w:val="24"/>
          <w:szCs w:val="24"/>
        </w:rPr>
        <w:fldChar w:fldCharType="end"/>
      </w:r>
    </w:p>
    <w:p>
      <w:pPr>
        <w:pStyle w:val="17"/>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_Toc21751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5.6.1 </w:t>
      </w:r>
      <w:r>
        <w:rPr>
          <w:sz w:val="24"/>
          <w:szCs w:val="24"/>
        </w:rPr>
        <w:t>电气安全</w:t>
      </w:r>
      <w:r>
        <w:rPr>
          <w:sz w:val="24"/>
          <w:szCs w:val="24"/>
        </w:rPr>
        <w:tab/>
      </w:r>
      <w:r>
        <w:rPr>
          <w:sz w:val="24"/>
          <w:szCs w:val="24"/>
        </w:rPr>
        <w:fldChar w:fldCharType="begin"/>
      </w:r>
      <w:r>
        <w:rPr>
          <w:sz w:val="24"/>
          <w:szCs w:val="24"/>
        </w:rPr>
        <w:instrText xml:space="preserve"> PAGEREF _Toc21751 \h </w:instrText>
      </w:r>
      <w:r>
        <w:rPr>
          <w:sz w:val="24"/>
          <w:szCs w:val="24"/>
        </w:rPr>
        <w:fldChar w:fldCharType="separate"/>
      </w:r>
      <w:r>
        <w:rPr>
          <w:sz w:val="24"/>
          <w:szCs w:val="24"/>
        </w:rPr>
        <w:t>121</w:t>
      </w:r>
      <w:r>
        <w:rPr>
          <w:sz w:val="24"/>
          <w:szCs w:val="24"/>
        </w:rPr>
        <w:fldChar w:fldCharType="end"/>
      </w:r>
      <w:r>
        <w:rPr>
          <w:rFonts w:hint="eastAsia" w:ascii="宋体" w:hAnsi="宋体" w:eastAsia="宋体" w:cs="宋体"/>
          <w:sz w:val="24"/>
          <w:szCs w:val="24"/>
        </w:rPr>
        <w:fldChar w:fldCharType="end"/>
      </w:r>
    </w:p>
    <w:p>
      <w:pPr>
        <w:pStyle w:val="17"/>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_Toc11043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5.6.2 </w:t>
      </w:r>
      <w:r>
        <w:rPr>
          <w:sz w:val="24"/>
          <w:szCs w:val="24"/>
        </w:rPr>
        <w:t>机械安全</w:t>
      </w:r>
      <w:r>
        <w:rPr>
          <w:sz w:val="24"/>
          <w:szCs w:val="24"/>
        </w:rPr>
        <w:tab/>
      </w:r>
      <w:r>
        <w:rPr>
          <w:sz w:val="24"/>
          <w:szCs w:val="24"/>
        </w:rPr>
        <w:fldChar w:fldCharType="begin"/>
      </w:r>
      <w:r>
        <w:rPr>
          <w:sz w:val="24"/>
          <w:szCs w:val="24"/>
        </w:rPr>
        <w:instrText xml:space="preserve"> PAGEREF _Toc11043 \h </w:instrText>
      </w:r>
      <w:r>
        <w:rPr>
          <w:sz w:val="24"/>
          <w:szCs w:val="24"/>
        </w:rPr>
        <w:fldChar w:fldCharType="separate"/>
      </w:r>
      <w:r>
        <w:rPr>
          <w:sz w:val="24"/>
          <w:szCs w:val="24"/>
        </w:rPr>
        <w:t>123</w:t>
      </w:r>
      <w:r>
        <w:rPr>
          <w:sz w:val="24"/>
          <w:szCs w:val="24"/>
        </w:rPr>
        <w:fldChar w:fldCharType="end"/>
      </w:r>
      <w:r>
        <w:rPr>
          <w:rFonts w:hint="eastAsia" w:ascii="宋体" w:hAnsi="宋体" w:eastAsia="宋体" w:cs="宋体"/>
          <w:sz w:val="24"/>
          <w:szCs w:val="24"/>
        </w:rPr>
        <w:fldChar w:fldCharType="end"/>
      </w:r>
    </w:p>
    <w:p>
      <w:pPr>
        <w:pStyle w:val="17"/>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_Toc31557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5.6.3 </w:t>
      </w:r>
      <w:r>
        <w:rPr>
          <w:sz w:val="24"/>
          <w:szCs w:val="24"/>
        </w:rPr>
        <w:t>自动控制设施安全措施</w:t>
      </w:r>
      <w:r>
        <w:rPr>
          <w:sz w:val="24"/>
          <w:szCs w:val="24"/>
        </w:rPr>
        <w:tab/>
      </w:r>
      <w:r>
        <w:rPr>
          <w:sz w:val="24"/>
          <w:szCs w:val="24"/>
        </w:rPr>
        <w:fldChar w:fldCharType="begin"/>
      </w:r>
      <w:r>
        <w:rPr>
          <w:sz w:val="24"/>
          <w:szCs w:val="24"/>
        </w:rPr>
        <w:instrText xml:space="preserve"> PAGEREF _Toc31557 \h </w:instrText>
      </w:r>
      <w:r>
        <w:rPr>
          <w:sz w:val="24"/>
          <w:szCs w:val="24"/>
        </w:rPr>
        <w:fldChar w:fldCharType="separate"/>
      </w:r>
      <w:r>
        <w:rPr>
          <w:sz w:val="24"/>
          <w:szCs w:val="24"/>
        </w:rPr>
        <w:t>127</w:t>
      </w:r>
      <w:r>
        <w:rPr>
          <w:sz w:val="24"/>
          <w:szCs w:val="24"/>
        </w:rPr>
        <w:fldChar w:fldCharType="end"/>
      </w:r>
      <w:r>
        <w:rPr>
          <w:rFonts w:hint="eastAsia" w:ascii="宋体" w:hAnsi="宋体" w:eastAsia="宋体" w:cs="宋体"/>
          <w:sz w:val="24"/>
          <w:szCs w:val="24"/>
        </w:rPr>
        <w:fldChar w:fldCharType="end"/>
      </w:r>
    </w:p>
    <w:p>
      <w:pPr>
        <w:pStyle w:val="17"/>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_Toc3614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5.6.4 </w:t>
      </w:r>
      <w:r>
        <w:rPr>
          <w:sz w:val="24"/>
          <w:szCs w:val="24"/>
        </w:rPr>
        <w:t>能源介质及动力安全措施</w:t>
      </w:r>
      <w:r>
        <w:rPr>
          <w:sz w:val="24"/>
          <w:szCs w:val="24"/>
        </w:rPr>
        <w:tab/>
      </w:r>
      <w:r>
        <w:rPr>
          <w:sz w:val="24"/>
          <w:szCs w:val="24"/>
        </w:rPr>
        <w:fldChar w:fldCharType="begin"/>
      </w:r>
      <w:r>
        <w:rPr>
          <w:sz w:val="24"/>
          <w:szCs w:val="24"/>
        </w:rPr>
        <w:instrText xml:space="preserve"> PAGEREF _Toc3614 \h </w:instrText>
      </w:r>
      <w:r>
        <w:rPr>
          <w:sz w:val="24"/>
          <w:szCs w:val="24"/>
        </w:rPr>
        <w:fldChar w:fldCharType="separate"/>
      </w:r>
      <w:r>
        <w:rPr>
          <w:sz w:val="24"/>
          <w:szCs w:val="24"/>
        </w:rPr>
        <w:t>128</w:t>
      </w:r>
      <w:r>
        <w:rPr>
          <w:sz w:val="24"/>
          <w:szCs w:val="24"/>
        </w:rPr>
        <w:fldChar w:fldCharType="end"/>
      </w:r>
      <w:r>
        <w:rPr>
          <w:rFonts w:hint="eastAsia" w:ascii="宋体" w:hAnsi="宋体" w:eastAsia="宋体" w:cs="宋体"/>
          <w:sz w:val="24"/>
          <w:szCs w:val="24"/>
        </w:rPr>
        <w:fldChar w:fldCharType="end"/>
      </w:r>
    </w:p>
    <w:p>
      <w:pPr>
        <w:pStyle w:val="17"/>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_Toc6722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5.6.5 </w:t>
      </w:r>
      <w:r>
        <w:rPr>
          <w:rFonts w:hint="eastAsia"/>
          <w:sz w:val="24"/>
          <w:szCs w:val="24"/>
        </w:rPr>
        <w:t>辅助</w:t>
      </w:r>
      <w:r>
        <w:rPr>
          <w:sz w:val="24"/>
          <w:szCs w:val="24"/>
        </w:rPr>
        <w:t>供水与排水措施</w:t>
      </w:r>
      <w:r>
        <w:rPr>
          <w:sz w:val="24"/>
          <w:szCs w:val="24"/>
        </w:rPr>
        <w:tab/>
      </w:r>
      <w:r>
        <w:rPr>
          <w:sz w:val="24"/>
          <w:szCs w:val="24"/>
        </w:rPr>
        <w:fldChar w:fldCharType="begin"/>
      </w:r>
      <w:r>
        <w:rPr>
          <w:sz w:val="24"/>
          <w:szCs w:val="24"/>
        </w:rPr>
        <w:instrText xml:space="preserve"> PAGEREF _Toc6722 \h </w:instrText>
      </w:r>
      <w:r>
        <w:rPr>
          <w:sz w:val="24"/>
          <w:szCs w:val="24"/>
        </w:rPr>
        <w:fldChar w:fldCharType="separate"/>
      </w:r>
      <w:r>
        <w:rPr>
          <w:sz w:val="24"/>
          <w:szCs w:val="24"/>
        </w:rPr>
        <w:t>130</w:t>
      </w:r>
      <w:r>
        <w:rPr>
          <w:sz w:val="24"/>
          <w:szCs w:val="24"/>
        </w:rPr>
        <w:fldChar w:fldCharType="end"/>
      </w:r>
      <w:r>
        <w:rPr>
          <w:rFonts w:hint="eastAsia" w:ascii="宋体" w:hAnsi="宋体" w:eastAsia="宋体" w:cs="宋体"/>
          <w:sz w:val="24"/>
          <w:szCs w:val="24"/>
        </w:rPr>
        <w:fldChar w:fldCharType="end"/>
      </w:r>
    </w:p>
    <w:p>
      <w:pPr>
        <w:pStyle w:val="17"/>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_Toc31870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5.6.6 </w:t>
      </w:r>
      <w:r>
        <w:rPr>
          <w:sz w:val="24"/>
          <w:szCs w:val="24"/>
        </w:rPr>
        <w:t>消防措施</w:t>
      </w:r>
      <w:r>
        <w:rPr>
          <w:sz w:val="24"/>
          <w:szCs w:val="24"/>
        </w:rPr>
        <w:tab/>
      </w:r>
      <w:r>
        <w:rPr>
          <w:sz w:val="24"/>
          <w:szCs w:val="24"/>
        </w:rPr>
        <w:fldChar w:fldCharType="begin"/>
      </w:r>
      <w:r>
        <w:rPr>
          <w:sz w:val="24"/>
          <w:szCs w:val="24"/>
        </w:rPr>
        <w:instrText xml:space="preserve"> PAGEREF _Toc31870 \h </w:instrText>
      </w:r>
      <w:r>
        <w:rPr>
          <w:sz w:val="24"/>
          <w:szCs w:val="24"/>
        </w:rPr>
        <w:fldChar w:fldCharType="separate"/>
      </w:r>
      <w:r>
        <w:rPr>
          <w:sz w:val="24"/>
          <w:szCs w:val="24"/>
        </w:rPr>
        <w:t>131</w:t>
      </w:r>
      <w:r>
        <w:rPr>
          <w:sz w:val="24"/>
          <w:szCs w:val="24"/>
        </w:rPr>
        <w:fldChar w:fldCharType="end"/>
      </w:r>
      <w:r>
        <w:rPr>
          <w:rFonts w:hint="eastAsia" w:ascii="宋体" w:hAnsi="宋体" w:eastAsia="宋体" w:cs="宋体"/>
          <w:sz w:val="24"/>
          <w:szCs w:val="24"/>
        </w:rPr>
        <w:fldChar w:fldCharType="end"/>
      </w:r>
    </w:p>
    <w:p>
      <w:pPr>
        <w:pStyle w:val="17"/>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_Toc961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5.6.7 </w:t>
      </w:r>
      <w:r>
        <w:rPr>
          <w:sz w:val="24"/>
          <w:szCs w:val="24"/>
        </w:rPr>
        <w:t>采暖通风及空气调节措施</w:t>
      </w:r>
      <w:r>
        <w:rPr>
          <w:sz w:val="24"/>
          <w:szCs w:val="24"/>
        </w:rPr>
        <w:tab/>
      </w:r>
      <w:r>
        <w:rPr>
          <w:sz w:val="24"/>
          <w:szCs w:val="24"/>
        </w:rPr>
        <w:fldChar w:fldCharType="begin"/>
      </w:r>
      <w:r>
        <w:rPr>
          <w:sz w:val="24"/>
          <w:szCs w:val="24"/>
        </w:rPr>
        <w:instrText xml:space="preserve"> PAGEREF _Toc961 \h </w:instrText>
      </w:r>
      <w:r>
        <w:rPr>
          <w:sz w:val="24"/>
          <w:szCs w:val="24"/>
        </w:rPr>
        <w:fldChar w:fldCharType="separate"/>
      </w:r>
      <w:r>
        <w:rPr>
          <w:sz w:val="24"/>
          <w:szCs w:val="24"/>
        </w:rPr>
        <w:t>132</w:t>
      </w:r>
      <w:r>
        <w:rPr>
          <w:sz w:val="24"/>
          <w:szCs w:val="24"/>
        </w:rPr>
        <w:fldChar w:fldCharType="end"/>
      </w:r>
      <w:r>
        <w:rPr>
          <w:rFonts w:hint="eastAsia" w:ascii="宋体" w:hAnsi="宋体" w:eastAsia="宋体" w:cs="宋体"/>
          <w:sz w:val="24"/>
          <w:szCs w:val="24"/>
        </w:rPr>
        <w:fldChar w:fldCharType="end"/>
      </w:r>
    </w:p>
    <w:p>
      <w:pPr>
        <w:pStyle w:val="26"/>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_Toc24127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5.7 </w:t>
      </w:r>
      <w:r>
        <w:rPr>
          <w:sz w:val="24"/>
          <w:szCs w:val="24"/>
        </w:rPr>
        <w:t>特种设备</w:t>
      </w:r>
      <w:r>
        <w:rPr>
          <w:rFonts w:hint="eastAsia"/>
          <w:sz w:val="24"/>
          <w:szCs w:val="24"/>
        </w:rPr>
        <w:t>设施</w:t>
      </w:r>
      <w:r>
        <w:rPr>
          <w:sz w:val="24"/>
          <w:szCs w:val="24"/>
        </w:rPr>
        <w:t>及强制检测设备设施单元</w:t>
      </w:r>
      <w:r>
        <w:rPr>
          <w:sz w:val="24"/>
          <w:szCs w:val="24"/>
        </w:rPr>
        <w:tab/>
      </w:r>
      <w:r>
        <w:rPr>
          <w:sz w:val="24"/>
          <w:szCs w:val="24"/>
        </w:rPr>
        <w:fldChar w:fldCharType="begin"/>
      </w:r>
      <w:r>
        <w:rPr>
          <w:sz w:val="24"/>
          <w:szCs w:val="24"/>
        </w:rPr>
        <w:instrText xml:space="preserve"> PAGEREF _Toc24127 \h </w:instrText>
      </w:r>
      <w:r>
        <w:rPr>
          <w:sz w:val="24"/>
          <w:szCs w:val="24"/>
        </w:rPr>
        <w:fldChar w:fldCharType="separate"/>
      </w:r>
      <w:r>
        <w:rPr>
          <w:sz w:val="24"/>
          <w:szCs w:val="24"/>
        </w:rPr>
        <w:t>133</w:t>
      </w:r>
      <w:r>
        <w:rPr>
          <w:sz w:val="24"/>
          <w:szCs w:val="24"/>
        </w:rPr>
        <w:fldChar w:fldCharType="end"/>
      </w:r>
      <w:r>
        <w:rPr>
          <w:rFonts w:hint="eastAsia" w:ascii="宋体" w:hAnsi="宋体" w:eastAsia="宋体" w:cs="宋体"/>
          <w:sz w:val="24"/>
          <w:szCs w:val="24"/>
        </w:rPr>
        <w:fldChar w:fldCharType="end"/>
      </w:r>
    </w:p>
    <w:p>
      <w:pPr>
        <w:pStyle w:val="17"/>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_Toc20326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5.7.1 </w:t>
      </w:r>
      <w:r>
        <w:rPr>
          <w:sz w:val="24"/>
          <w:szCs w:val="24"/>
        </w:rPr>
        <w:t>特种设备</w:t>
      </w:r>
      <w:r>
        <w:rPr>
          <w:rFonts w:hint="eastAsia"/>
          <w:sz w:val="24"/>
          <w:szCs w:val="24"/>
        </w:rPr>
        <w:t>设施</w:t>
      </w:r>
      <w:r>
        <w:rPr>
          <w:sz w:val="24"/>
          <w:szCs w:val="24"/>
        </w:rPr>
        <w:tab/>
      </w:r>
      <w:r>
        <w:rPr>
          <w:sz w:val="24"/>
          <w:szCs w:val="24"/>
        </w:rPr>
        <w:fldChar w:fldCharType="begin"/>
      </w:r>
      <w:r>
        <w:rPr>
          <w:sz w:val="24"/>
          <w:szCs w:val="24"/>
        </w:rPr>
        <w:instrText xml:space="preserve"> PAGEREF _Toc20326 \h </w:instrText>
      </w:r>
      <w:r>
        <w:rPr>
          <w:sz w:val="24"/>
          <w:szCs w:val="24"/>
        </w:rPr>
        <w:fldChar w:fldCharType="separate"/>
      </w:r>
      <w:r>
        <w:rPr>
          <w:sz w:val="24"/>
          <w:szCs w:val="24"/>
        </w:rPr>
        <w:t>133</w:t>
      </w:r>
      <w:r>
        <w:rPr>
          <w:sz w:val="24"/>
          <w:szCs w:val="24"/>
        </w:rPr>
        <w:fldChar w:fldCharType="end"/>
      </w:r>
      <w:r>
        <w:rPr>
          <w:rFonts w:hint="eastAsia" w:ascii="宋体" w:hAnsi="宋体" w:eastAsia="宋体" w:cs="宋体"/>
          <w:sz w:val="24"/>
          <w:szCs w:val="24"/>
        </w:rPr>
        <w:fldChar w:fldCharType="end"/>
      </w:r>
    </w:p>
    <w:p>
      <w:pPr>
        <w:pStyle w:val="17"/>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_Toc17859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5.7.2 </w:t>
      </w:r>
      <w:r>
        <w:rPr>
          <w:sz w:val="24"/>
          <w:szCs w:val="24"/>
        </w:rPr>
        <w:t>强制检验设备</w:t>
      </w:r>
      <w:r>
        <w:rPr>
          <w:sz w:val="24"/>
          <w:szCs w:val="24"/>
        </w:rPr>
        <w:tab/>
      </w:r>
      <w:r>
        <w:rPr>
          <w:sz w:val="24"/>
          <w:szCs w:val="24"/>
        </w:rPr>
        <w:fldChar w:fldCharType="begin"/>
      </w:r>
      <w:r>
        <w:rPr>
          <w:sz w:val="24"/>
          <w:szCs w:val="24"/>
        </w:rPr>
        <w:instrText xml:space="preserve"> PAGEREF _Toc17859 \h </w:instrText>
      </w:r>
      <w:r>
        <w:rPr>
          <w:sz w:val="24"/>
          <w:szCs w:val="24"/>
        </w:rPr>
        <w:fldChar w:fldCharType="separate"/>
      </w:r>
      <w:r>
        <w:rPr>
          <w:sz w:val="24"/>
          <w:szCs w:val="24"/>
        </w:rPr>
        <w:t>136</w:t>
      </w:r>
      <w:r>
        <w:rPr>
          <w:sz w:val="24"/>
          <w:szCs w:val="24"/>
        </w:rPr>
        <w:fldChar w:fldCharType="end"/>
      </w:r>
      <w:r>
        <w:rPr>
          <w:rFonts w:hint="eastAsia" w:ascii="宋体" w:hAnsi="宋体" w:eastAsia="宋体" w:cs="宋体"/>
          <w:sz w:val="24"/>
          <w:szCs w:val="24"/>
        </w:rPr>
        <w:fldChar w:fldCharType="end"/>
      </w:r>
    </w:p>
    <w:p>
      <w:pPr>
        <w:pStyle w:val="26"/>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_Toc25123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5.8 </w:t>
      </w:r>
      <w:r>
        <w:rPr>
          <w:sz w:val="24"/>
          <w:szCs w:val="24"/>
        </w:rPr>
        <w:t>周边环境适宜性</w:t>
      </w:r>
      <w:r>
        <w:rPr>
          <w:rFonts w:hint="eastAsia"/>
          <w:sz w:val="24"/>
          <w:szCs w:val="24"/>
        </w:rPr>
        <w:t>评价单元</w:t>
      </w:r>
      <w:r>
        <w:rPr>
          <w:sz w:val="24"/>
          <w:szCs w:val="24"/>
        </w:rPr>
        <w:tab/>
      </w:r>
      <w:r>
        <w:rPr>
          <w:sz w:val="24"/>
          <w:szCs w:val="24"/>
        </w:rPr>
        <w:fldChar w:fldCharType="begin"/>
      </w:r>
      <w:r>
        <w:rPr>
          <w:sz w:val="24"/>
          <w:szCs w:val="24"/>
        </w:rPr>
        <w:instrText xml:space="preserve"> PAGEREF _Toc25123 \h </w:instrText>
      </w:r>
      <w:r>
        <w:rPr>
          <w:sz w:val="24"/>
          <w:szCs w:val="24"/>
        </w:rPr>
        <w:fldChar w:fldCharType="separate"/>
      </w:r>
      <w:r>
        <w:rPr>
          <w:sz w:val="24"/>
          <w:szCs w:val="24"/>
        </w:rPr>
        <w:t>137</w:t>
      </w:r>
      <w:r>
        <w:rPr>
          <w:sz w:val="24"/>
          <w:szCs w:val="24"/>
        </w:rPr>
        <w:fldChar w:fldCharType="end"/>
      </w:r>
      <w:r>
        <w:rPr>
          <w:rFonts w:hint="eastAsia" w:ascii="宋体" w:hAnsi="宋体" w:eastAsia="宋体" w:cs="宋体"/>
          <w:sz w:val="24"/>
          <w:szCs w:val="24"/>
        </w:rPr>
        <w:fldChar w:fldCharType="end"/>
      </w:r>
    </w:p>
    <w:p>
      <w:pPr>
        <w:pStyle w:val="17"/>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_Toc14282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5.8.1 </w:t>
      </w:r>
      <w:r>
        <w:rPr>
          <w:sz w:val="24"/>
          <w:szCs w:val="24"/>
        </w:rPr>
        <w:t>可能发生的事故类型对周边的影响</w:t>
      </w:r>
      <w:r>
        <w:rPr>
          <w:sz w:val="24"/>
          <w:szCs w:val="24"/>
        </w:rPr>
        <w:tab/>
      </w:r>
      <w:r>
        <w:rPr>
          <w:sz w:val="24"/>
          <w:szCs w:val="24"/>
        </w:rPr>
        <w:fldChar w:fldCharType="begin"/>
      </w:r>
      <w:r>
        <w:rPr>
          <w:sz w:val="24"/>
          <w:szCs w:val="24"/>
        </w:rPr>
        <w:instrText xml:space="preserve"> PAGEREF _Toc14282 \h </w:instrText>
      </w:r>
      <w:r>
        <w:rPr>
          <w:sz w:val="24"/>
          <w:szCs w:val="24"/>
        </w:rPr>
        <w:fldChar w:fldCharType="separate"/>
      </w:r>
      <w:r>
        <w:rPr>
          <w:sz w:val="24"/>
          <w:szCs w:val="24"/>
        </w:rPr>
        <w:t>137</w:t>
      </w:r>
      <w:r>
        <w:rPr>
          <w:sz w:val="24"/>
          <w:szCs w:val="24"/>
        </w:rPr>
        <w:fldChar w:fldCharType="end"/>
      </w:r>
      <w:r>
        <w:rPr>
          <w:rFonts w:hint="eastAsia" w:ascii="宋体" w:hAnsi="宋体" w:eastAsia="宋体" w:cs="宋体"/>
          <w:sz w:val="24"/>
          <w:szCs w:val="24"/>
        </w:rPr>
        <w:fldChar w:fldCharType="end"/>
      </w:r>
    </w:p>
    <w:p>
      <w:pPr>
        <w:pStyle w:val="17"/>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_Toc31475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5.8.2 </w:t>
      </w:r>
      <w:r>
        <w:rPr>
          <w:sz w:val="24"/>
          <w:szCs w:val="24"/>
        </w:rPr>
        <w:t>周边</w:t>
      </w:r>
      <w:r>
        <w:rPr>
          <w:rFonts w:hint="eastAsia"/>
          <w:sz w:val="24"/>
          <w:szCs w:val="24"/>
        </w:rPr>
        <w:t>单位或居民</w:t>
      </w:r>
      <w:r>
        <w:rPr>
          <w:sz w:val="24"/>
          <w:szCs w:val="24"/>
        </w:rPr>
        <w:t>对建设项目的影响</w:t>
      </w:r>
      <w:r>
        <w:rPr>
          <w:sz w:val="24"/>
          <w:szCs w:val="24"/>
        </w:rPr>
        <w:tab/>
      </w:r>
      <w:r>
        <w:rPr>
          <w:sz w:val="24"/>
          <w:szCs w:val="24"/>
        </w:rPr>
        <w:fldChar w:fldCharType="begin"/>
      </w:r>
      <w:r>
        <w:rPr>
          <w:sz w:val="24"/>
          <w:szCs w:val="24"/>
        </w:rPr>
        <w:instrText xml:space="preserve"> PAGEREF _Toc31475 \h </w:instrText>
      </w:r>
      <w:r>
        <w:rPr>
          <w:sz w:val="24"/>
          <w:szCs w:val="24"/>
        </w:rPr>
        <w:fldChar w:fldCharType="separate"/>
      </w:r>
      <w:r>
        <w:rPr>
          <w:sz w:val="24"/>
          <w:szCs w:val="24"/>
        </w:rPr>
        <w:t>137</w:t>
      </w:r>
      <w:r>
        <w:rPr>
          <w:sz w:val="24"/>
          <w:szCs w:val="24"/>
        </w:rPr>
        <w:fldChar w:fldCharType="end"/>
      </w:r>
      <w:r>
        <w:rPr>
          <w:rFonts w:hint="eastAsia" w:ascii="宋体" w:hAnsi="宋体" w:eastAsia="宋体" w:cs="宋体"/>
          <w:sz w:val="24"/>
          <w:szCs w:val="24"/>
        </w:rPr>
        <w:fldChar w:fldCharType="end"/>
      </w:r>
    </w:p>
    <w:p>
      <w:pPr>
        <w:pStyle w:val="17"/>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_Toc22481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5.8.3 </w:t>
      </w:r>
      <w:r>
        <w:rPr>
          <w:sz w:val="24"/>
          <w:szCs w:val="24"/>
        </w:rPr>
        <w:t>建设项目所在地自然条件对本项目的影响</w:t>
      </w:r>
      <w:r>
        <w:rPr>
          <w:sz w:val="24"/>
          <w:szCs w:val="24"/>
        </w:rPr>
        <w:tab/>
      </w:r>
      <w:r>
        <w:rPr>
          <w:sz w:val="24"/>
          <w:szCs w:val="24"/>
        </w:rPr>
        <w:fldChar w:fldCharType="begin"/>
      </w:r>
      <w:r>
        <w:rPr>
          <w:sz w:val="24"/>
          <w:szCs w:val="24"/>
        </w:rPr>
        <w:instrText xml:space="preserve"> PAGEREF _Toc22481 \h </w:instrText>
      </w:r>
      <w:r>
        <w:rPr>
          <w:sz w:val="24"/>
          <w:szCs w:val="24"/>
        </w:rPr>
        <w:fldChar w:fldCharType="separate"/>
      </w:r>
      <w:r>
        <w:rPr>
          <w:sz w:val="24"/>
          <w:szCs w:val="24"/>
        </w:rPr>
        <w:t>137</w:t>
      </w:r>
      <w:r>
        <w:rPr>
          <w:sz w:val="24"/>
          <w:szCs w:val="24"/>
        </w:rPr>
        <w:fldChar w:fldCharType="end"/>
      </w:r>
      <w:r>
        <w:rPr>
          <w:rFonts w:hint="eastAsia" w:ascii="宋体" w:hAnsi="宋体" w:eastAsia="宋体" w:cs="宋体"/>
          <w:sz w:val="24"/>
          <w:szCs w:val="24"/>
        </w:rPr>
        <w:fldChar w:fldCharType="end"/>
      </w:r>
    </w:p>
    <w:p>
      <w:pPr>
        <w:pStyle w:val="26"/>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_Toc13850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5.9 </w:t>
      </w:r>
      <w:r>
        <w:rPr>
          <w:sz w:val="24"/>
          <w:szCs w:val="24"/>
        </w:rPr>
        <w:t>安全管理及应急救援单元</w:t>
      </w:r>
      <w:r>
        <w:rPr>
          <w:sz w:val="24"/>
          <w:szCs w:val="24"/>
        </w:rPr>
        <w:tab/>
      </w:r>
      <w:r>
        <w:rPr>
          <w:sz w:val="24"/>
          <w:szCs w:val="24"/>
        </w:rPr>
        <w:fldChar w:fldCharType="begin"/>
      </w:r>
      <w:r>
        <w:rPr>
          <w:sz w:val="24"/>
          <w:szCs w:val="24"/>
        </w:rPr>
        <w:instrText xml:space="preserve"> PAGEREF _Toc13850 \h </w:instrText>
      </w:r>
      <w:r>
        <w:rPr>
          <w:sz w:val="24"/>
          <w:szCs w:val="24"/>
        </w:rPr>
        <w:fldChar w:fldCharType="separate"/>
      </w:r>
      <w:r>
        <w:rPr>
          <w:sz w:val="24"/>
          <w:szCs w:val="24"/>
        </w:rPr>
        <w:t>138</w:t>
      </w:r>
      <w:r>
        <w:rPr>
          <w:sz w:val="24"/>
          <w:szCs w:val="24"/>
        </w:rPr>
        <w:fldChar w:fldCharType="end"/>
      </w:r>
      <w:r>
        <w:rPr>
          <w:rFonts w:hint="eastAsia" w:ascii="宋体" w:hAnsi="宋体" w:eastAsia="宋体" w:cs="宋体"/>
          <w:sz w:val="24"/>
          <w:szCs w:val="24"/>
        </w:rPr>
        <w:fldChar w:fldCharType="end"/>
      </w:r>
    </w:p>
    <w:p>
      <w:pPr>
        <w:pStyle w:val="17"/>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_Toc17602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5.9.1 </w:t>
      </w:r>
      <w:r>
        <w:rPr>
          <w:sz w:val="24"/>
          <w:szCs w:val="24"/>
        </w:rPr>
        <w:t>组织与制度</w:t>
      </w:r>
      <w:r>
        <w:rPr>
          <w:sz w:val="24"/>
          <w:szCs w:val="24"/>
        </w:rPr>
        <w:tab/>
      </w:r>
      <w:r>
        <w:rPr>
          <w:sz w:val="24"/>
          <w:szCs w:val="24"/>
        </w:rPr>
        <w:fldChar w:fldCharType="begin"/>
      </w:r>
      <w:r>
        <w:rPr>
          <w:sz w:val="24"/>
          <w:szCs w:val="24"/>
        </w:rPr>
        <w:instrText xml:space="preserve"> PAGEREF _Toc17602 \h </w:instrText>
      </w:r>
      <w:r>
        <w:rPr>
          <w:sz w:val="24"/>
          <w:szCs w:val="24"/>
        </w:rPr>
        <w:fldChar w:fldCharType="separate"/>
      </w:r>
      <w:r>
        <w:rPr>
          <w:sz w:val="24"/>
          <w:szCs w:val="24"/>
        </w:rPr>
        <w:t>138</w:t>
      </w:r>
      <w:r>
        <w:rPr>
          <w:sz w:val="24"/>
          <w:szCs w:val="24"/>
        </w:rPr>
        <w:fldChar w:fldCharType="end"/>
      </w:r>
      <w:r>
        <w:rPr>
          <w:rFonts w:hint="eastAsia" w:ascii="宋体" w:hAnsi="宋体" w:eastAsia="宋体" w:cs="宋体"/>
          <w:sz w:val="24"/>
          <w:szCs w:val="24"/>
        </w:rPr>
        <w:fldChar w:fldCharType="end"/>
      </w:r>
    </w:p>
    <w:p>
      <w:pPr>
        <w:pStyle w:val="17"/>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_Toc17328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5.9.2 </w:t>
      </w:r>
      <w:r>
        <w:rPr>
          <w:sz w:val="24"/>
          <w:szCs w:val="24"/>
        </w:rPr>
        <w:t>机构设置</w:t>
      </w:r>
      <w:r>
        <w:rPr>
          <w:sz w:val="24"/>
          <w:szCs w:val="24"/>
        </w:rPr>
        <w:tab/>
      </w:r>
      <w:r>
        <w:rPr>
          <w:sz w:val="24"/>
          <w:szCs w:val="24"/>
        </w:rPr>
        <w:fldChar w:fldCharType="begin"/>
      </w:r>
      <w:r>
        <w:rPr>
          <w:sz w:val="24"/>
          <w:szCs w:val="24"/>
        </w:rPr>
        <w:instrText xml:space="preserve"> PAGEREF _Toc17328 \h </w:instrText>
      </w:r>
      <w:r>
        <w:rPr>
          <w:sz w:val="24"/>
          <w:szCs w:val="24"/>
        </w:rPr>
        <w:fldChar w:fldCharType="separate"/>
      </w:r>
      <w:r>
        <w:rPr>
          <w:sz w:val="24"/>
          <w:szCs w:val="24"/>
        </w:rPr>
        <w:t>141</w:t>
      </w:r>
      <w:r>
        <w:rPr>
          <w:sz w:val="24"/>
          <w:szCs w:val="24"/>
        </w:rPr>
        <w:fldChar w:fldCharType="end"/>
      </w:r>
      <w:r>
        <w:rPr>
          <w:rFonts w:hint="eastAsia" w:ascii="宋体" w:hAnsi="宋体" w:eastAsia="宋体" w:cs="宋体"/>
          <w:sz w:val="24"/>
          <w:szCs w:val="24"/>
        </w:rPr>
        <w:fldChar w:fldCharType="end"/>
      </w:r>
    </w:p>
    <w:p>
      <w:pPr>
        <w:pStyle w:val="17"/>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_Toc4067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5.9.3 </w:t>
      </w:r>
      <w:r>
        <w:rPr>
          <w:sz w:val="24"/>
          <w:szCs w:val="24"/>
        </w:rPr>
        <w:t>安全教育培训</w:t>
      </w:r>
      <w:r>
        <w:rPr>
          <w:sz w:val="24"/>
          <w:szCs w:val="24"/>
        </w:rPr>
        <w:tab/>
      </w:r>
      <w:r>
        <w:rPr>
          <w:sz w:val="24"/>
          <w:szCs w:val="24"/>
        </w:rPr>
        <w:fldChar w:fldCharType="begin"/>
      </w:r>
      <w:r>
        <w:rPr>
          <w:sz w:val="24"/>
          <w:szCs w:val="24"/>
        </w:rPr>
        <w:instrText xml:space="preserve"> PAGEREF _Toc4067 \h </w:instrText>
      </w:r>
      <w:r>
        <w:rPr>
          <w:sz w:val="24"/>
          <w:szCs w:val="24"/>
        </w:rPr>
        <w:fldChar w:fldCharType="separate"/>
      </w:r>
      <w:r>
        <w:rPr>
          <w:sz w:val="24"/>
          <w:szCs w:val="24"/>
        </w:rPr>
        <w:t>143</w:t>
      </w:r>
      <w:r>
        <w:rPr>
          <w:sz w:val="24"/>
          <w:szCs w:val="24"/>
        </w:rPr>
        <w:fldChar w:fldCharType="end"/>
      </w:r>
      <w:r>
        <w:rPr>
          <w:rFonts w:hint="eastAsia" w:ascii="宋体" w:hAnsi="宋体" w:eastAsia="宋体" w:cs="宋体"/>
          <w:sz w:val="24"/>
          <w:szCs w:val="24"/>
        </w:rPr>
        <w:fldChar w:fldCharType="end"/>
      </w:r>
    </w:p>
    <w:p>
      <w:pPr>
        <w:pStyle w:val="17"/>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_Toc13126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5.9.4 </w:t>
      </w:r>
      <w:r>
        <w:rPr>
          <w:sz w:val="24"/>
          <w:szCs w:val="24"/>
        </w:rPr>
        <w:t>危险源管理</w:t>
      </w:r>
      <w:r>
        <w:rPr>
          <w:sz w:val="24"/>
          <w:szCs w:val="24"/>
        </w:rPr>
        <w:tab/>
      </w:r>
      <w:r>
        <w:rPr>
          <w:sz w:val="24"/>
          <w:szCs w:val="24"/>
        </w:rPr>
        <w:fldChar w:fldCharType="begin"/>
      </w:r>
      <w:r>
        <w:rPr>
          <w:sz w:val="24"/>
          <w:szCs w:val="24"/>
        </w:rPr>
        <w:instrText xml:space="preserve"> PAGEREF _Toc13126 \h </w:instrText>
      </w:r>
      <w:r>
        <w:rPr>
          <w:sz w:val="24"/>
          <w:szCs w:val="24"/>
        </w:rPr>
        <w:fldChar w:fldCharType="separate"/>
      </w:r>
      <w:r>
        <w:rPr>
          <w:sz w:val="24"/>
          <w:szCs w:val="24"/>
        </w:rPr>
        <w:t>144</w:t>
      </w:r>
      <w:r>
        <w:rPr>
          <w:sz w:val="24"/>
          <w:szCs w:val="24"/>
        </w:rPr>
        <w:fldChar w:fldCharType="end"/>
      </w:r>
      <w:r>
        <w:rPr>
          <w:rFonts w:hint="eastAsia" w:ascii="宋体" w:hAnsi="宋体" w:eastAsia="宋体" w:cs="宋体"/>
          <w:sz w:val="24"/>
          <w:szCs w:val="24"/>
        </w:rPr>
        <w:fldChar w:fldCharType="end"/>
      </w:r>
    </w:p>
    <w:p>
      <w:pPr>
        <w:pStyle w:val="17"/>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_Toc18520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5.9.5 </w:t>
      </w:r>
      <w:r>
        <w:rPr>
          <w:sz w:val="24"/>
          <w:szCs w:val="24"/>
        </w:rPr>
        <w:t>安全检查</w:t>
      </w:r>
      <w:r>
        <w:rPr>
          <w:sz w:val="24"/>
          <w:szCs w:val="24"/>
        </w:rPr>
        <w:tab/>
      </w:r>
      <w:r>
        <w:rPr>
          <w:sz w:val="24"/>
          <w:szCs w:val="24"/>
        </w:rPr>
        <w:fldChar w:fldCharType="begin"/>
      </w:r>
      <w:r>
        <w:rPr>
          <w:sz w:val="24"/>
          <w:szCs w:val="24"/>
        </w:rPr>
        <w:instrText xml:space="preserve"> PAGEREF _Toc18520 \h </w:instrText>
      </w:r>
      <w:r>
        <w:rPr>
          <w:sz w:val="24"/>
          <w:szCs w:val="24"/>
        </w:rPr>
        <w:fldChar w:fldCharType="separate"/>
      </w:r>
      <w:r>
        <w:rPr>
          <w:sz w:val="24"/>
          <w:szCs w:val="24"/>
        </w:rPr>
        <w:t>145</w:t>
      </w:r>
      <w:r>
        <w:rPr>
          <w:sz w:val="24"/>
          <w:szCs w:val="24"/>
        </w:rPr>
        <w:fldChar w:fldCharType="end"/>
      </w:r>
      <w:r>
        <w:rPr>
          <w:rFonts w:hint="eastAsia" w:ascii="宋体" w:hAnsi="宋体" w:eastAsia="宋体" w:cs="宋体"/>
          <w:sz w:val="24"/>
          <w:szCs w:val="24"/>
        </w:rPr>
        <w:fldChar w:fldCharType="end"/>
      </w:r>
    </w:p>
    <w:p>
      <w:pPr>
        <w:pStyle w:val="17"/>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_Toc1504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5.9.6 </w:t>
      </w:r>
      <w:r>
        <w:rPr>
          <w:sz w:val="24"/>
          <w:szCs w:val="24"/>
        </w:rPr>
        <w:t>个人安全防护</w:t>
      </w:r>
      <w:r>
        <w:rPr>
          <w:sz w:val="24"/>
          <w:szCs w:val="24"/>
        </w:rPr>
        <w:tab/>
      </w:r>
      <w:r>
        <w:rPr>
          <w:sz w:val="24"/>
          <w:szCs w:val="24"/>
        </w:rPr>
        <w:fldChar w:fldCharType="begin"/>
      </w:r>
      <w:r>
        <w:rPr>
          <w:sz w:val="24"/>
          <w:szCs w:val="24"/>
        </w:rPr>
        <w:instrText xml:space="preserve"> PAGEREF _Toc1504 \h </w:instrText>
      </w:r>
      <w:r>
        <w:rPr>
          <w:sz w:val="24"/>
          <w:szCs w:val="24"/>
        </w:rPr>
        <w:fldChar w:fldCharType="separate"/>
      </w:r>
      <w:r>
        <w:rPr>
          <w:sz w:val="24"/>
          <w:szCs w:val="24"/>
        </w:rPr>
        <w:t>147</w:t>
      </w:r>
      <w:r>
        <w:rPr>
          <w:sz w:val="24"/>
          <w:szCs w:val="24"/>
        </w:rPr>
        <w:fldChar w:fldCharType="end"/>
      </w:r>
      <w:r>
        <w:rPr>
          <w:rFonts w:hint="eastAsia" w:ascii="宋体" w:hAnsi="宋体" w:eastAsia="宋体" w:cs="宋体"/>
          <w:sz w:val="24"/>
          <w:szCs w:val="24"/>
        </w:rPr>
        <w:fldChar w:fldCharType="end"/>
      </w:r>
    </w:p>
    <w:p>
      <w:pPr>
        <w:pStyle w:val="17"/>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_Toc10177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5.9.7 </w:t>
      </w:r>
      <w:r>
        <w:rPr>
          <w:sz w:val="24"/>
          <w:szCs w:val="24"/>
        </w:rPr>
        <w:t>安全标志</w:t>
      </w:r>
      <w:r>
        <w:rPr>
          <w:sz w:val="24"/>
          <w:szCs w:val="24"/>
        </w:rPr>
        <w:tab/>
      </w:r>
      <w:r>
        <w:rPr>
          <w:sz w:val="24"/>
          <w:szCs w:val="24"/>
        </w:rPr>
        <w:fldChar w:fldCharType="begin"/>
      </w:r>
      <w:r>
        <w:rPr>
          <w:sz w:val="24"/>
          <w:szCs w:val="24"/>
        </w:rPr>
        <w:instrText xml:space="preserve"> PAGEREF _Toc10177 \h </w:instrText>
      </w:r>
      <w:r>
        <w:rPr>
          <w:sz w:val="24"/>
          <w:szCs w:val="24"/>
        </w:rPr>
        <w:fldChar w:fldCharType="separate"/>
      </w:r>
      <w:r>
        <w:rPr>
          <w:sz w:val="24"/>
          <w:szCs w:val="24"/>
        </w:rPr>
        <w:t>148</w:t>
      </w:r>
      <w:r>
        <w:rPr>
          <w:sz w:val="24"/>
          <w:szCs w:val="24"/>
        </w:rPr>
        <w:fldChar w:fldCharType="end"/>
      </w:r>
      <w:r>
        <w:rPr>
          <w:rFonts w:hint="eastAsia" w:ascii="宋体" w:hAnsi="宋体" w:eastAsia="宋体" w:cs="宋体"/>
          <w:sz w:val="24"/>
          <w:szCs w:val="24"/>
        </w:rPr>
        <w:fldChar w:fldCharType="end"/>
      </w:r>
    </w:p>
    <w:p>
      <w:pPr>
        <w:pStyle w:val="17"/>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_Toc158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5.9.8 </w:t>
      </w:r>
      <w:r>
        <w:rPr>
          <w:rFonts w:hint="eastAsia"/>
          <w:sz w:val="24"/>
          <w:szCs w:val="24"/>
        </w:rPr>
        <w:t>事故应急救援预案及演练</w:t>
      </w:r>
      <w:r>
        <w:rPr>
          <w:sz w:val="24"/>
          <w:szCs w:val="24"/>
        </w:rPr>
        <w:tab/>
      </w:r>
      <w:r>
        <w:rPr>
          <w:sz w:val="24"/>
          <w:szCs w:val="24"/>
        </w:rPr>
        <w:fldChar w:fldCharType="begin"/>
      </w:r>
      <w:r>
        <w:rPr>
          <w:sz w:val="24"/>
          <w:szCs w:val="24"/>
        </w:rPr>
        <w:instrText xml:space="preserve"> PAGEREF _Toc158 \h </w:instrText>
      </w:r>
      <w:r>
        <w:rPr>
          <w:sz w:val="24"/>
          <w:szCs w:val="24"/>
        </w:rPr>
        <w:fldChar w:fldCharType="separate"/>
      </w:r>
      <w:r>
        <w:rPr>
          <w:sz w:val="24"/>
          <w:szCs w:val="24"/>
        </w:rPr>
        <w:t>149</w:t>
      </w:r>
      <w:r>
        <w:rPr>
          <w:sz w:val="24"/>
          <w:szCs w:val="24"/>
        </w:rPr>
        <w:fldChar w:fldCharType="end"/>
      </w:r>
      <w:r>
        <w:rPr>
          <w:rFonts w:hint="eastAsia" w:ascii="宋体" w:hAnsi="宋体" w:eastAsia="宋体" w:cs="宋体"/>
          <w:sz w:val="24"/>
          <w:szCs w:val="24"/>
        </w:rPr>
        <w:fldChar w:fldCharType="end"/>
      </w:r>
    </w:p>
    <w:p>
      <w:pPr>
        <w:pStyle w:val="17"/>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_Toc4281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5.9.9 </w:t>
      </w:r>
      <w:r>
        <w:rPr>
          <w:sz w:val="24"/>
          <w:szCs w:val="24"/>
        </w:rPr>
        <w:t>事故</w:t>
      </w:r>
      <w:r>
        <w:rPr>
          <w:rFonts w:hint="eastAsia"/>
          <w:sz w:val="24"/>
          <w:szCs w:val="24"/>
        </w:rPr>
        <w:t>管理</w:t>
      </w:r>
      <w:r>
        <w:rPr>
          <w:sz w:val="24"/>
          <w:szCs w:val="24"/>
        </w:rPr>
        <w:tab/>
      </w:r>
      <w:r>
        <w:rPr>
          <w:sz w:val="24"/>
          <w:szCs w:val="24"/>
        </w:rPr>
        <w:fldChar w:fldCharType="begin"/>
      </w:r>
      <w:r>
        <w:rPr>
          <w:sz w:val="24"/>
          <w:szCs w:val="24"/>
        </w:rPr>
        <w:instrText xml:space="preserve"> PAGEREF _Toc4281 \h </w:instrText>
      </w:r>
      <w:r>
        <w:rPr>
          <w:sz w:val="24"/>
          <w:szCs w:val="24"/>
        </w:rPr>
        <w:fldChar w:fldCharType="separate"/>
      </w:r>
      <w:r>
        <w:rPr>
          <w:sz w:val="24"/>
          <w:szCs w:val="24"/>
        </w:rPr>
        <w:t>151</w:t>
      </w:r>
      <w:r>
        <w:rPr>
          <w:sz w:val="24"/>
          <w:szCs w:val="24"/>
        </w:rPr>
        <w:fldChar w:fldCharType="end"/>
      </w:r>
      <w:r>
        <w:rPr>
          <w:rFonts w:hint="eastAsia" w:ascii="宋体" w:hAnsi="宋体" w:eastAsia="宋体" w:cs="宋体"/>
          <w:sz w:val="24"/>
          <w:szCs w:val="24"/>
        </w:rPr>
        <w:fldChar w:fldCharType="end"/>
      </w:r>
    </w:p>
    <w:p>
      <w:pPr>
        <w:pStyle w:val="17"/>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_Toc19909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5.9.10 </w:t>
      </w:r>
      <w:r>
        <w:rPr>
          <w:sz w:val="24"/>
          <w:szCs w:val="24"/>
        </w:rPr>
        <w:t>有限空间管理</w:t>
      </w:r>
      <w:r>
        <w:rPr>
          <w:sz w:val="24"/>
          <w:szCs w:val="24"/>
        </w:rPr>
        <w:tab/>
      </w:r>
      <w:r>
        <w:rPr>
          <w:sz w:val="24"/>
          <w:szCs w:val="24"/>
        </w:rPr>
        <w:fldChar w:fldCharType="begin"/>
      </w:r>
      <w:r>
        <w:rPr>
          <w:sz w:val="24"/>
          <w:szCs w:val="24"/>
        </w:rPr>
        <w:instrText xml:space="preserve"> PAGEREF _Toc19909 \h </w:instrText>
      </w:r>
      <w:r>
        <w:rPr>
          <w:sz w:val="24"/>
          <w:szCs w:val="24"/>
        </w:rPr>
        <w:fldChar w:fldCharType="separate"/>
      </w:r>
      <w:r>
        <w:rPr>
          <w:sz w:val="24"/>
          <w:szCs w:val="24"/>
        </w:rPr>
        <w:t>152</w:t>
      </w:r>
      <w:r>
        <w:rPr>
          <w:sz w:val="24"/>
          <w:szCs w:val="24"/>
        </w:rPr>
        <w:fldChar w:fldCharType="end"/>
      </w:r>
      <w:r>
        <w:rPr>
          <w:rFonts w:hint="eastAsia" w:ascii="宋体" w:hAnsi="宋体" w:eastAsia="宋体" w:cs="宋体"/>
          <w:sz w:val="24"/>
          <w:szCs w:val="24"/>
        </w:rPr>
        <w:fldChar w:fldCharType="end"/>
      </w:r>
    </w:p>
    <w:p>
      <w:pPr>
        <w:pStyle w:val="26"/>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_Toc22072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5.10 </w:t>
      </w:r>
      <w:r>
        <w:rPr>
          <w:sz w:val="24"/>
          <w:szCs w:val="24"/>
        </w:rPr>
        <w:t>其他安全设施单元</w:t>
      </w:r>
      <w:r>
        <w:rPr>
          <w:sz w:val="24"/>
          <w:szCs w:val="24"/>
        </w:rPr>
        <w:tab/>
      </w:r>
      <w:r>
        <w:rPr>
          <w:sz w:val="24"/>
          <w:szCs w:val="24"/>
        </w:rPr>
        <w:fldChar w:fldCharType="begin"/>
      </w:r>
      <w:r>
        <w:rPr>
          <w:sz w:val="24"/>
          <w:szCs w:val="24"/>
        </w:rPr>
        <w:instrText xml:space="preserve"> PAGEREF _Toc22072 \h </w:instrText>
      </w:r>
      <w:r>
        <w:rPr>
          <w:sz w:val="24"/>
          <w:szCs w:val="24"/>
        </w:rPr>
        <w:fldChar w:fldCharType="separate"/>
      </w:r>
      <w:r>
        <w:rPr>
          <w:sz w:val="24"/>
          <w:szCs w:val="24"/>
        </w:rPr>
        <w:t>157</w:t>
      </w:r>
      <w:r>
        <w:rPr>
          <w:sz w:val="24"/>
          <w:szCs w:val="24"/>
        </w:rPr>
        <w:fldChar w:fldCharType="end"/>
      </w:r>
      <w:r>
        <w:rPr>
          <w:rFonts w:hint="eastAsia" w:ascii="宋体" w:hAnsi="宋体" w:eastAsia="宋体" w:cs="宋体"/>
          <w:sz w:val="24"/>
          <w:szCs w:val="24"/>
        </w:rPr>
        <w:fldChar w:fldCharType="end"/>
      </w:r>
    </w:p>
    <w:p>
      <w:pPr>
        <w:pStyle w:val="26"/>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_Toc9999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5.11 </w:t>
      </w:r>
      <w:r>
        <w:rPr>
          <w:sz w:val="24"/>
          <w:szCs w:val="24"/>
        </w:rPr>
        <w:t>安全设施设计中安全对策措施建议采纳情况说明</w:t>
      </w:r>
      <w:r>
        <w:rPr>
          <w:sz w:val="24"/>
          <w:szCs w:val="24"/>
        </w:rPr>
        <w:tab/>
      </w:r>
      <w:r>
        <w:rPr>
          <w:sz w:val="24"/>
          <w:szCs w:val="24"/>
        </w:rPr>
        <w:fldChar w:fldCharType="begin"/>
      </w:r>
      <w:r>
        <w:rPr>
          <w:sz w:val="24"/>
          <w:szCs w:val="24"/>
        </w:rPr>
        <w:instrText xml:space="preserve"> PAGEREF _Toc9999 \h </w:instrText>
      </w:r>
      <w:r>
        <w:rPr>
          <w:sz w:val="24"/>
          <w:szCs w:val="24"/>
        </w:rPr>
        <w:fldChar w:fldCharType="separate"/>
      </w:r>
      <w:r>
        <w:rPr>
          <w:sz w:val="24"/>
          <w:szCs w:val="24"/>
        </w:rPr>
        <w:t>161</w:t>
      </w:r>
      <w:r>
        <w:rPr>
          <w:sz w:val="24"/>
          <w:szCs w:val="24"/>
        </w:rPr>
        <w:fldChar w:fldCharType="end"/>
      </w:r>
      <w:r>
        <w:rPr>
          <w:rFonts w:hint="eastAsia" w:ascii="宋体" w:hAnsi="宋体" w:eastAsia="宋体" w:cs="宋体"/>
          <w:sz w:val="24"/>
          <w:szCs w:val="24"/>
        </w:rPr>
        <w:fldChar w:fldCharType="end"/>
      </w:r>
    </w:p>
    <w:p>
      <w:pPr>
        <w:pStyle w:val="23"/>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_Toc15147 </w:instrText>
      </w:r>
      <w:r>
        <w:rPr>
          <w:rFonts w:hint="eastAsia" w:ascii="宋体" w:hAnsi="宋体" w:eastAsia="宋体" w:cs="宋体"/>
          <w:sz w:val="24"/>
          <w:szCs w:val="24"/>
        </w:rPr>
        <w:fldChar w:fldCharType="separate"/>
      </w:r>
      <w:r>
        <w:rPr>
          <w:rFonts w:hint="default" w:ascii="宋体" w:hAnsi="宋体" w:eastAsia="宋体" w:cs="宋体"/>
          <w:sz w:val="24"/>
          <w:szCs w:val="24"/>
        </w:rPr>
        <w:t xml:space="preserve">6. </w:t>
      </w:r>
      <w:r>
        <w:rPr>
          <w:sz w:val="24"/>
          <w:szCs w:val="24"/>
        </w:rPr>
        <w:t>安全对策措施建议</w:t>
      </w:r>
      <w:r>
        <w:rPr>
          <w:sz w:val="24"/>
          <w:szCs w:val="24"/>
        </w:rPr>
        <w:tab/>
      </w:r>
      <w:r>
        <w:rPr>
          <w:sz w:val="24"/>
          <w:szCs w:val="24"/>
        </w:rPr>
        <w:fldChar w:fldCharType="begin"/>
      </w:r>
      <w:r>
        <w:rPr>
          <w:sz w:val="24"/>
          <w:szCs w:val="24"/>
        </w:rPr>
        <w:instrText xml:space="preserve"> PAGEREF _Toc15147 \h </w:instrText>
      </w:r>
      <w:r>
        <w:rPr>
          <w:sz w:val="24"/>
          <w:szCs w:val="24"/>
        </w:rPr>
        <w:fldChar w:fldCharType="separate"/>
      </w:r>
      <w:r>
        <w:rPr>
          <w:sz w:val="24"/>
          <w:szCs w:val="24"/>
        </w:rPr>
        <w:t>188</w:t>
      </w:r>
      <w:r>
        <w:rPr>
          <w:sz w:val="24"/>
          <w:szCs w:val="24"/>
        </w:rPr>
        <w:fldChar w:fldCharType="end"/>
      </w:r>
      <w:r>
        <w:rPr>
          <w:rFonts w:hint="eastAsia" w:ascii="宋体" w:hAnsi="宋体" w:eastAsia="宋体" w:cs="宋体"/>
          <w:sz w:val="24"/>
          <w:szCs w:val="24"/>
        </w:rPr>
        <w:fldChar w:fldCharType="end"/>
      </w:r>
    </w:p>
    <w:p>
      <w:pPr>
        <w:pStyle w:val="26"/>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_Toc23395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6.1 </w:t>
      </w:r>
      <w:r>
        <w:rPr>
          <w:rFonts w:hint="eastAsia"/>
          <w:sz w:val="24"/>
          <w:szCs w:val="24"/>
        </w:rPr>
        <w:t>存在问题</w:t>
      </w:r>
      <w:r>
        <w:rPr>
          <w:sz w:val="24"/>
          <w:szCs w:val="24"/>
        </w:rPr>
        <w:tab/>
      </w:r>
      <w:r>
        <w:rPr>
          <w:sz w:val="24"/>
          <w:szCs w:val="24"/>
        </w:rPr>
        <w:fldChar w:fldCharType="begin"/>
      </w:r>
      <w:r>
        <w:rPr>
          <w:sz w:val="24"/>
          <w:szCs w:val="24"/>
        </w:rPr>
        <w:instrText xml:space="preserve"> PAGEREF _Toc23395 \h </w:instrText>
      </w:r>
      <w:r>
        <w:rPr>
          <w:sz w:val="24"/>
          <w:szCs w:val="24"/>
        </w:rPr>
        <w:fldChar w:fldCharType="separate"/>
      </w:r>
      <w:r>
        <w:rPr>
          <w:sz w:val="24"/>
          <w:szCs w:val="24"/>
        </w:rPr>
        <w:t>188</w:t>
      </w:r>
      <w:r>
        <w:rPr>
          <w:sz w:val="24"/>
          <w:szCs w:val="24"/>
        </w:rPr>
        <w:fldChar w:fldCharType="end"/>
      </w:r>
      <w:r>
        <w:rPr>
          <w:rFonts w:hint="eastAsia" w:ascii="宋体" w:hAnsi="宋体" w:eastAsia="宋体" w:cs="宋体"/>
          <w:sz w:val="24"/>
          <w:szCs w:val="24"/>
        </w:rPr>
        <w:fldChar w:fldCharType="end"/>
      </w:r>
    </w:p>
    <w:p>
      <w:pPr>
        <w:pStyle w:val="26"/>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_Toc21447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6.2 </w:t>
      </w:r>
      <w:r>
        <w:rPr>
          <w:rFonts w:hint="eastAsia"/>
          <w:sz w:val="24"/>
          <w:szCs w:val="24"/>
        </w:rPr>
        <w:t>整改情况</w:t>
      </w:r>
      <w:r>
        <w:rPr>
          <w:sz w:val="24"/>
          <w:szCs w:val="24"/>
        </w:rPr>
        <w:tab/>
      </w:r>
      <w:r>
        <w:rPr>
          <w:sz w:val="24"/>
          <w:szCs w:val="24"/>
        </w:rPr>
        <w:fldChar w:fldCharType="begin"/>
      </w:r>
      <w:r>
        <w:rPr>
          <w:sz w:val="24"/>
          <w:szCs w:val="24"/>
        </w:rPr>
        <w:instrText xml:space="preserve"> PAGEREF _Toc21447 \h </w:instrText>
      </w:r>
      <w:r>
        <w:rPr>
          <w:sz w:val="24"/>
          <w:szCs w:val="24"/>
        </w:rPr>
        <w:fldChar w:fldCharType="separate"/>
      </w:r>
      <w:r>
        <w:rPr>
          <w:sz w:val="24"/>
          <w:szCs w:val="24"/>
        </w:rPr>
        <w:t>188</w:t>
      </w:r>
      <w:r>
        <w:rPr>
          <w:sz w:val="24"/>
          <w:szCs w:val="24"/>
        </w:rPr>
        <w:fldChar w:fldCharType="end"/>
      </w:r>
      <w:r>
        <w:rPr>
          <w:rFonts w:hint="eastAsia" w:ascii="宋体" w:hAnsi="宋体" w:eastAsia="宋体" w:cs="宋体"/>
          <w:sz w:val="24"/>
          <w:szCs w:val="24"/>
        </w:rPr>
        <w:fldChar w:fldCharType="end"/>
      </w:r>
    </w:p>
    <w:p>
      <w:pPr>
        <w:pStyle w:val="26"/>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_Toc21349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6.3 </w:t>
      </w:r>
      <w:r>
        <w:rPr>
          <w:rFonts w:hint="eastAsia"/>
          <w:sz w:val="24"/>
          <w:szCs w:val="24"/>
        </w:rPr>
        <w:t>对策措施及建议</w:t>
      </w:r>
      <w:r>
        <w:rPr>
          <w:sz w:val="24"/>
          <w:szCs w:val="24"/>
        </w:rPr>
        <w:tab/>
      </w:r>
      <w:r>
        <w:rPr>
          <w:sz w:val="24"/>
          <w:szCs w:val="24"/>
        </w:rPr>
        <w:fldChar w:fldCharType="begin"/>
      </w:r>
      <w:r>
        <w:rPr>
          <w:sz w:val="24"/>
          <w:szCs w:val="24"/>
        </w:rPr>
        <w:instrText xml:space="preserve"> PAGEREF _Toc21349 \h </w:instrText>
      </w:r>
      <w:r>
        <w:rPr>
          <w:sz w:val="24"/>
          <w:szCs w:val="24"/>
        </w:rPr>
        <w:fldChar w:fldCharType="separate"/>
      </w:r>
      <w:r>
        <w:rPr>
          <w:sz w:val="24"/>
          <w:szCs w:val="24"/>
        </w:rPr>
        <w:t>189</w:t>
      </w:r>
      <w:r>
        <w:rPr>
          <w:sz w:val="24"/>
          <w:szCs w:val="24"/>
        </w:rPr>
        <w:fldChar w:fldCharType="end"/>
      </w:r>
      <w:r>
        <w:rPr>
          <w:rFonts w:hint="eastAsia" w:ascii="宋体" w:hAnsi="宋体" w:eastAsia="宋体" w:cs="宋体"/>
          <w:sz w:val="24"/>
          <w:szCs w:val="24"/>
        </w:rPr>
        <w:fldChar w:fldCharType="end"/>
      </w:r>
    </w:p>
    <w:p>
      <w:pPr>
        <w:pStyle w:val="23"/>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_Toc32344 </w:instrText>
      </w:r>
      <w:r>
        <w:rPr>
          <w:rFonts w:hint="eastAsia" w:ascii="宋体" w:hAnsi="宋体" w:eastAsia="宋体" w:cs="宋体"/>
          <w:sz w:val="24"/>
          <w:szCs w:val="24"/>
        </w:rPr>
        <w:fldChar w:fldCharType="separate"/>
      </w:r>
      <w:r>
        <w:rPr>
          <w:rFonts w:hint="default" w:ascii="宋体" w:hAnsi="宋体" w:eastAsia="宋体" w:cs="宋体"/>
          <w:sz w:val="24"/>
          <w:szCs w:val="24"/>
        </w:rPr>
        <w:t xml:space="preserve">7. </w:t>
      </w:r>
      <w:r>
        <w:rPr>
          <w:sz w:val="24"/>
          <w:szCs w:val="24"/>
        </w:rPr>
        <w:t>总体评价结论</w:t>
      </w:r>
      <w:r>
        <w:rPr>
          <w:sz w:val="24"/>
          <w:szCs w:val="24"/>
        </w:rPr>
        <w:tab/>
      </w:r>
      <w:r>
        <w:rPr>
          <w:sz w:val="24"/>
          <w:szCs w:val="24"/>
        </w:rPr>
        <w:fldChar w:fldCharType="begin"/>
      </w:r>
      <w:r>
        <w:rPr>
          <w:sz w:val="24"/>
          <w:szCs w:val="24"/>
        </w:rPr>
        <w:instrText xml:space="preserve"> PAGEREF _Toc32344 \h </w:instrText>
      </w:r>
      <w:r>
        <w:rPr>
          <w:sz w:val="24"/>
          <w:szCs w:val="24"/>
        </w:rPr>
        <w:fldChar w:fldCharType="separate"/>
      </w:r>
      <w:r>
        <w:rPr>
          <w:sz w:val="24"/>
          <w:szCs w:val="24"/>
        </w:rPr>
        <w:t>191</w:t>
      </w:r>
      <w:r>
        <w:rPr>
          <w:sz w:val="24"/>
          <w:szCs w:val="24"/>
        </w:rPr>
        <w:fldChar w:fldCharType="end"/>
      </w:r>
      <w:r>
        <w:rPr>
          <w:rFonts w:hint="eastAsia" w:ascii="宋体" w:hAnsi="宋体" w:eastAsia="宋体" w:cs="宋体"/>
          <w:sz w:val="24"/>
          <w:szCs w:val="24"/>
        </w:rPr>
        <w:fldChar w:fldCharType="end"/>
      </w:r>
    </w:p>
    <w:p>
      <w:pPr>
        <w:pStyle w:val="26"/>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_Toc4998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7.1 </w:t>
      </w:r>
      <w:r>
        <w:rPr>
          <w:rFonts w:hint="eastAsia"/>
          <w:sz w:val="24"/>
          <w:szCs w:val="24"/>
        </w:rPr>
        <w:t>主要危险、有害因素及相关作业场所分布</w:t>
      </w:r>
      <w:r>
        <w:rPr>
          <w:sz w:val="24"/>
          <w:szCs w:val="24"/>
        </w:rPr>
        <w:tab/>
      </w:r>
      <w:r>
        <w:rPr>
          <w:sz w:val="24"/>
          <w:szCs w:val="24"/>
        </w:rPr>
        <w:fldChar w:fldCharType="begin"/>
      </w:r>
      <w:r>
        <w:rPr>
          <w:sz w:val="24"/>
          <w:szCs w:val="24"/>
        </w:rPr>
        <w:instrText xml:space="preserve"> PAGEREF _Toc4998 \h </w:instrText>
      </w:r>
      <w:r>
        <w:rPr>
          <w:sz w:val="24"/>
          <w:szCs w:val="24"/>
        </w:rPr>
        <w:fldChar w:fldCharType="separate"/>
      </w:r>
      <w:r>
        <w:rPr>
          <w:sz w:val="24"/>
          <w:szCs w:val="24"/>
        </w:rPr>
        <w:t>191</w:t>
      </w:r>
      <w:r>
        <w:rPr>
          <w:sz w:val="24"/>
          <w:szCs w:val="24"/>
        </w:rPr>
        <w:fldChar w:fldCharType="end"/>
      </w:r>
      <w:r>
        <w:rPr>
          <w:rFonts w:hint="eastAsia" w:ascii="宋体" w:hAnsi="宋体" w:eastAsia="宋体" w:cs="宋体"/>
          <w:sz w:val="24"/>
          <w:szCs w:val="24"/>
        </w:rPr>
        <w:fldChar w:fldCharType="end"/>
      </w:r>
    </w:p>
    <w:p>
      <w:pPr>
        <w:pStyle w:val="26"/>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_Toc6043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7.2 </w:t>
      </w:r>
      <w:r>
        <w:rPr>
          <w:rFonts w:hint="eastAsia"/>
          <w:sz w:val="24"/>
          <w:szCs w:val="24"/>
        </w:rPr>
        <w:t>本项目应重点防范的重大事故和危害</w:t>
      </w:r>
      <w:r>
        <w:rPr>
          <w:sz w:val="24"/>
          <w:szCs w:val="24"/>
        </w:rPr>
        <w:tab/>
      </w:r>
      <w:r>
        <w:rPr>
          <w:sz w:val="24"/>
          <w:szCs w:val="24"/>
        </w:rPr>
        <w:fldChar w:fldCharType="begin"/>
      </w:r>
      <w:r>
        <w:rPr>
          <w:sz w:val="24"/>
          <w:szCs w:val="24"/>
        </w:rPr>
        <w:instrText xml:space="preserve"> PAGEREF _Toc6043 \h </w:instrText>
      </w:r>
      <w:r>
        <w:rPr>
          <w:sz w:val="24"/>
          <w:szCs w:val="24"/>
        </w:rPr>
        <w:fldChar w:fldCharType="separate"/>
      </w:r>
      <w:r>
        <w:rPr>
          <w:sz w:val="24"/>
          <w:szCs w:val="24"/>
        </w:rPr>
        <w:t>192</w:t>
      </w:r>
      <w:r>
        <w:rPr>
          <w:sz w:val="24"/>
          <w:szCs w:val="24"/>
        </w:rPr>
        <w:fldChar w:fldCharType="end"/>
      </w:r>
      <w:r>
        <w:rPr>
          <w:rFonts w:hint="eastAsia" w:ascii="宋体" w:hAnsi="宋体" w:eastAsia="宋体" w:cs="宋体"/>
          <w:sz w:val="24"/>
          <w:szCs w:val="24"/>
        </w:rPr>
        <w:fldChar w:fldCharType="end"/>
      </w:r>
    </w:p>
    <w:p>
      <w:pPr>
        <w:pStyle w:val="26"/>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_Toc28527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7.3 </w:t>
      </w:r>
      <w:r>
        <w:rPr>
          <w:rFonts w:hint="eastAsia"/>
          <w:sz w:val="24"/>
          <w:szCs w:val="24"/>
        </w:rPr>
        <w:t>各单元评价综述</w:t>
      </w:r>
      <w:r>
        <w:rPr>
          <w:sz w:val="24"/>
          <w:szCs w:val="24"/>
        </w:rPr>
        <w:tab/>
      </w:r>
      <w:r>
        <w:rPr>
          <w:sz w:val="24"/>
          <w:szCs w:val="24"/>
        </w:rPr>
        <w:fldChar w:fldCharType="begin"/>
      </w:r>
      <w:r>
        <w:rPr>
          <w:sz w:val="24"/>
          <w:szCs w:val="24"/>
        </w:rPr>
        <w:instrText xml:space="preserve"> PAGEREF _Toc28527 \h </w:instrText>
      </w:r>
      <w:r>
        <w:rPr>
          <w:sz w:val="24"/>
          <w:szCs w:val="24"/>
        </w:rPr>
        <w:fldChar w:fldCharType="separate"/>
      </w:r>
      <w:r>
        <w:rPr>
          <w:sz w:val="24"/>
          <w:szCs w:val="24"/>
        </w:rPr>
        <w:t>192</w:t>
      </w:r>
      <w:r>
        <w:rPr>
          <w:sz w:val="24"/>
          <w:szCs w:val="24"/>
        </w:rPr>
        <w:fldChar w:fldCharType="end"/>
      </w:r>
      <w:r>
        <w:rPr>
          <w:rFonts w:hint="eastAsia" w:ascii="宋体" w:hAnsi="宋体" w:eastAsia="宋体" w:cs="宋体"/>
          <w:sz w:val="24"/>
          <w:szCs w:val="24"/>
        </w:rPr>
        <w:fldChar w:fldCharType="end"/>
      </w:r>
    </w:p>
    <w:p>
      <w:pPr>
        <w:pStyle w:val="17"/>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_Toc28393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7.3.1 </w:t>
      </w:r>
      <w:r>
        <w:rPr>
          <w:rFonts w:hint="eastAsia"/>
          <w:sz w:val="24"/>
          <w:szCs w:val="24"/>
        </w:rPr>
        <w:t>法律法规符合性评价</w:t>
      </w:r>
      <w:r>
        <w:rPr>
          <w:sz w:val="24"/>
          <w:szCs w:val="24"/>
        </w:rPr>
        <w:tab/>
      </w:r>
      <w:r>
        <w:rPr>
          <w:sz w:val="24"/>
          <w:szCs w:val="24"/>
        </w:rPr>
        <w:fldChar w:fldCharType="begin"/>
      </w:r>
      <w:r>
        <w:rPr>
          <w:sz w:val="24"/>
          <w:szCs w:val="24"/>
        </w:rPr>
        <w:instrText xml:space="preserve"> PAGEREF _Toc28393 \h </w:instrText>
      </w:r>
      <w:r>
        <w:rPr>
          <w:sz w:val="24"/>
          <w:szCs w:val="24"/>
        </w:rPr>
        <w:fldChar w:fldCharType="separate"/>
      </w:r>
      <w:r>
        <w:rPr>
          <w:sz w:val="24"/>
          <w:szCs w:val="24"/>
        </w:rPr>
        <w:t>192</w:t>
      </w:r>
      <w:r>
        <w:rPr>
          <w:sz w:val="24"/>
          <w:szCs w:val="24"/>
        </w:rPr>
        <w:fldChar w:fldCharType="end"/>
      </w:r>
      <w:r>
        <w:rPr>
          <w:rFonts w:hint="eastAsia" w:ascii="宋体" w:hAnsi="宋体" w:eastAsia="宋体" w:cs="宋体"/>
          <w:sz w:val="24"/>
          <w:szCs w:val="24"/>
        </w:rPr>
        <w:fldChar w:fldCharType="end"/>
      </w:r>
    </w:p>
    <w:p>
      <w:pPr>
        <w:pStyle w:val="17"/>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_Toc518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7.3.2 </w:t>
      </w:r>
      <w:r>
        <w:rPr>
          <w:rFonts w:hint="eastAsia"/>
          <w:sz w:val="24"/>
          <w:szCs w:val="24"/>
        </w:rPr>
        <w:t>选址及</w:t>
      </w:r>
      <w:r>
        <w:rPr>
          <w:sz w:val="24"/>
          <w:szCs w:val="24"/>
        </w:rPr>
        <w:t>总</w:t>
      </w:r>
      <w:r>
        <w:rPr>
          <w:rFonts w:hint="eastAsia"/>
          <w:sz w:val="24"/>
          <w:szCs w:val="24"/>
        </w:rPr>
        <w:t>图布置单元符合性评价</w:t>
      </w:r>
      <w:r>
        <w:rPr>
          <w:sz w:val="24"/>
          <w:szCs w:val="24"/>
        </w:rPr>
        <w:tab/>
      </w:r>
      <w:r>
        <w:rPr>
          <w:sz w:val="24"/>
          <w:szCs w:val="24"/>
        </w:rPr>
        <w:fldChar w:fldCharType="begin"/>
      </w:r>
      <w:r>
        <w:rPr>
          <w:sz w:val="24"/>
          <w:szCs w:val="24"/>
        </w:rPr>
        <w:instrText xml:space="preserve"> PAGEREF _Toc518 \h </w:instrText>
      </w:r>
      <w:r>
        <w:rPr>
          <w:sz w:val="24"/>
          <w:szCs w:val="24"/>
        </w:rPr>
        <w:fldChar w:fldCharType="separate"/>
      </w:r>
      <w:r>
        <w:rPr>
          <w:sz w:val="24"/>
          <w:szCs w:val="24"/>
        </w:rPr>
        <w:t>192</w:t>
      </w:r>
      <w:r>
        <w:rPr>
          <w:sz w:val="24"/>
          <w:szCs w:val="24"/>
        </w:rPr>
        <w:fldChar w:fldCharType="end"/>
      </w:r>
      <w:r>
        <w:rPr>
          <w:rFonts w:hint="eastAsia" w:ascii="宋体" w:hAnsi="宋体" w:eastAsia="宋体" w:cs="宋体"/>
          <w:sz w:val="24"/>
          <w:szCs w:val="24"/>
        </w:rPr>
        <w:fldChar w:fldCharType="end"/>
      </w:r>
    </w:p>
    <w:p>
      <w:pPr>
        <w:pStyle w:val="17"/>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_Toc24766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7.3.3 </w:t>
      </w:r>
      <w:r>
        <w:rPr>
          <w:rFonts w:hint="eastAsia"/>
          <w:sz w:val="24"/>
          <w:szCs w:val="24"/>
        </w:rPr>
        <w:t>建筑及工艺布置单元符合性评价</w:t>
      </w:r>
      <w:r>
        <w:rPr>
          <w:sz w:val="24"/>
          <w:szCs w:val="24"/>
        </w:rPr>
        <w:tab/>
      </w:r>
      <w:r>
        <w:rPr>
          <w:sz w:val="24"/>
          <w:szCs w:val="24"/>
        </w:rPr>
        <w:fldChar w:fldCharType="begin"/>
      </w:r>
      <w:r>
        <w:rPr>
          <w:sz w:val="24"/>
          <w:szCs w:val="24"/>
        </w:rPr>
        <w:instrText xml:space="preserve"> PAGEREF _Toc24766 \h </w:instrText>
      </w:r>
      <w:r>
        <w:rPr>
          <w:sz w:val="24"/>
          <w:szCs w:val="24"/>
        </w:rPr>
        <w:fldChar w:fldCharType="separate"/>
      </w:r>
      <w:r>
        <w:rPr>
          <w:sz w:val="24"/>
          <w:szCs w:val="24"/>
        </w:rPr>
        <w:t>193</w:t>
      </w:r>
      <w:r>
        <w:rPr>
          <w:sz w:val="24"/>
          <w:szCs w:val="24"/>
        </w:rPr>
        <w:fldChar w:fldCharType="end"/>
      </w:r>
      <w:r>
        <w:rPr>
          <w:rFonts w:hint="eastAsia" w:ascii="宋体" w:hAnsi="宋体" w:eastAsia="宋体" w:cs="宋体"/>
          <w:sz w:val="24"/>
          <w:szCs w:val="24"/>
        </w:rPr>
        <w:fldChar w:fldCharType="end"/>
      </w:r>
    </w:p>
    <w:p>
      <w:pPr>
        <w:pStyle w:val="17"/>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_Toc22110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7.3.4 </w:t>
      </w:r>
      <w:r>
        <w:rPr>
          <w:rFonts w:hint="eastAsia"/>
          <w:sz w:val="24"/>
          <w:szCs w:val="24"/>
        </w:rPr>
        <w:t>物料、产品安全性单元符合性评价</w:t>
      </w:r>
      <w:r>
        <w:rPr>
          <w:sz w:val="24"/>
          <w:szCs w:val="24"/>
        </w:rPr>
        <w:tab/>
      </w:r>
      <w:r>
        <w:rPr>
          <w:sz w:val="24"/>
          <w:szCs w:val="24"/>
        </w:rPr>
        <w:fldChar w:fldCharType="begin"/>
      </w:r>
      <w:r>
        <w:rPr>
          <w:sz w:val="24"/>
          <w:szCs w:val="24"/>
        </w:rPr>
        <w:instrText xml:space="preserve"> PAGEREF _Toc22110 \h </w:instrText>
      </w:r>
      <w:r>
        <w:rPr>
          <w:sz w:val="24"/>
          <w:szCs w:val="24"/>
        </w:rPr>
        <w:fldChar w:fldCharType="separate"/>
      </w:r>
      <w:r>
        <w:rPr>
          <w:sz w:val="24"/>
          <w:szCs w:val="24"/>
        </w:rPr>
        <w:t>193</w:t>
      </w:r>
      <w:r>
        <w:rPr>
          <w:sz w:val="24"/>
          <w:szCs w:val="24"/>
        </w:rPr>
        <w:fldChar w:fldCharType="end"/>
      </w:r>
      <w:r>
        <w:rPr>
          <w:rFonts w:hint="eastAsia" w:ascii="宋体" w:hAnsi="宋体" w:eastAsia="宋体" w:cs="宋体"/>
          <w:sz w:val="24"/>
          <w:szCs w:val="24"/>
        </w:rPr>
        <w:fldChar w:fldCharType="end"/>
      </w:r>
    </w:p>
    <w:p>
      <w:pPr>
        <w:pStyle w:val="17"/>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_Toc29271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7.3.5 </w:t>
      </w:r>
      <w:r>
        <w:rPr>
          <w:rFonts w:hint="eastAsia"/>
          <w:sz w:val="24"/>
          <w:szCs w:val="24"/>
        </w:rPr>
        <w:t>生产工艺系统、装置、设施、设备单元符合性评价</w:t>
      </w:r>
      <w:r>
        <w:rPr>
          <w:sz w:val="24"/>
          <w:szCs w:val="24"/>
        </w:rPr>
        <w:tab/>
      </w:r>
      <w:r>
        <w:rPr>
          <w:sz w:val="24"/>
          <w:szCs w:val="24"/>
        </w:rPr>
        <w:fldChar w:fldCharType="begin"/>
      </w:r>
      <w:r>
        <w:rPr>
          <w:sz w:val="24"/>
          <w:szCs w:val="24"/>
        </w:rPr>
        <w:instrText xml:space="preserve"> PAGEREF _Toc29271 \h </w:instrText>
      </w:r>
      <w:r>
        <w:rPr>
          <w:sz w:val="24"/>
          <w:szCs w:val="24"/>
        </w:rPr>
        <w:fldChar w:fldCharType="separate"/>
      </w:r>
      <w:r>
        <w:rPr>
          <w:sz w:val="24"/>
          <w:szCs w:val="24"/>
        </w:rPr>
        <w:t>193</w:t>
      </w:r>
      <w:r>
        <w:rPr>
          <w:sz w:val="24"/>
          <w:szCs w:val="24"/>
        </w:rPr>
        <w:fldChar w:fldCharType="end"/>
      </w:r>
      <w:r>
        <w:rPr>
          <w:rFonts w:hint="eastAsia" w:ascii="宋体" w:hAnsi="宋体" w:eastAsia="宋体" w:cs="宋体"/>
          <w:sz w:val="24"/>
          <w:szCs w:val="24"/>
        </w:rPr>
        <w:fldChar w:fldCharType="end"/>
      </w:r>
    </w:p>
    <w:p>
      <w:pPr>
        <w:pStyle w:val="17"/>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_Toc20810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7.3.6 </w:t>
      </w:r>
      <w:r>
        <w:rPr>
          <w:rFonts w:hint="eastAsia"/>
          <w:sz w:val="24"/>
          <w:szCs w:val="24"/>
        </w:rPr>
        <w:t>特种设备设施及强制检测设备设施单元符合性评价</w:t>
      </w:r>
      <w:r>
        <w:rPr>
          <w:sz w:val="24"/>
          <w:szCs w:val="24"/>
        </w:rPr>
        <w:tab/>
      </w:r>
      <w:r>
        <w:rPr>
          <w:sz w:val="24"/>
          <w:szCs w:val="24"/>
        </w:rPr>
        <w:fldChar w:fldCharType="begin"/>
      </w:r>
      <w:r>
        <w:rPr>
          <w:sz w:val="24"/>
          <w:szCs w:val="24"/>
        </w:rPr>
        <w:instrText xml:space="preserve"> PAGEREF _Toc20810 \h </w:instrText>
      </w:r>
      <w:r>
        <w:rPr>
          <w:sz w:val="24"/>
          <w:szCs w:val="24"/>
        </w:rPr>
        <w:fldChar w:fldCharType="separate"/>
      </w:r>
      <w:r>
        <w:rPr>
          <w:sz w:val="24"/>
          <w:szCs w:val="24"/>
        </w:rPr>
        <w:t>193</w:t>
      </w:r>
      <w:r>
        <w:rPr>
          <w:sz w:val="24"/>
          <w:szCs w:val="24"/>
        </w:rPr>
        <w:fldChar w:fldCharType="end"/>
      </w:r>
      <w:r>
        <w:rPr>
          <w:rFonts w:hint="eastAsia" w:ascii="宋体" w:hAnsi="宋体" w:eastAsia="宋体" w:cs="宋体"/>
          <w:sz w:val="24"/>
          <w:szCs w:val="24"/>
        </w:rPr>
        <w:fldChar w:fldCharType="end"/>
      </w:r>
    </w:p>
    <w:p>
      <w:pPr>
        <w:pStyle w:val="17"/>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_Toc24459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7.3.7 </w:t>
      </w:r>
      <w:r>
        <w:rPr>
          <w:rFonts w:hint="eastAsia"/>
          <w:sz w:val="24"/>
          <w:szCs w:val="24"/>
        </w:rPr>
        <w:t>周边环境适宜性评价单元符合性评价</w:t>
      </w:r>
      <w:r>
        <w:rPr>
          <w:sz w:val="24"/>
          <w:szCs w:val="24"/>
        </w:rPr>
        <w:tab/>
      </w:r>
      <w:r>
        <w:rPr>
          <w:sz w:val="24"/>
          <w:szCs w:val="24"/>
        </w:rPr>
        <w:fldChar w:fldCharType="begin"/>
      </w:r>
      <w:r>
        <w:rPr>
          <w:sz w:val="24"/>
          <w:szCs w:val="24"/>
        </w:rPr>
        <w:instrText xml:space="preserve"> PAGEREF _Toc24459 \h </w:instrText>
      </w:r>
      <w:r>
        <w:rPr>
          <w:sz w:val="24"/>
          <w:szCs w:val="24"/>
        </w:rPr>
        <w:fldChar w:fldCharType="separate"/>
      </w:r>
      <w:r>
        <w:rPr>
          <w:sz w:val="24"/>
          <w:szCs w:val="24"/>
        </w:rPr>
        <w:t>194</w:t>
      </w:r>
      <w:r>
        <w:rPr>
          <w:sz w:val="24"/>
          <w:szCs w:val="24"/>
        </w:rPr>
        <w:fldChar w:fldCharType="end"/>
      </w:r>
      <w:r>
        <w:rPr>
          <w:rFonts w:hint="eastAsia" w:ascii="宋体" w:hAnsi="宋体" w:eastAsia="宋体" w:cs="宋体"/>
          <w:sz w:val="24"/>
          <w:szCs w:val="24"/>
        </w:rPr>
        <w:fldChar w:fldCharType="end"/>
      </w:r>
    </w:p>
    <w:p>
      <w:pPr>
        <w:pStyle w:val="17"/>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_Toc10351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7.3.8 </w:t>
      </w:r>
      <w:r>
        <w:rPr>
          <w:rFonts w:hint="eastAsia"/>
          <w:sz w:val="24"/>
          <w:szCs w:val="24"/>
        </w:rPr>
        <w:t>公用工程及辅助设施单元符合性评价</w:t>
      </w:r>
      <w:r>
        <w:rPr>
          <w:sz w:val="24"/>
          <w:szCs w:val="24"/>
        </w:rPr>
        <w:tab/>
      </w:r>
      <w:r>
        <w:rPr>
          <w:sz w:val="24"/>
          <w:szCs w:val="24"/>
        </w:rPr>
        <w:fldChar w:fldCharType="begin"/>
      </w:r>
      <w:r>
        <w:rPr>
          <w:sz w:val="24"/>
          <w:szCs w:val="24"/>
        </w:rPr>
        <w:instrText xml:space="preserve"> PAGEREF _Toc10351 \h </w:instrText>
      </w:r>
      <w:r>
        <w:rPr>
          <w:sz w:val="24"/>
          <w:szCs w:val="24"/>
        </w:rPr>
        <w:fldChar w:fldCharType="separate"/>
      </w:r>
      <w:r>
        <w:rPr>
          <w:sz w:val="24"/>
          <w:szCs w:val="24"/>
        </w:rPr>
        <w:t>194</w:t>
      </w:r>
      <w:r>
        <w:rPr>
          <w:sz w:val="24"/>
          <w:szCs w:val="24"/>
        </w:rPr>
        <w:fldChar w:fldCharType="end"/>
      </w:r>
      <w:r>
        <w:rPr>
          <w:rFonts w:hint="eastAsia" w:ascii="宋体" w:hAnsi="宋体" w:eastAsia="宋体" w:cs="宋体"/>
          <w:sz w:val="24"/>
          <w:szCs w:val="24"/>
        </w:rPr>
        <w:fldChar w:fldCharType="end"/>
      </w:r>
    </w:p>
    <w:p>
      <w:pPr>
        <w:pStyle w:val="17"/>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_Toc21502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7.3.9 </w:t>
      </w:r>
      <w:r>
        <w:rPr>
          <w:rFonts w:hint="eastAsia"/>
          <w:sz w:val="24"/>
          <w:szCs w:val="24"/>
        </w:rPr>
        <w:t>安全管理和应急救援单元符合性评价</w:t>
      </w:r>
      <w:r>
        <w:rPr>
          <w:sz w:val="24"/>
          <w:szCs w:val="24"/>
        </w:rPr>
        <w:tab/>
      </w:r>
      <w:r>
        <w:rPr>
          <w:sz w:val="24"/>
          <w:szCs w:val="24"/>
        </w:rPr>
        <w:fldChar w:fldCharType="begin"/>
      </w:r>
      <w:r>
        <w:rPr>
          <w:sz w:val="24"/>
          <w:szCs w:val="24"/>
        </w:rPr>
        <w:instrText xml:space="preserve"> PAGEREF _Toc21502 \h </w:instrText>
      </w:r>
      <w:r>
        <w:rPr>
          <w:sz w:val="24"/>
          <w:szCs w:val="24"/>
        </w:rPr>
        <w:fldChar w:fldCharType="separate"/>
      </w:r>
      <w:r>
        <w:rPr>
          <w:sz w:val="24"/>
          <w:szCs w:val="24"/>
        </w:rPr>
        <w:t>194</w:t>
      </w:r>
      <w:r>
        <w:rPr>
          <w:sz w:val="24"/>
          <w:szCs w:val="24"/>
        </w:rPr>
        <w:fldChar w:fldCharType="end"/>
      </w:r>
      <w:r>
        <w:rPr>
          <w:rFonts w:hint="eastAsia" w:ascii="宋体" w:hAnsi="宋体" w:eastAsia="宋体" w:cs="宋体"/>
          <w:sz w:val="24"/>
          <w:szCs w:val="24"/>
        </w:rPr>
        <w:fldChar w:fldCharType="end"/>
      </w:r>
    </w:p>
    <w:p>
      <w:pPr>
        <w:pStyle w:val="17"/>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_Toc23307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7.3.10 </w:t>
      </w:r>
      <w:r>
        <w:rPr>
          <w:rFonts w:hint="eastAsia"/>
          <w:sz w:val="24"/>
          <w:szCs w:val="24"/>
        </w:rPr>
        <w:t>其他安全</w:t>
      </w:r>
      <w:r>
        <w:rPr>
          <w:sz w:val="24"/>
          <w:szCs w:val="24"/>
        </w:rPr>
        <w:t>防</w:t>
      </w:r>
      <w:r>
        <w:rPr>
          <w:rFonts w:hint="eastAsia"/>
          <w:sz w:val="24"/>
          <w:szCs w:val="24"/>
        </w:rPr>
        <w:t>范</w:t>
      </w:r>
      <w:r>
        <w:rPr>
          <w:sz w:val="24"/>
          <w:szCs w:val="24"/>
        </w:rPr>
        <w:t>设施</w:t>
      </w:r>
      <w:r>
        <w:rPr>
          <w:rFonts w:hint="eastAsia"/>
          <w:sz w:val="24"/>
          <w:szCs w:val="24"/>
        </w:rPr>
        <w:t>单元符合性评价</w:t>
      </w:r>
      <w:r>
        <w:rPr>
          <w:sz w:val="24"/>
          <w:szCs w:val="24"/>
        </w:rPr>
        <w:tab/>
      </w:r>
      <w:r>
        <w:rPr>
          <w:sz w:val="24"/>
          <w:szCs w:val="24"/>
        </w:rPr>
        <w:fldChar w:fldCharType="begin"/>
      </w:r>
      <w:r>
        <w:rPr>
          <w:sz w:val="24"/>
          <w:szCs w:val="24"/>
        </w:rPr>
        <w:instrText xml:space="preserve"> PAGEREF _Toc23307 \h </w:instrText>
      </w:r>
      <w:r>
        <w:rPr>
          <w:sz w:val="24"/>
          <w:szCs w:val="24"/>
        </w:rPr>
        <w:fldChar w:fldCharType="separate"/>
      </w:r>
      <w:r>
        <w:rPr>
          <w:sz w:val="24"/>
          <w:szCs w:val="24"/>
        </w:rPr>
        <w:t>194</w:t>
      </w:r>
      <w:r>
        <w:rPr>
          <w:sz w:val="24"/>
          <w:szCs w:val="24"/>
        </w:rPr>
        <w:fldChar w:fldCharType="end"/>
      </w:r>
      <w:r>
        <w:rPr>
          <w:rFonts w:hint="eastAsia" w:ascii="宋体" w:hAnsi="宋体" w:eastAsia="宋体" w:cs="宋体"/>
          <w:sz w:val="24"/>
          <w:szCs w:val="24"/>
        </w:rPr>
        <w:fldChar w:fldCharType="end"/>
      </w:r>
    </w:p>
    <w:p>
      <w:pPr>
        <w:pStyle w:val="26"/>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_Toc4965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7.4 </w:t>
      </w:r>
      <w:r>
        <w:rPr>
          <w:rFonts w:hint="eastAsia"/>
          <w:sz w:val="24"/>
          <w:szCs w:val="24"/>
        </w:rPr>
        <w:t>评价结论</w:t>
      </w:r>
      <w:r>
        <w:rPr>
          <w:sz w:val="24"/>
          <w:szCs w:val="24"/>
        </w:rPr>
        <w:tab/>
      </w:r>
      <w:r>
        <w:rPr>
          <w:sz w:val="24"/>
          <w:szCs w:val="24"/>
        </w:rPr>
        <w:fldChar w:fldCharType="begin"/>
      </w:r>
      <w:r>
        <w:rPr>
          <w:sz w:val="24"/>
          <w:szCs w:val="24"/>
        </w:rPr>
        <w:instrText xml:space="preserve"> PAGEREF _Toc4965 \h </w:instrText>
      </w:r>
      <w:r>
        <w:rPr>
          <w:sz w:val="24"/>
          <w:szCs w:val="24"/>
        </w:rPr>
        <w:fldChar w:fldCharType="separate"/>
      </w:r>
      <w:r>
        <w:rPr>
          <w:sz w:val="24"/>
          <w:szCs w:val="24"/>
        </w:rPr>
        <w:t>194</w:t>
      </w:r>
      <w:r>
        <w:rPr>
          <w:sz w:val="24"/>
          <w:szCs w:val="24"/>
        </w:rPr>
        <w:fldChar w:fldCharType="end"/>
      </w:r>
      <w:r>
        <w:rPr>
          <w:rFonts w:hint="eastAsia" w:ascii="宋体" w:hAnsi="宋体" w:eastAsia="宋体" w:cs="宋体"/>
          <w:sz w:val="24"/>
          <w:szCs w:val="24"/>
        </w:rPr>
        <w:fldChar w:fldCharType="end"/>
      </w:r>
    </w:p>
    <w:p>
      <w:pPr>
        <w:pStyle w:val="23"/>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_Toc458 </w:instrText>
      </w:r>
      <w:r>
        <w:rPr>
          <w:rFonts w:hint="eastAsia" w:ascii="宋体" w:hAnsi="宋体" w:eastAsia="宋体" w:cs="宋体"/>
          <w:sz w:val="24"/>
          <w:szCs w:val="24"/>
        </w:rPr>
        <w:fldChar w:fldCharType="separate"/>
      </w:r>
      <w:r>
        <w:rPr>
          <w:rFonts w:hint="default" w:ascii="宋体" w:hAnsi="宋体" w:eastAsia="宋体" w:cs="宋体"/>
          <w:sz w:val="24"/>
          <w:szCs w:val="24"/>
        </w:rPr>
        <w:t xml:space="preserve">8. </w:t>
      </w:r>
      <w:r>
        <w:rPr>
          <w:rFonts w:hint="eastAsia"/>
          <w:sz w:val="24"/>
          <w:szCs w:val="24"/>
        </w:rPr>
        <w:t>与被评价单位交换意见</w:t>
      </w:r>
      <w:r>
        <w:rPr>
          <w:rFonts w:hint="eastAsia" w:cs="宋体"/>
          <w:sz w:val="24"/>
          <w:szCs w:val="24"/>
        </w:rPr>
        <w:t>的情况</w:t>
      </w:r>
      <w:r>
        <w:rPr>
          <w:sz w:val="24"/>
          <w:szCs w:val="24"/>
        </w:rPr>
        <w:tab/>
      </w:r>
      <w:r>
        <w:rPr>
          <w:sz w:val="24"/>
          <w:szCs w:val="24"/>
        </w:rPr>
        <w:fldChar w:fldCharType="begin"/>
      </w:r>
      <w:r>
        <w:rPr>
          <w:sz w:val="24"/>
          <w:szCs w:val="24"/>
        </w:rPr>
        <w:instrText xml:space="preserve"> PAGEREF _Toc458 \h </w:instrText>
      </w:r>
      <w:r>
        <w:rPr>
          <w:sz w:val="24"/>
          <w:szCs w:val="24"/>
        </w:rPr>
        <w:fldChar w:fldCharType="separate"/>
      </w:r>
      <w:r>
        <w:rPr>
          <w:sz w:val="24"/>
          <w:szCs w:val="24"/>
        </w:rPr>
        <w:t>197</w:t>
      </w:r>
      <w:r>
        <w:rPr>
          <w:sz w:val="24"/>
          <w:szCs w:val="24"/>
        </w:rPr>
        <w:fldChar w:fldCharType="end"/>
      </w:r>
      <w:r>
        <w:rPr>
          <w:rFonts w:hint="eastAsia" w:ascii="宋体" w:hAnsi="宋体" w:eastAsia="宋体" w:cs="宋体"/>
          <w:sz w:val="24"/>
          <w:szCs w:val="24"/>
        </w:rPr>
        <w:fldChar w:fldCharType="end"/>
      </w:r>
    </w:p>
    <w:p>
      <w:pPr>
        <w:pStyle w:val="23"/>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left="0" w:leftChars="0" w:firstLine="0" w:firstLineChars="0"/>
        <w:textAlignment w:val="auto"/>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_Toc12404 </w:instrText>
      </w:r>
      <w:r>
        <w:rPr>
          <w:rFonts w:hint="eastAsia" w:ascii="宋体" w:hAnsi="宋体" w:eastAsia="宋体" w:cs="宋体"/>
          <w:sz w:val="24"/>
          <w:szCs w:val="24"/>
        </w:rPr>
        <w:fldChar w:fldCharType="separate"/>
      </w:r>
      <w:r>
        <w:rPr>
          <w:rFonts w:hint="default" w:ascii="宋体" w:hAnsi="宋体" w:eastAsia="宋体" w:cs="宋体"/>
          <w:sz w:val="24"/>
          <w:szCs w:val="24"/>
        </w:rPr>
        <w:t xml:space="preserve">9. </w:t>
      </w:r>
      <w:r>
        <w:rPr>
          <w:rFonts w:hint="eastAsia"/>
          <w:sz w:val="24"/>
          <w:szCs w:val="24"/>
        </w:rPr>
        <w:t>附件</w:t>
      </w:r>
      <w:r>
        <w:rPr>
          <w:sz w:val="24"/>
          <w:szCs w:val="24"/>
        </w:rPr>
        <w:tab/>
      </w:r>
      <w:r>
        <w:rPr>
          <w:sz w:val="24"/>
          <w:szCs w:val="24"/>
        </w:rPr>
        <w:fldChar w:fldCharType="begin"/>
      </w:r>
      <w:r>
        <w:rPr>
          <w:sz w:val="24"/>
          <w:szCs w:val="24"/>
        </w:rPr>
        <w:instrText xml:space="preserve"> PAGEREF _Toc12404 \h </w:instrText>
      </w:r>
      <w:r>
        <w:rPr>
          <w:sz w:val="24"/>
          <w:szCs w:val="24"/>
        </w:rPr>
        <w:fldChar w:fldCharType="separate"/>
      </w:r>
      <w:r>
        <w:rPr>
          <w:sz w:val="24"/>
          <w:szCs w:val="24"/>
        </w:rPr>
        <w:t>200</w:t>
      </w:r>
      <w:r>
        <w:rPr>
          <w:sz w:val="24"/>
          <w:szCs w:val="24"/>
        </w:rPr>
        <w:fldChar w:fldCharType="end"/>
      </w:r>
      <w:r>
        <w:rPr>
          <w:rFonts w:hint="eastAsia" w:ascii="宋体" w:hAnsi="宋体" w:eastAsia="宋体" w:cs="宋体"/>
          <w:sz w:val="24"/>
          <w:szCs w:val="24"/>
        </w:rPr>
        <w:fldChar w:fldCharType="end"/>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pPr>
      <w:r>
        <w:rPr>
          <w:rFonts w:hint="eastAsia" w:ascii="宋体" w:hAnsi="宋体" w:eastAsia="宋体" w:cs="宋体"/>
          <w:sz w:val="24"/>
          <w:szCs w:val="24"/>
        </w:rPr>
        <w:fldChar w:fldCharType="end"/>
      </w:r>
    </w:p>
    <w:p>
      <w:pPr>
        <w:ind w:firstLine="0" w:firstLineChars="0"/>
        <w:sectPr>
          <w:headerReference r:id="rId11" w:type="default"/>
          <w:footerReference r:id="rId12" w:type="default"/>
          <w:pgSz w:w="11906" w:h="16838"/>
          <w:pgMar w:top="1440" w:right="1800" w:bottom="1440" w:left="1800" w:header="851" w:footer="992" w:gutter="0"/>
          <w:pgNumType w:fmt="lowerRoman" w:start="1"/>
          <w:cols w:space="425" w:num="1"/>
          <w:docGrid w:type="lines" w:linePitch="312" w:charSpace="0"/>
        </w:sectPr>
      </w:pPr>
    </w:p>
    <w:p>
      <w:pPr>
        <w:pStyle w:val="4"/>
        <w:spacing w:before="312" w:after="312"/>
      </w:pPr>
      <w:bookmarkStart w:id="3" w:name="_Toc11464"/>
      <w:r>
        <w:rPr>
          <w:rFonts w:hint="eastAsia"/>
        </w:rPr>
        <w:t>评价说明</w:t>
      </w:r>
      <w:bookmarkEnd w:id="3"/>
    </w:p>
    <w:p>
      <w:pPr>
        <w:pStyle w:val="5"/>
        <w:spacing w:before="156" w:after="156"/>
        <w:ind w:left="575" w:hanging="575"/>
      </w:pPr>
      <w:bookmarkStart w:id="4" w:name="_Toc18006"/>
      <w:r>
        <w:rPr>
          <w:rFonts w:hint="eastAsia"/>
        </w:rPr>
        <w:t>评价对象和范围</w:t>
      </w:r>
      <w:bookmarkEnd w:id="4"/>
    </w:p>
    <w:p>
      <w:pPr>
        <w:pStyle w:val="6"/>
        <w:spacing w:before="156" w:after="156"/>
        <w:ind w:left="720" w:hanging="720"/>
      </w:pPr>
      <w:bookmarkStart w:id="5" w:name="_Toc32302"/>
      <w:r>
        <w:rPr>
          <w:rFonts w:hint="eastAsia"/>
        </w:rPr>
        <w:t>评价对象</w:t>
      </w:r>
      <w:bookmarkEnd w:id="5"/>
    </w:p>
    <w:p>
      <w:pPr>
        <w:ind w:firstLine="560"/>
      </w:pPr>
      <w:r>
        <w:rPr>
          <w:rFonts w:hint="eastAsia"/>
        </w:rPr>
        <w:t>云南大姚机械配件厂退城入园整体技改搬迁项目：粘土砂铸造车间、机加工车间。</w:t>
      </w:r>
    </w:p>
    <w:p>
      <w:pPr>
        <w:pStyle w:val="6"/>
        <w:spacing w:before="156" w:after="156"/>
        <w:ind w:left="720" w:hanging="720"/>
      </w:pPr>
      <w:bookmarkStart w:id="6" w:name="_Toc4748"/>
      <w:r>
        <w:rPr>
          <w:rFonts w:hint="eastAsia"/>
        </w:rPr>
        <w:t>评价范围</w:t>
      </w:r>
      <w:bookmarkEnd w:id="6"/>
    </w:p>
    <w:p>
      <w:pPr>
        <w:ind w:firstLine="560"/>
        <w:rPr>
          <w:rFonts w:hint="default" w:ascii="宋体" w:hAnsi="宋体" w:eastAsia="宋体"/>
          <w:snapToGrid w:val="0"/>
          <w:color w:val="000000" w:themeColor="text1"/>
          <w:kern w:val="0"/>
          <w:szCs w:val="20"/>
          <w:lang w:val="en-US" w:eastAsia="zh-CN"/>
          <w14:textFill>
            <w14:solidFill>
              <w14:schemeClr w14:val="tx1"/>
            </w14:solidFill>
          </w14:textFill>
        </w:rPr>
      </w:pPr>
      <w:r>
        <w:rPr>
          <w:rFonts w:ascii="宋体" w:hAnsi="宋体"/>
          <w:snapToGrid w:val="0"/>
          <w:color w:val="000000" w:themeColor="text1"/>
          <w:kern w:val="0"/>
          <w:szCs w:val="20"/>
          <w14:textFill>
            <w14:solidFill>
              <w14:schemeClr w14:val="tx1"/>
            </w14:solidFill>
          </w14:textFill>
        </w:rPr>
        <w:t>根据企业的委托和评价协议，依据</w:t>
      </w:r>
      <w:r>
        <w:rPr>
          <w:rFonts w:hint="eastAsia" w:ascii="宋体" w:hAnsi="宋体"/>
          <w:snapToGrid w:val="0"/>
          <w:color w:val="000000" w:themeColor="text1"/>
          <w:kern w:val="0"/>
          <w:szCs w:val="20"/>
          <w14:textFill>
            <w14:solidFill>
              <w14:schemeClr w14:val="tx1"/>
            </w14:solidFill>
          </w14:textFill>
        </w:rPr>
        <w:t>《云南大姚祥华工业制造有限公司</w:t>
      </w:r>
      <w:r>
        <w:rPr>
          <w:rFonts w:hint="eastAsia"/>
        </w:rPr>
        <w:t>云南大姚机械配件厂退城入园整体技改搬迁项目安全设施设计》（以下简称“安全设施设计”）作为主要评价依据。本次安全设施验收评价报告的范围主要为该“安全设施设计”所涉及的选址与总图布置、周边</w:t>
      </w:r>
      <w:r>
        <w:rPr>
          <w:rFonts w:hint="default" w:ascii="宋体" w:hAnsi="宋体"/>
          <w:snapToGrid w:val="0"/>
          <w:color w:val="000000" w:themeColor="text1"/>
          <w:kern w:val="0"/>
          <w:szCs w:val="20"/>
          <w14:textFill>
            <w14:solidFill>
              <w14:schemeClr w14:val="tx1"/>
            </w14:solidFill>
          </w14:textFill>
        </w:rPr>
        <w:t>环境、生产工艺、设备设施、个人防护、安全标志、安全管理（</w:t>
      </w:r>
      <w:r>
        <w:rPr>
          <w:rFonts w:ascii="宋体" w:hAnsi="宋体"/>
          <w:snapToGrid w:val="0"/>
          <w:color w:val="000000" w:themeColor="text1"/>
          <w:kern w:val="0"/>
          <w:szCs w:val="20"/>
          <w14:textFill>
            <w14:solidFill>
              <w14:schemeClr w14:val="tx1"/>
            </w14:solidFill>
          </w14:textFill>
        </w:rPr>
        <w:t>重点为</w:t>
      </w:r>
      <w:r>
        <w:rPr>
          <w:rFonts w:ascii="宋体" w:hAnsi="宋体" w:eastAsia="宋体"/>
          <w:snapToGrid w:val="0"/>
          <w:color w:val="000000" w:themeColor="text1"/>
          <w:kern w:val="0"/>
          <w:szCs w:val="20"/>
          <w14:textFill>
            <w14:solidFill>
              <w14:schemeClr w14:val="tx1"/>
            </w14:solidFill>
          </w14:textFill>
        </w:rPr>
        <w:t>本建设项目所涉及的基本安全设施和专用安全设施</w:t>
      </w:r>
      <w:r>
        <w:rPr>
          <w:rFonts w:hint="default" w:ascii="宋体" w:hAnsi="宋体" w:eastAsia="宋体"/>
          <w:snapToGrid w:val="0"/>
          <w:color w:val="000000" w:themeColor="text1"/>
          <w:kern w:val="0"/>
          <w:szCs w:val="20"/>
          <w14:textFill>
            <w14:solidFill>
              <w14:schemeClr w14:val="tx1"/>
            </w14:solidFill>
          </w14:textFill>
        </w:rPr>
        <w:t>）、应急管理等。</w:t>
      </w:r>
      <w:r>
        <w:rPr>
          <w:rFonts w:hint="eastAsia" w:ascii="宋体" w:hAnsi="宋体"/>
          <w:snapToGrid w:val="0"/>
          <w:color w:val="000000" w:themeColor="text1"/>
          <w:kern w:val="0"/>
          <w:szCs w:val="20"/>
          <w:lang w:val="en-US" w:eastAsia="zh-CN"/>
          <w14:textFill>
            <w14:solidFill>
              <w14:schemeClr w14:val="tx1"/>
            </w14:solidFill>
          </w14:textFill>
        </w:rPr>
        <w:t>本次评价只针对安全设施设计中提及的一期建设项目内容，</w:t>
      </w:r>
      <w:r>
        <w:rPr>
          <w:rFonts w:hint="default" w:ascii="宋体" w:hAnsi="宋体" w:eastAsia="宋体"/>
          <w:snapToGrid w:val="0"/>
          <w:color w:val="000000" w:themeColor="text1"/>
          <w:kern w:val="0"/>
          <w:szCs w:val="20"/>
          <w:lang w:val="en-US" w:eastAsia="zh-CN"/>
          <w14:textFill>
            <w14:solidFill>
              <w14:schemeClr w14:val="tx1"/>
            </w14:solidFill>
          </w14:textFill>
        </w:rPr>
        <w:t>业主新建的临时仓库</w:t>
      </w:r>
      <w:r>
        <w:rPr>
          <w:rFonts w:hint="eastAsia" w:ascii="宋体" w:hAnsi="宋体"/>
          <w:snapToGrid w:val="0"/>
          <w:color w:val="000000" w:themeColor="text1"/>
          <w:kern w:val="0"/>
          <w:szCs w:val="20"/>
          <w:lang w:val="en-US" w:eastAsia="zh-CN"/>
          <w14:textFill>
            <w14:solidFill>
              <w14:schemeClr w14:val="tx1"/>
            </w14:solidFill>
          </w14:textFill>
        </w:rPr>
        <w:t>、</w:t>
      </w:r>
      <w:r>
        <w:rPr>
          <w:rFonts w:hint="default" w:ascii="宋体" w:hAnsi="宋体" w:eastAsia="宋体"/>
          <w:snapToGrid w:val="0"/>
          <w:color w:val="000000" w:themeColor="text1"/>
          <w:kern w:val="0"/>
          <w:szCs w:val="20"/>
          <w:lang w:val="en-US" w:eastAsia="zh-CN"/>
          <w14:textFill>
            <w14:solidFill>
              <w14:schemeClr w14:val="tx1"/>
            </w14:solidFill>
          </w14:textFill>
        </w:rPr>
        <w:t>包装线和未建设的</w:t>
      </w:r>
      <w:r>
        <w:rPr>
          <w:rFonts w:hint="eastAsia" w:ascii="宋体" w:hAnsi="宋体"/>
          <w:snapToGrid w:val="0"/>
          <w:color w:val="000000" w:themeColor="text1"/>
          <w:kern w:val="0"/>
          <w:szCs w:val="20"/>
          <w:lang w:val="en-US" w:eastAsia="zh-CN"/>
          <w14:textFill>
            <w14:solidFill>
              <w14:schemeClr w14:val="tx1"/>
            </w14:solidFill>
          </w14:textFill>
        </w:rPr>
        <w:t>二期</w:t>
      </w:r>
      <w:r>
        <w:rPr>
          <w:rFonts w:hint="default" w:ascii="宋体" w:hAnsi="宋体" w:eastAsia="宋体"/>
          <w:snapToGrid w:val="0"/>
          <w:color w:val="000000" w:themeColor="text1"/>
          <w:kern w:val="0"/>
          <w:szCs w:val="20"/>
          <w:lang w:val="en-US" w:eastAsia="zh-CN"/>
          <w14:textFill>
            <w14:solidFill>
              <w14:schemeClr w14:val="tx1"/>
            </w14:solidFill>
          </w14:textFill>
        </w:rPr>
        <w:t>仓库不在本次评价范围内。</w:t>
      </w:r>
    </w:p>
    <w:p>
      <w:pPr>
        <w:pStyle w:val="2"/>
        <w:ind w:firstLine="560"/>
      </w:pPr>
      <w:r>
        <w:rPr>
          <w:snapToGrid w:val="0"/>
          <w:color w:val="000000" w:themeColor="text1"/>
          <w:kern w:val="0"/>
          <w:szCs w:val="20"/>
          <w14:textFill>
            <w14:solidFill>
              <w14:schemeClr w14:val="tx1"/>
            </w14:solidFill>
          </w14:textFill>
        </w:rPr>
        <w:t>凡涉及本项目的职业病及防治、环保、地质灾害评估</w:t>
      </w:r>
      <w:r>
        <w:rPr>
          <w:rFonts w:hint="eastAsia"/>
          <w:snapToGrid w:val="0"/>
          <w:color w:val="000000" w:themeColor="text1"/>
          <w:kern w:val="0"/>
          <w:szCs w:val="20"/>
          <w14:textFill>
            <w14:solidFill>
              <w14:schemeClr w14:val="tx1"/>
            </w14:solidFill>
          </w14:textFill>
        </w:rPr>
        <w:t>、</w:t>
      </w:r>
      <w:r>
        <w:rPr>
          <w:rFonts w:hint="eastAsia"/>
        </w:rPr>
        <w:t>外部运输</w:t>
      </w:r>
      <w:r>
        <w:rPr>
          <w:snapToGrid w:val="0"/>
          <w:color w:val="000000" w:themeColor="text1"/>
          <w:kern w:val="0"/>
          <w:szCs w:val="20"/>
          <w14:textFill>
            <w14:solidFill>
              <w14:schemeClr w14:val="tx1"/>
            </w14:solidFill>
          </w14:textFill>
        </w:rPr>
        <w:t>问题</w:t>
      </w:r>
      <w:r>
        <w:rPr>
          <w:rFonts w:hint="eastAsia"/>
        </w:rPr>
        <w:t>不在本次安全设施验收评价范围之内，</w:t>
      </w:r>
      <w:r>
        <w:rPr>
          <w:snapToGrid w:val="0"/>
          <w:color w:val="000000" w:themeColor="text1"/>
          <w:kern w:val="0"/>
          <w:szCs w:val="20"/>
          <w14:textFill>
            <w14:solidFill>
              <w14:schemeClr w14:val="tx1"/>
            </w14:solidFill>
          </w14:textFill>
        </w:rPr>
        <w:t>但报告中会</w:t>
      </w:r>
      <w:r>
        <w:rPr>
          <w:rFonts w:hint="eastAsia"/>
          <w:snapToGrid w:val="0"/>
          <w:color w:val="000000" w:themeColor="text1"/>
          <w:kern w:val="0"/>
          <w:szCs w:val="20"/>
          <w14:textFill>
            <w14:solidFill>
              <w14:schemeClr w14:val="tx1"/>
            </w14:solidFill>
          </w14:textFill>
        </w:rPr>
        <w:t>涉及相关</w:t>
      </w:r>
      <w:r>
        <w:rPr>
          <w:snapToGrid w:val="0"/>
          <w:color w:val="000000" w:themeColor="text1"/>
          <w:kern w:val="0"/>
          <w:szCs w:val="20"/>
          <w14:textFill>
            <w14:solidFill>
              <w14:schemeClr w14:val="tx1"/>
            </w14:solidFill>
          </w14:textFill>
        </w:rPr>
        <w:t>内容，企业应执行相关国家</w:t>
      </w:r>
      <w:r>
        <w:rPr>
          <w:rFonts w:hint="eastAsia"/>
          <w:snapToGrid w:val="0"/>
          <w:color w:val="000000" w:themeColor="text1"/>
          <w:kern w:val="0"/>
          <w:szCs w:val="20"/>
          <w14:textFill>
            <w14:solidFill>
              <w14:schemeClr w14:val="tx1"/>
            </w14:solidFill>
          </w14:textFill>
        </w:rPr>
        <w:t>法律法规</w:t>
      </w:r>
      <w:r>
        <w:rPr>
          <w:snapToGrid w:val="0"/>
          <w:color w:val="000000" w:themeColor="text1"/>
          <w:kern w:val="0"/>
          <w:szCs w:val="20"/>
          <w14:textFill>
            <w14:solidFill>
              <w14:schemeClr w14:val="tx1"/>
            </w14:solidFill>
          </w14:textFill>
        </w:rPr>
        <w:t>、标准和规范要求。</w:t>
      </w:r>
    </w:p>
    <w:p>
      <w:pPr>
        <w:pStyle w:val="5"/>
        <w:spacing w:before="156" w:after="156"/>
        <w:ind w:left="575" w:hanging="575"/>
      </w:pPr>
      <w:bookmarkStart w:id="7" w:name="_Toc1393"/>
      <w:r>
        <w:rPr>
          <w:rFonts w:hint="eastAsia"/>
        </w:rPr>
        <w:t>评价依据</w:t>
      </w:r>
      <w:bookmarkEnd w:id="7"/>
    </w:p>
    <w:p>
      <w:pPr>
        <w:pStyle w:val="6"/>
        <w:spacing w:before="156" w:after="156"/>
        <w:ind w:left="720" w:hanging="720"/>
      </w:pPr>
      <w:bookmarkStart w:id="8" w:name="_Toc12722"/>
      <w:r>
        <w:rPr>
          <w:rFonts w:hint="eastAsia"/>
        </w:rPr>
        <w:t>法律法规、部门规章及规范性文件</w:t>
      </w:r>
      <w:bookmarkEnd w:id="8"/>
    </w:p>
    <w:p>
      <w:pPr>
        <w:pStyle w:val="7"/>
        <w:spacing w:before="156" w:after="156"/>
      </w:pPr>
      <w:r>
        <w:rPr>
          <w:rFonts w:hint="eastAsia"/>
        </w:rPr>
        <w:t>法律法规</w:t>
      </w:r>
    </w:p>
    <w:p>
      <w:pPr>
        <w:numPr>
          <w:ilvl w:val="0"/>
          <w:numId w:val="2"/>
        </w:numPr>
        <w:tabs>
          <w:tab w:val="left" w:pos="40"/>
        </w:tabs>
        <w:ind w:firstLine="560"/>
      </w:pPr>
      <w:r>
        <w:rPr>
          <w:rFonts w:hint="eastAsia"/>
        </w:rPr>
        <w:t>《中华人民共和国安全生产法》（2021年6月10日，中华人民共和国第十三届全国人民代表大会常务委员会第二十九次</w:t>
      </w:r>
      <w:r>
        <w:rPr>
          <w:rFonts w:hint="eastAsia"/>
          <w:lang w:eastAsia="zh-CN"/>
        </w:rPr>
        <w:t>会议</w:t>
      </w:r>
      <w:r>
        <w:rPr>
          <w:rFonts w:hint="eastAsia"/>
        </w:rPr>
        <w:t>通过《全国人民代表大会常务委员会关于修改〈中华人民共和国安全生产法〉的决定》，自2021年9月1日起施行）；</w:t>
      </w:r>
    </w:p>
    <w:p>
      <w:pPr>
        <w:numPr>
          <w:ilvl w:val="0"/>
          <w:numId w:val="2"/>
        </w:numPr>
        <w:tabs>
          <w:tab w:val="left" w:pos="40"/>
        </w:tabs>
        <w:ind w:firstLine="560"/>
      </w:pPr>
      <w:r>
        <w:rPr>
          <w:rFonts w:hint="eastAsia"/>
        </w:rPr>
        <w:t>《中华人民共和国消防法》（2019年4月23日第十三届全国人民代表大会常务委员会第十次会议《关于修改〈中华人民共和国建筑法〉等八部法律的决定》修正，2021年4月29日第十三届全国人民代表大会常务委员会第二十八次会议通过）；</w:t>
      </w:r>
    </w:p>
    <w:p>
      <w:pPr>
        <w:numPr>
          <w:ilvl w:val="0"/>
          <w:numId w:val="2"/>
        </w:numPr>
        <w:tabs>
          <w:tab w:val="left" w:pos="40"/>
        </w:tabs>
        <w:ind w:firstLine="560"/>
      </w:pPr>
      <w:r>
        <w:rPr>
          <w:rFonts w:hint="eastAsia"/>
        </w:rPr>
        <w:t>《中华人民共和国劳动法》（中华人民共和国主席令第28号，2018年12月29日第二次修改）；</w:t>
      </w:r>
    </w:p>
    <w:p>
      <w:pPr>
        <w:numPr>
          <w:ilvl w:val="0"/>
          <w:numId w:val="2"/>
        </w:numPr>
        <w:tabs>
          <w:tab w:val="left" w:pos="40"/>
        </w:tabs>
        <w:ind w:firstLine="560"/>
      </w:pPr>
      <w:r>
        <w:rPr>
          <w:rFonts w:hint="eastAsia"/>
        </w:rPr>
        <w:t>《中华人民共和国职业病防治法》（2018年12月29日第十三届全国人民代表大会常务委员会第七次会议《关于修改等七部法律的决定》第四次修正）；</w:t>
      </w:r>
    </w:p>
    <w:p>
      <w:pPr>
        <w:numPr>
          <w:ilvl w:val="0"/>
          <w:numId w:val="2"/>
        </w:numPr>
        <w:tabs>
          <w:tab w:val="left" w:pos="40"/>
        </w:tabs>
        <w:ind w:firstLine="560"/>
      </w:pPr>
      <w:r>
        <w:rPr>
          <w:rFonts w:hint="eastAsia"/>
        </w:rPr>
        <w:t>《中华人民共和国特种设备安全法》（国家主席令第4号，2013年公布）；</w:t>
      </w:r>
    </w:p>
    <w:p>
      <w:pPr>
        <w:numPr>
          <w:ilvl w:val="0"/>
          <w:numId w:val="2"/>
        </w:numPr>
        <w:tabs>
          <w:tab w:val="left" w:pos="40"/>
        </w:tabs>
        <w:ind w:firstLine="560"/>
      </w:pPr>
      <w:r>
        <w:rPr>
          <w:rFonts w:hint="eastAsia"/>
        </w:rPr>
        <w:t>《中华人民共和国突发事件应对法》（中华人民共和国主席令第69号，2007年11月1日起施行）</w:t>
      </w:r>
      <w:r>
        <w:rPr>
          <w:rFonts w:hint="eastAsia"/>
          <w:lang w:eastAsia="zh-CN"/>
        </w:rPr>
        <w:t>；</w:t>
      </w:r>
    </w:p>
    <w:p>
      <w:pPr>
        <w:numPr>
          <w:ilvl w:val="0"/>
          <w:numId w:val="2"/>
        </w:numPr>
        <w:tabs>
          <w:tab w:val="left" w:pos="40"/>
        </w:tabs>
        <w:ind w:firstLine="560"/>
      </w:pPr>
      <w:r>
        <w:rPr>
          <w:rFonts w:hint="eastAsia"/>
        </w:rPr>
        <w:t>《危险化学品安全管理条例》（中华人民共和国国务院令第591号，根据中华人民共和国国务院令第645号修订，2013年12月7日施行）；</w:t>
      </w:r>
    </w:p>
    <w:p>
      <w:pPr>
        <w:numPr>
          <w:ilvl w:val="0"/>
          <w:numId w:val="2"/>
        </w:numPr>
        <w:tabs>
          <w:tab w:val="left" w:pos="40"/>
        </w:tabs>
        <w:ind w:firstLine="560"/>
      </w:pPr>
      <w:r>
        <w:rPr>
          <w:rFonts w:hint="eastAsia"/>
        </w:rPr>
        <w:t>《工伤保险条例》（中华人民共和国国务院令第586号，2011年1月1日施行）；</w:t>
      </w:r>
    </w:p>
    <w:p>
      <w:pPr>
        <w:numPr>
          <w:ilvl w:val="0"/>
          <w:numId w:val="2"/>
        </w:numPr>
        <w:tabs>
          <w:tab w:val="left" w:pos="40"/>
        </w:tabs>
        <w:ind w:firstLine="560"/>
      </w:pPr>
      <w:r>
        <w:rPr>
          <w:rFonts w:hint="eastAsia"/>
        </w:rPr>
        <w:t>《建设工程安全生产管理条例》（中华人民共和国国务院令第393号，2004年2月1日施行）；</w:t>
      </w:r>
    </w:p>
    <w:p>
      <w:pPr>
        <w:numPr>
          <w:ilvl w:val="0"/>
          <w:numId w:val="2"/>
        </w:numPr>
        <w:tabs>
          <w:tab w:val="left" w:pos="40"/>
        </w:tabs>
        <w:ind w:firstLine="560"/>
        <w:rPr>
          <w:rFonts w:hint="eastAsia" w:ascii="Times New Roman" w:hAnsi="Times New Roman" w:eastAsia="宋体" w:cstheme="minorBidi"/>
          <w:szCs w:val="22"/>
        </w:rPr>
      </w:pPr>
      <w:r>
        <w:rPr>
          <w:rFonts w:hint="eastAsia"/>
        </w:rPr>
        <w:t>《生产安全事故报告和</w:t>
      </w:r>
      <w:r>
        <w:rPr>
          <w:rFonts w:hint="eastAsia" w:ascii="Times New Roman" w:hAnsi="Times New Roman" w:eastAsia="宋体"/>
        </w:rPr>
        <w:t>调查处理条例》（中华人民共和国国务院令第493号，2007年6月1日起施行）；</w:t>
      </w:r>
    </w:p>
    <w:p>
      <w:pPr>
        <w:numPr>
          <w:ilvl w:val="0"/>
          <w:numId w:val="2"/>
        </w:numPr>
        <w:tabs>
          <w:tab w:val="left" w:pos="40"/>
        </w:tabs>
        <w:ind w:firstLine="560"/>
        <w:rPr>
          <w:rFonts w:ascii="宋体" w:hAnsi="宋体" w:cs="宋体"/>
          <w:szCs w:val="24"/>
        </w:rPr>
      </w:pPr>
      <w:r>
        <w:rPr>
          <w:rFonts w:hint="eastAsia" w:ascii="Times New Roman" w:hAnsi="Times New Roman" w:eastAsia="宋体"/>
        </w:rPr>
        <w:t>《特种设备安全监察条例》（2003年3月11日中华人民共</w:t>
      </w:r>
      <w:r>
        <w:rPr>
          <w:rFonts w:hint="eastAsia"/>
        </w:rPr>
        <w:t>和国国务院令第373号公布，国务院令第549号修订，自2009年5月1日起施行）</w:t>
      </w:r>
    </w:p>
    <w:p>
      <w:pPr>
        <w:numPr>
          <w:ilvl w:val="0"/>
          <w:numId w:val="2"/>
        </w:numPr>
        <w:tabs>
          <w:tab w:val="left" w:pos="40"/>
        </w:tabs>
        <w:ind w:firstLine="560"/>
        <w:rPr>
          <w:rFonts w:ascii="宋体" w:hAnsi="宋体" w:cs="宋体"/>
          <w:szCs w:val="24"/>
        </w:rPr>
      </w:pPr>
      <w:r>
        <w:rPr>
          <w:rFonts w:hint="eastAsia" w:ascii="宋体" w:hAnsi="宋体" w:cs="宋体"/>
          <w:szCs w:val="24"/>
        </w:rPr>
        <w:t>《国务院关于进一步加强企业安全生产工作的通知》（国发〔2010〕23号，2010年7月19日）；</w:t>
      </w:r>
    </w:p>
    <w:p>
      <w:pPr>
        <w:numPr>
          <w:ilvl w:val="0"/>
          <w:numId w:val="2"/>
        </w:numPr>
        <w:tabs>
          <w:tab w:val="left" w:pos="40"/>
        </w:tabs>
        <w:ind w:firstLine="560"/>
      </w:pPr>
      <w:r>
        <w:rPr>
          <w:rFonts w:hint="eastAsia"/>
        </w:rPr>
        <w:t>《生产安全事故应急条例》（中华人民共和国国务院令第708号，自2019年4月1日起施行）。</w:t>
      </w:r>
    </w:p>
    <w:p>
      <w:pPr>
        <w:pStyle w:val="7"/>
        <w:spacing w:before="156" w:after="156"/>
      </w:pPr>
      <w:r>
        <w:rPr>
          <w:rFonts w:hint="eastAsia"/>
        </w:rPr>
        <w:t>部门规章及规范性文件</w:t>
      </w:r>
    </w:p>
    <w:p>
      <w:pPr>
        <w:numPr>
          <w:ilvl w:val="0"/>
          <w:numId w:val="3"/>
        </w:numPr>
        <w:ind w:firstLine="560"/>
        <w:rPr>
          <w:rFonts w:ascii="宋体" w:hAnsi="宋体" w:cs="宋体"/>
          <w:szCs w:val="24"/>
        </w:rPr>
      </w:pPr>
      <w:r>
        <w:rPr>
          <w:rFonts w:hint="eastAsia" w:ascii="宋体" w:hAnsi="宋体" w:cs="宋体"/>
          <w:szCs w:val="24"/>
        </w:rPr>
        <w:t>《建设项目安全设施“三同时”监督管理办法》（原国家安监总局第36号令，根据原国家安监总局令第77号令修订，2015年5月1日起实施）；</w:t>
      </w:r>
    </w:p>
    <w:p>
      <w:pPr>
        <w:numPr>
          <w:ilvl w:val="0"/>
          <w:numId w:val="3"/>
        </w:numPr>
        <w:ind w:firstLine="560"/>
        <w:rPr>
          <w:rFonts w:ascii="宋体" w:hAnsi="宋体" w:cs="宋体"/>
          <w:szCs w:val="24"/>
        </w:rPr>
      </w:pPr>
      <w:r>
        <w:rPr>
          <w:rFonts w:hint="eastAsia" w:ascii="宋体" w:hAnsi="宋体" w:cs="宋体"/>
          <w:szCs w:val="24"/>
        </w:rPr>
        <w:t>《产业结构调整指导目录》（201</w:t>
      </w:r>
      <w:r>
        <w:rPr>
          <w:rFonts w:hint="eastAsia" w:ascii="宋体" w:hAnsi="宋体" w:cs="宋体"/>
          <w:szCs w:val="24"/>
          <w:lang w:val="en-US" w:eastAsia="zh-CN"/>
        </w:rPr>
        <w:t>9</w:t>
      </w:r>
      <w:r>
        <w:rPr>
          <w:rFonts w:hint="eastAsia" w:ascii="宋体" w:hAnsi="宋体" w:cs="宋体"/>
          <w:szCs w:val="24"/>
        </w:rPr>
        <w:t>年本）（201</w:t>
      </w:r>
      <w:r>
        <w:rPr>
          <w:rFonts w:hint="eastAsia" w:ascii="宋体" w:hAnsi="宋体" w:cs="宋体"/>
          <w:szCs w:val="24"/>
          <w:lang w:val="en-US" w:eastAsia="zh-CN"/>
        </w:rPr>
        <w:t>9</w:t>
      </w:r>
      <w:r>
        <w:rPr>
          <w:rFonts w:hint="eastAsia" w:ascii="宋体" w:hAnsi="宋体" w:cs="宋体"/>
          <w:szCs w:val="24"/>
        </w:rPr>
        <w:t>年修订）（中华人民共和国国家发展和改革委员会令第2</w:t>
      </w:r>
      <w:r>
        <w:rPr>
          <w:rFonts w:hint="eastAsia" w:ascii="宋体" w:hAnsi="宋体" w:cs="宋体"/>
          <w:szCs w:val="24"/>
          <w:lang w:val="en-US" w:eastAsia="zh-CN"/>
        </w:rPr>
        <w:t>9</w:t>
      </w:r>
      <w:r>
        <w:rPr>
          <w:rFonts w:hint="eastAsia" w:ascii="宋体" w:hAnsi="宋体" w:cs="宋体"/>
          <w:szCs w:val="24"/>
        </w:rPr>
        <w:t>号）；</w:t>
      </w:r>
    </w:p>
    <w:p>
      <w:pPr>
        <w:numPr>
          <w:ilvl w:val="0"/>
          <w:numId w:val="3"/>
        </w:numPr>
        <w:ind w:firstLine="560"/>
        <w:rPr>
          <w:rFonts w:ascii="宋体" w:hAnsi="宋体" w:cs="宋体"/>
          <w:szCs w:val="24"/>
        </w:rPr>
      </w:pPr>
      <w:r>
        <w:rPr>
          <w:rFonts w:hint="eastAsia" w:ascii="宋体" w:hAnsi="宋体" w:cs="宋体"/>
          <w:szCs w:val="24"/>
        </w:rPr>
        <w:t>《建设项目职业病防护设施“三同时”监督管理办法》（原国家安全生产监督管理总局令第90号令，2017年5月1日起实施）；</w:t>
      </w:r>
    </w:p>
    <w:p>
      <w:pPr>
        <w:numPr>
          <w:ilvl w:val="0"/>
          <w:numId w:val="3"/>
        </w:numPr>
        <w:ind w:firstLine="560"/>
        <w:rPr>
          <w:rFonts w:ascii="宋体" w:hAnsi="宋体" w:cs="宋体"/>
          <w:szCs w:val="24"/>
        </w:rPr>
      </w:pPr>
      <w:r>
        <w:rPr>
          <w:rFonts w:hint="eastAsia" w:ascii="宋体" w:hAnsi="宋体" w:cs="宋体"/>
          <w:szCs w:val="24"/>
        </w:rPr>
        <w:t>《生产经营单位安全培训规定》（原国家安全生产监督管理总局令第3号，根据原国家安全生产监督管理总局令第63号修改，第80号修改，2015年7月1日起实施）；</w:t>
      </w:r>
    </w:p>
    <w:p>
      <w:pPr>
        <w:numPr>
          <w:ilvl w:val="0"/>
          <w:numId w:val="3"/>
        </w:numPr>
        <w:ind w:firstLine="560"/>
        <w:rPr>
          <w:rFonts w:ascii="宋体" w:hAnsi="宋体" w:cs="宋体"/>
          <w:szCs w:val="24"/>
        </w:rPr>
      </w:pPr>
      <w:r>
        <w:rPr>
          <w:rFonts w:hint="eastAsia" w:ascii="宋体" w:hAnsi="宋体" w:cs="宋体"/>
          <w:szCs w:val="24"/>
        </w:rPr>
        <w:t>《生产安全事故应急预案管理办法》（原国家安全生产监督管理总局令第88号，应急管理部第2号修改，2019年9月1日起实施）；</w:t>
      </w:r>
    </w:p>
    <w:p>
      <w:pPr>
        <w:numPr>
          <w:ilvl w:val="0"/>
          <w:numId w:val="3"/>
        </w:numPr>
        <w:ind w:firstLine="560"/>
        <w:rPr>
          <w:rFonts w:ascii="宋体" w:hAnsi="宋体" w:cs="宋体"/>
          <w:szCs w:val="24"/>
        </w:rPr>
      </w:pPr>
      <w:r>
        <w:rPr>
          <w:rFonts w:hint="eastAsia" w:ascii="宋体" w:hAnsi="宋体" w:cs="宋体"/>
          <w:szCs w:val="24"/>
        </w:rPr>
        <w:t>《特种作业人员安全技术培训考核管理规定》（原国家安监总局令第30号，根据原国家安全生产监督管理总局令第63号修改，第80号修改，2015年7月1日起实施）；</w:t>
      </w:r>
    </w:p>
    <w:p>
      <w:pPr>
        <w:numPr>
          <w:ilvl w:val="0"/>
          <w:numId w:val="3"/>
        </w:numPr>
        <w:ind w:firstLine="560"/>
        <w:rPr>
          <w:rFonts w:ascii="宋体" w:hAnsi="宋体" w:cs="宋体"/>
          <w:szCs w:val="24"/>
        </w:rPr>
      </w:pPr>
      <w:r>
        <w:rPr>
          <w:rFonts w:hint="eastAsia" w:ascii="宋体" w:hAnsi="宋体" w:cs="宋体"/>
          <w:szCs w:val="24"/>
        </w:rPr>
        <w:t>《安全生产培训管理办法》（原国家安全生产监督管理总局令第44号，根据原国家安全生产监督管理总局令第63号，第80号修改，2015年7月1日起实施）；</w:t>
      </w:r>
    </w:p>
    <w:p>
      <w:pPr>
        <w:numPr>
          <w:ilvl w:val="0"/>
          <w:numId w:val="3"/>
        </w:numPr>
        <w:ind w:firstLine="560"/>
        <w:rPr>
          <w:rFonts w:ascii="宋体" w:hAnsi="宋体" w:cs="宋体"/>
          <w:szCs w:val="24"/>
        </w:rPr>
      </w:pPr>
      <w:r>
        <w:rPr>
          <w:rFonts w:hint="eastAsia" w:ascii="宋体" w:hAnsi="宋体" w:cs="宋体"/>
          <w:szCs w:val="24"/>
        </w:rPr>
        <w:t>《《财政部 应急部关于印发〈企业安全生产费用提取和使用管理办法〉的通知》（财资〔2022〕136号</w:t>
      </w:r>
      <w:r>
        <w:rPr>
          <w:rFonts w:hint="eastAsia" w:ascii="宋体" w:hAnsi="宋体" w:cs="宋体"/>
          <w:szCs w:val="24"/>
          <w:lang w:eastAsia="zh-CN"/>
        </w:rPr>
        <w:t>）</w:t>
      </w:r>
      <w:r>
        <w:rPr>
          <w:rFonts w:hint="eastAsia" w:ascii="宋体" w:hAnsi="宋体" w:cs="宋体"/>
          <w:szCs w:val="24"/>
        </w:rPr>
        <w:t>；</w:t>
      </w:r>
    </w:p>
    <w:p>
      <w:pPr>
        <w:numPr>
          <w:ilvl w:val="0"/>
          <w:numId w:val="3"/>
        </w:numPr>
        <w:ind w:firstLine="560"/>
        <w:rPr>
          <w:rFonts w:ascii="宋体" w:hAnsi="宋体" w:cs="宋体"/>
          <w:szCs w:val="24"/>
        </w:rPr>
      </w:pPr>
      <w:r>
        <w:rPr>
          <w:rFonts w:hint="eastAsia" w:ascii="宋体" w:hAnsi="宋体" w:cs="宋体"/>
          <w:szCs w:val="24"/>
        </w:rPr>
        <w:t>《防雷减灾管理办法》（中国气象局第24号令，2013年6月1日起实施）；</w:t>
      </w:r>
    </w:p>
    <w:p>
      <w:pPr>
        <w:numPr>
          <w:ilvl w:val="0"/>
          <w:numId w:val="3"/>
        </w:numPr>
        <w:ind w:firstLine="560"/>
        <w:rPr>
          <w:rFonts w:ascii="宋体" w:hAnsi="宋体" w:cs="宋体"/>
          <w:szCs w:val="24"/>
        </w:rPr>
      </w:pPr>
      <w:r>
        <w:rPr>
          <w:rFonts w:hint="eastAsia" w:ascii="宋体" w:hAnsi="宋体" w:cs="宋体"/>
          <w:szCs w:val="24"/>
        </w:rPr>
        <w:t>《突发事件应急预案管理办法》（国办发〔2013〕101号，2013年10月25日）；</w:t>
      </w:r>
    </w:p>
    <w:p>
      <w:pPr>
        <w:numPr>
          <w:ilvl w:val="0"/>
          <w:numId w:val="3"/>
        </w:numPr>
        <w:ind w:firstLine="560"/>
        <w:rPr>
          <w:rFonts w:ascii="宋体" w:hAnsi="宋体" w:cs="宋体"/>
          <w:szCs w:val="24"/>
        </w:rPr>
      </w:pPr>
      <w:r>
        <w:rPr>
          <w:rFonts w:hint="eastAsia" w:ascii="宋体" w:hAnsi="宋体" w:cs="宋体"/>
          <w:szCs w:val="24"/>
        </w:rPr>
        <w:t>《仓库防火安全管理规则》（公安部令第6号，1990年4月10日公安部令第6号发布施行）；</w:t>
      </w:r>
    </w:p>
    <w:p>
      <w:pPr>
        <w:numPr>
          <w:ilvl w:val="0"/>
          <w:numId w:val="3"/>
        </w:numPr>
        <w:ind w:firstLine="560"/>
        <w:rPr>
          <w:rFonts w:ascii="宋体" w:hAnsi="宋体" w:cs="宋体"/>
          <w:szCs w:val="24"/>
        </w:rPr>
      </w:pPr>
      <w:r>
        <w:rPr>
          <w:rFonts w:hint="eastAsia" w:ascii="宋体" w:hAnsi="宋体" w:cs="宋体"/>
          <w:szCs w:val="24"/>
        </w:rPr>
        <w:t>《建设工程消防设计审查验收管理暂行规定》(中华人民共和国住房和城乡建设部令第51号，自2020年6月1日起施行)；</w:t>
      </w:r>
    </w:p>
    <w:p>
      <w:pPr>
        <w:numPr>
          <w:ilvl w:val="0"/>
          <w:numId w:val="3"/>
        </w:numPr>
        <w:ind w:firstLine="560"/>
        <w:rPr>
          <w:rFonts w:ascii="宋体" w:hAnsi="宋体" w:cs="宋体"/>
          <w:szCs w:val="24"/>
        </w:rPr>
      </w:pPr>
      <w:r>
        <w:rPr>
          <w:rFonts w:hint="eastAsia" w:ascii="宋体" w:hAnsi="宋体" w:cs="宋体"/>
          <w:szCs w:val="24"/>
        </w:rPr>
        <w:t>《公安部关于修改&lt;消防监督检查规定&gt;的决定》（公安部120号令，自2012年11月1日起施行）；</w:t>
      </w:r>
    </w:p>
    <w:p>
      <w:pPr>
        <w:numPr>
          <w:ilvl w:val="0"/>
          <w:numId w:val="3"/>
        </w:numPr>
        <w:ind w:firstLine="560"/>
        <w:rPr>
          <w:rFonts w:ascii="宋体" w:hAnsi="宋体" w:cs="宋体"/>
          <w:szCs w:val="24"/>
        </w:rPr>
      </w:pPr>
      <w:r>
        <w:rPr>
          <w:rFonts w:hint="eastAsia" w:ascii="宋体" w:hAnsi="宋体" w:cs="宋体"/>
          <w:szCs w:val="24"/>
        </w:rPr>
        <w:t>《用人单</w:t>
      </w:r>
      <w:r>
        <w:rPr>
          <w:rFonts w:hint="eastAsia" w:ascii="宋体" w:hAnsi="宋体" w:cs="宋体"/>
          <w:szCs w:val="24"/>
          <w:lang w:eastAsia="zh-CN"/>
        </w:rPr>
        <w:t>位劳</w:t>
      </w:r>
      <w:r>
        <w:rPr>
          <w:rFonts w:hint="eastAsia" w:ascii="宋体" w:hAnsi="宋体" w:cs="宋体"/>
          <w:szCs w:val="24"/>
        </w:rPr>
        <w:t>动防护用品管理规范》（安监总厅安健[2018]3号，2018年1月15日）；</w:t>
      </w:r>
    </w:p>
    <w:p>
      <w:pPr>
        <w:numPr>
          <w:ilvl w:val="0"/>
          <w:numId w:val="3"/>
        </w:numPr>
        <w:ind w:firstLine="560"/>
        <w:rPr>
          <w:rFonts w:hint="eastAsia" w:ascii="宋体" w:hAnsi="宋体" w:eastAsia="宋体" w:cs="宋体"/>
          <w:szCs w:val="24"/>
        </w:rPr>
      </w:pPr>
      <w:r>
        <w:rPr>
          <w:rFonts w:hint="eastAsia" w:ascii="宋体" w:hAnsi="宋体" w:cs="宋体"/>
          <w:szCs w:val="24"/>
        </w:rPr>
        <w:t>《国家安全监管总局关于修改&lt;生产安全事故报告和调查处理条例&gt;罚款处罚</w:t>
      </w:r>
      <w:r>
        <w:rPr>
          <w:rFonts w:hint="eastAsia" w:ascii="宋体" w:hAnsi="宋体" w:eastAsia="宋体" w:cs="宋体"/>
          <w:szCs w:val="24"/>
        </w:rPr>
        <w:t>暂行规定等四部规章的决定》（原国家安全生产监督管理总局令77号，2015年5月1日起施行）；</w:t>
      </w:r>
    </w:p>
    <w:p>
      <w:pPr>
        <w:numPr>
          <w:ilvl w:val="0"/>
          <w:numId w:val="3"/>
        </w:numPr>
        <w:ind w:firstLine="560"/>
        <w:rPr>
          <w:rFonts w:hint="eastAsia" w:ascii="宋体" w:hAnsi="宋体" w:eastAsia="宋体" w:cs="宋体"/>
          <w:szCs w:val="24"/>
        </w:rPr>
      </w:pPr>
      <w:r>
        <w:rPr>
          <w:rFonts w:hint="eastAsia" w:ascii="宋体" w:hAnsi="宋体" w:eastAsia="宋体" w:cs="宋体"/>
          <w:szCs w:val="24"/>
          <w:lang w:eastAsia="zh-CN"/>
        </w:rPr>
        <w:t>《</w:t>
      </w:r>
      <w:r>
        <w:rPr>
          <w:rFonts w:hint="eastAsia" w:ascii="宋体" w:hAnsi="宋体" w:eastAsia="宋体" w:cs="宋体"/>
          <w:szCs w:val="24"/>
        </w:rPr>
        <w:t>工贸企业有限空间作业安全管理与监督暂行规定</w:t>
      </w:r>
      <w:r>
        <w:rPr>
          <w:rFonts w:hint="eastAsia" w:ascii="宋体" w:hAnsi="宋体" w:eastAsia="宋体" w:cs="宋体"/>
          <w:szCs w:val="24"/>
          <w:lang w:eastAsia="zh-CN"/>
        </w:rPr>
        <w:t>》（</w:t>
      </w:r>
      <w:r>
        <w:rPr>
          <w:rFonts w:hint="eastAsia" w:ascii="宋体" w:hAnsi="宋体" w:eastAsia="宋体" w:cs="宋体"/>
          <w:i w:val="0"/>
          <w:iCs w:val="0"/>
          <w:caps w:val="0"/>
          <w:spacing w:val="0"/>
          <w:sz w:val="28"/>
          <w:szCs w:val="24"/>
          <w:shd w:val="clear"/>
        </w:rPr>
        <w:t>国家安全生产监督管理总局令第59号公布，自2013年7月1日起施行；根据2015年5月29日国家安全生产监督管理总局令第80号修正）</w:t>
      </w:r>
    </w:p>
    <w:p>
      <w:pPr>
        <w:numPr>
          <w:ilvl w:val="0"/>
          <w:numId w:val="3"/>
        </w:numPr>
        <w:ind w:firstLine="560"/>
        <w:rPr>
          <w:rFonts w:hint="eastAsia" w:ascii="宋体" w:hAnsi="宋体" w:eastAsia="宋体" w:cs="宋体"/>
          <w:szCs w:val="24"/>
        </w:rPr>
      </w:pPr>
      <w:r>
        <w:rPr>
          <w:rFonts w:hint="eastAsia" w:ascii="宋体" w:hAnsi="宋体" w:eastAsia="宋体" w:cs="宋体"/>
          <w:szCs w:val="24"/>
        </w:rPr>
        <w:t>《冶金企业和有色金属企业安全生产规定》（原国家安全生产监督管理总局令第91号，2018年3月1日施行）；</w:t>
      </w:r>
    </w:p>
    <w:p>
      <w:pPr>
        <w:numPr>
          <w:ilvl w:val="0"/>
          <w:numId w:val="3"/>
        </w:numPr>
        <w:ind w:firstLine="560"/>
        <w:rPr>
          <w:rFonts w:ascii="宋体" w:hAnsi="宋体" w:cs="宋体"/>
        </w:rPr>
      </w:pPr>
      <w:r>
        <w:rPr>
          <w:rFonts w:hint="eastAsia" w:ascii="宋体" w:hAnsi="宋体" w:cs="宋体"/>
        </w:rPr>
        <w:t>《工贸企业重大事故隐患判定标准》（应急管理部令第10号，2023年5月15日起施行）；</w:t>
      </w:r>
    </w:p>
    <w:p>
      <w:pPr>
        <w:numPr>
          <w:ilvl w:val="0"/>
          <w:numId w:val="3"/>
        </w:numPr>
        <w:ind w:firstLine="560"/>
        <w:rPr>
          <w:rFonts w:ascii="宋体" w:hAnsi="宋体" w:cs="宋体"/>
        </w:rPr>
      </w:pPr>
      <w:r>
        <w:rPr>
          <w:rFonts w:hint="eastAsia" w:ascii="宋体" w:hAnsi="宋体" w:cs="宋体"/>
        </w:rPr>
        <w:t>《工贸企业有限空间作业安全规定》（应急管理部令第1</w:t>
      </w:r>
      <w:r>
        <w:rPr>
          <w:rFonts w:hint="eastAsia" w:ascii="宋体" w:hAnsi="宋体" w:cs="宋体"/>
          <w:lang w:val="en-US" w:eastAsia="zh-CN"/>
        </w:rPr>
        <w:t>3</w:t>
      </w:r>
      <w:r>
        <w:rPr>
          <w:rFonts w:hint="eastAsia" w:ascii="宋体" w:hAnsi="宋体" w:cs="宋体"/>
        </w:rPr>
        <w:t>号，202</w:t>
      </w:r>
      <w:r>
        <w:rPr>
          <w:rFonts w:hint="eastAsia" w:ascii="宋体" w:hAnsi="宋体" w:cs="宋体"/>
          <w:lang w:val="en-US" w:eastAsia="zh-CN"/>
        </w:rPr>
        <w:t>4</w:t>
      </w:r>
      <w:r>
        <w:rPr>
          <w:rFonts w:hint="eastAsia" w:ascii="宋体" w:hAnsi="宋体" w:cs="宋体"/>
        </w:rPr>
        <w:t>年</w:t>
      </w:r>
      <w:r>
        <w:rPr>
          <w:rFonts w:hint="eastAsia" w:ascii="宋体" w:hAnsi="宋体" w:cs="宋体"/>
          <w:lang w:val="en-US" w:eastAsia="zh-CN"/>
        </w:rPr>
        <w:t>1</w:t>
      </w:r>
      <w:r>
        <w:rPr>
          <w:rFonts w:hint="eastAsia" w:ascii="宋体" w:hAnsi="宋体" w:cs="宋体"/>
        </w:rPr>
        <w:t>月1</w:t>
      </w:r>
      <w:r>
        <w:rPr>
          <w:rFonts w:hint="eastAsia" w:ascii="宋体" w:hAnsi="宋体" w:cs="宋体"/>
          <w:lang w:val="en-US" w:eastAsia="zh-CN"/>
        </w:rPr>
        <w:t>1</w:t>
      </w:r>
      <w:r>
        <w:rPr>
          <w:rFonts w:hint="eastAsia" w:ascii="宋体" w:hAnsi="宋体" w:cs="宋体"/>
        </w:rPr>
        <w:t>日起施行）；</w:t>
      </w:r>
    </w:p>
    <w:p>
      <w:pPr>
        <w:numPr>
          <w:ilvl w:val="0"/>
          <w:numId w:val="3"/>
        </w:numPr>
        <w:ind w:firstLine="560"/>
        <w:rPr>
          <w:rFonts w:hint="eastAsia" w:ascii="宋体" w:hAnsi="宋体" w:eastAsia="宋体" w:cs="宋体"/>
        </w:rPr>
      </w:pPr>
      <w:r>
        <w:rPr>
          <w:rFonts w:hint="eastAsia" w:ascii="宋体" w:hAnsi="宋体" w:cs="宋体"/>
        </w:rPr>
        <w:t>《特</w:t>
      </w:r>
      <w:r>
        <w:rPr>
          <w:rFonts w:hint="eastAsia" w:ascii="宋体" w:hAnsi="宋体" w:eastAsia="宋体" w:cs="宋体"/>
        </w:rPr>
        <w:t>种设备目录》</w:t>
      </w:r>
      <w:r>
        <w:rPr>
          <w:rFonts w:hint="eastAsia" w:ascii="宋体" w:hAnsi="宋体" w:eastAsia="宋体" w:cs="宋体"/>
          <w:lang w:eastAsia="zh-CN"/>
        </w:rPr>
        <w:t>（</w:t>
      </w:r>
      <w:r>
        <w:rPr>
          <w:rFonts w:hint="eastAsia" w:ascii="宋体" w:hAnsi="宋体" w:eastAsia="宋体" w:cs="宋体"/>
        </w:rPr>
        <w:t>质检总局关于修订</w:t>
      </w:r>
      <w:r>
        <w:rPr>
          <w:rFonts w:hint="eastAsia" w:ascii="宋体" w:hAnsi="宋体" w:eastAsia="宋体" w:cs="宋体"/>
          <w:lang w:val="en-US" w:eastAsia="zh-CN"/>
        </w:rPr>
        <w:t>&lt;</w:t>
      </w:r>
      <w:r>
        <w:rPr>
          <w:rFonts w:hint="eastAsia" w:ascii="宋体" w:hAnsi="宋体" w:eastAsia="宋体" w:cs="宋体"/>
        </w:rPr>
        <w:t>特种设备目录</w:t>
      </w:r>
      <w:r>
        <w:rPr>
          <w:rFonts w:hint="eastAsia" w:ascii="宋体" w:hAnsi="宋体" w:eastAsia="宋体" w:cs="宋体"/>
          <w:lang w:val="en-US" w:eastAsia="zh-CN"/>
        </w:rPr>
        <w:t>&gt;</w:t>
      </w:r>
      <w:r>
        <w:rPr>
          <w:rFonts w:hint="eastAsia" w:ascii="宋体" w:hAnsi="宋体" w:eastAsia="宋体" w:cs="宋体"/>
        </w:rPr>
        <w:t>的公告（2014年第114号）</w:t>
      </w:r>
      <w:r>
        <w:rPr>
          <w:rFonts w:hint="eastAsia" w:ascii="宋体" w:hAnsi="宋体" w:cs="宋体"/>
          <w:lang w:eastAsia="zh-CN"/>
        </w:rPr>
        <w:t>，</w:t>
      </w:r>
      <w:r>
        <w:rPr>
          <w:rFonts w:hint="eastAsia" w:ascii="宋体" w:hAnsi="宋体" w:eastAsia="宋体" w:cs="宋体"/>
          <w:lang w:val="en-US" w:eastAsia="zh-CN"/>
        </w:rPr>
        <w:t>2014年10月30日起施行</w:t>
      </w:r>
      <w:r>
        <w:rPr>
          <w:rFonts w:hint="eastAsia" w:ascii="宋体" w:hAnsi="宋体" w:eastAsia="宋体" w:cs="宋体"/>
          <w:lang w:eastAsia="zh-CN"/>
        </w:rPr>
        <w:t>）</w:t>
      </w:r>
      <w:r>
        <w:rPr>
          <w:rFonts w:hint="eastAsia" w:ascii="宋体" w:hAnsi="宋体" w:cs="宋体"/>
          <w:lang w:eastAsia="zh-CN"/>
        </w:rPr>
        <w:t>；</w:t>
      </w:r>
    </w:p>
    <w:p>
      <w:pPr>
        <w:numPr>
          <w:ilvl w:val="0"/>
          <w:numId w:val="3"/>
        </w:numPr>
        <w:ind w:firstLine="560"/>
        <w:rPr>
          <w:rFonts w:hint="eastAsia" w:ascii="宋体" w:hAnsi="宋体" w:eastAsia="宋体" w:cs="宋体"/>
        </w:rPr>
      </w:pPr>
      <w:r>
        <w:rPr>
          <w:rFonts w:hint="eastAsia" w:ascii="宋体" w:hAnsi="宋体" w:eastAsia="宋体" w:cs="宋体"/>
          <w:sz w:val="28"/>
          <w:szCs w:val="22"/>
        </w:rPr>
        <w:t>《危险化学品目录（2015版）》</w:t>
      </w:r>
      <w:r>
        <w:rPr>
          <w:rFonts w:hint="eastAsia" w:ascii="宋体" w:hAnsi="宋体" w:eastAsia="宋体" w:cs="宋体"/>
          <w:sz w:val="28"/>
          <w:szCs w:val="22"/>
          <w:lang w:eastAsia="zh-CN"/>
        </w:rPr>
        <w:t>（</w:t>
      </w:r>
      <w:r>
        <w:rPr>
          <w:rFonts w:hint="eastAsia" w:ascii="宋体" w:hAnsi="宋体" w:eastAsia="宋体" w:cs="宋体"/>
          <w:sz w:val="28"/>
          <w:szCs w:val="22"/>
          <w:lang w:val="en-US"/>
        </w:rPr>
        <w:t>2015</w:t>
      </w:r>
      <w:r>
        <w:rPr>
          <w:rFonts w:hint="eastAsia" w:ascii="宋体" w:hAnsi="宋体" w:eastAsia="宋体" w:cs="宋体"/>
          <w:sz w:val="28"/>
          <w:szCs w:val="22"/>
        </w:rPr>
        <w:t>年</w:t>
      </w:r>
      <w:r>
        <w:rPr>
          <w:rFonts w:hint="eastAsia" w:ascii="宋体" w:hAnsi="宋体" w:eastAsia="宋体" w:cs="宋体"/>
          <w:sz w:val="28"/>
          <w:szCs w:val="22"/>
          <w:lang w:val="en-US"/>
        </w:rPr>
        <w:t>5</w:t>
      </w:r>
      <w:r>
        <w:rPr>
          <w:rFonts w:hint="eastAsia" w:ascii="宋体" w:hAnsi="宋体" w:eastAsia="宋体" w:cs="宋体"/>
          <w:sz w:val="28"/>
          <w:szCs w:val="22"/>
        </w:rPr>
        <w:t>月</w:t>
      </w:r>
      <w:r>
        <w:rPr>
          <w:rFonts w:hint="eastAsia" w:ascii="宋体" w:hAnsi="宋体" w:eastAsia="宋体" w:cs="宋体"/>
          <w:sz w:val="28"/>
          <w:szCs w:val="22"/>
          <w:lang w:val="en-US"/>
        </w:rPr>
        <w:t>1</w:t>
      </w:r>
      <w:r>
        <w:rPr>
          <w:rFonts w:hint="eastAsia" w:ascii="宋体" w:hAnsi="宋体" w:eastAsia="宋体" w:cs="宋体"/>
          <w:sz w:val="28"/>
          <w:szCs w:val="22"/>
        </w:rPr>
        <w:t>日起</w:t>
      </w:r>
      <w:r>
        <w:rPr>
          <w:rFonts w:hint="eastAsia" w:ascii="宋体" w:hAnsi="宋体" w:eastAsia="宋体" w:cs="宋体"/>
          <w:i w:val="0"/>
          <w:iCs w:val="0"/>
          <w:caps w:val="0"/>
          <w:spacing w:val="0"/>
          <w:sz w:val="28"/>
          <w:szCs w:val="22"/>
          <w:shd w:val="clear"/>
        </w:rPr>
        <w:t>施行</w:t>
      </w:r>
      <w:r>
        <w:rPr>
          <w:rFonts w:hint="eastAsia" w:ascii="宋体" w:hAnsi="宋体" w:eastAsia="宋体" w:cs="宋体"/>
          <w:i w:val="0"/>
          <w:iCs w:val="0"/>
          <w:caps w:val="0"/>
          <w:spacing w:val="0"/>
          <w:sz w:val="28"/>
          <w:szCs w:val="22"/>
          <w:shd w:val="clear"/>
          <w:lang w:eastAsia="zh-CN"/>
        </w:rPr>
        <w:t>）；</w:t>
      </w:r>
    </w:p>
    <w:p>
      <w:pPr>
        <w:numPr>
          <w:ilvl w:val="0"/>
          <w:numId w:val="3"/>
        </w:numPr>
        <w:ind w:firstLine="560"/>
        <w:rPr>
          <w:rFonts w:hint="eastAsia" w:ascii="宋体" w:hAnsi="宋体" w:eastAsia="宋体" w:cs="宋体"/>
        </w:rPr>
      </w:pPr>
      <w:r>
        <w:rPr>
          <w:rFonts w:hint="eastAsia" w:ascii="宋体" w:hAnsi="宋体" w:eastAsia="宋体" w:cs="宋体"/>
          <w:szCs w:val="22"/>
          <w:lang w:eastAsia="zh-CN"/>
        </w:rPr>
        <w:t>《</w:t>
      </w:r>
      <w:r>
        <w:rPr>
          <w:rFonts w:hint="eastAsia" w:ascii="宋体" w:hAnsi="宋体" w:eastAsia="宋体" w:cs="宋体"/>
          <w:szCs w:val="22"/>
        </w:rPr>
        <w:t>应急管理部办公厅关于修改《危险化学品目录（2015版）实施指南（试行）》涉及柴油部分内容的通知</w:t>
      </w:r>
      <w:r>
        <w:rPr>
          <w:rFonts w:hint="eastAsia" w:ascii="宋体" w:hAnsi="宋体" w:eastAsia="宋体" w:cs="宋体"/>
          <w:szCs w:val="22"/>
          <w:lang w:eastAsia="zh-CN"/>
        </w:rPr>
        <w:t>》</w:t>
      </w:r>
      <w:r>
        <w:rPr>
          <w:rFonts w:hint="eastAsia" w:ascii="宋体" w:hAnsi="宋体" w:cs="宋体"/>
          <w:szCs w:val="22"/>
          <w:lang w:eastAsia="zh-CN"/>
        </w:rPr>
        <w:t>；</w:t>
      </w:r>
    </w:p>
    <w:p>
      <w:pPr>
        <w:numPr>
          <w:ilvl w:val="0"/>
          <w:numId w:val="3"/>
        </w:numPr>
        <w:ind w:firstLine="560"/>
        <w:rPr>
          <w:rFonts w:hint="eastAsia" w:ascii="宋体" w:hAnsi="宋体" w:eastAsia="宋体" w:cs="宋体"/>
        </w:rPr>
      </w:pPr>
      <w:r>
        <w:rPr>
          <w:rFonts w:hint="eastAsia" w:ascii="宋体" w:hAnsi="宋体" w:eastAsia="宋体" w:cs="宋体"/>
          <w:lang w:eastAsia="zh-CN"/>
        </w:rPr>
        <w:t>《</w:t>
      </w:r>
      <w:r>
        <w:rPr>
          <w:rFonts w:hint="eastAsia" w:ascii="宋体" w:hAnsi="宋体" w:eastAsia="宋体" w:cs="宋体"/>
        </w:rPr>
        <w:t>应急管理部办公厅关于印发</w:t>
      </w:r>
      <w:r>
        <w:rPr>
          <w:rFonts w:hint="eastAsia" w:ascii="宋体" w:hAnsi="宋体" w:eastAsia="宋体" w:cs="宋体"/>
          <w:lang w:val="en-US" w:eastAsia="zh-CN"/>
        </w:rPr>
        <w:t>&lt;</w:t>
      </w:r>
      <w:r>
        <w:rPr>
          <w:rFonts w:hint="eastAsia" w:ascii="宋体" w:hAnsi="宋体" w:eastAsia="宋体" w:cs="宋体"/>
        </w:rPr>
        <w:t>有限空间作业安全指导手册</w:t>
      </w:r>
      <w:r>
        <w:rPr>
          <w:rFonts w:hint="eastAsia" w:ascii="宋体" w:hAnsi="宋体" w:eastAsia="宋体" w:cs="宋体"/>
          <w:lang w:val="en-US" w:eastAsia="zh-CN"/>
        </w:rPr>
        <w:t>&gt;</w:t>
      </w:r>
      <w:r>
        <w:rPr>
          <w:rFonts w:hint="eastAsia" w:ascii="宋体" w:hAnsi="宋体" w:eastAsia="宋体" w:cs="宋体"/>
        </w:rPr>
        <w:t>和4个专题系列折页的通知</w:t>
      </w:r>
      <w:r>
        <w:rPr>
          <w:rFonts w:hint="eastAsia" w:ascii="宋体" w:hAnsi="宋体" w:eastAsia="宋体" w:cs="宋体"/>
          <w:lang w:eastAsia="zh-CN"/>
        </w:rPr>
        <w:t>》（</w:t>
      </w:r>
      <w:r>
        <w:rPr>
          <w:rFonts w:hint="eastAsia" w:ascii="宋体" w:hAnsi="宋体" w:eastAsia="宋体" w:cs="宋体"/>
        </w:rPr>
        <w:t>应急厅函〔2020〕299 号</w:t>
      </w:r>
      <w:r>
        <w:rPr>
          <w:rFonts w:hint="eastAsia" w:ascii="宋体" w:hAnsi="宋体" w:eastAsia="宋体" w:cs="宋体"/>
          <w:lang w:eastAsia="zh-CN"/>
        </w:rPr>
        <w:t>）</w:t>
      </w:r>
      <w:r>
        <w:rPr>
          <w:rFonts w:hint="eastAsia" w:ascii="宋体" w:hAnsi="宋体" w:cs="宋体"/>
          <w:lang w:eastAsia="zh-CN"/>
        </w:rPr>
        <w:t>；</w:t>
      </w:r>
    </w:p>
    <w:p>
      <w:pPr>
        <w:numPr>
          <w:ilvl w:val="0"/>
          <w:numId w:val="3"/>
        </w:numPr>
        <w:ind w:firstLine="560"/>
        <w:rPr>
          <w:rFonts w:hint="eastAsia" w:ascii="宋体" w:hAnsi="宋体" w:eastAsia="宋体" w:cs="宋体"/>
        </w:rPr>
      </w:pPr>
      <w:r>
        <w:rPr>
          <w:rFonts w:hint="eastAsia" w:ascii="宋体" w:hAnsi="宋体" w:eastAsia="宋体" w:cs="宋体"/>
        </w:rPr>
        <w:t>《云南省安全生产条例》（云南省第十二届人民代表大会常务委员会公告（第63号），自2018年1月1日起施行）；</w:t>
      </w:r>
    </w:p>
    <w:p>
      <w:pPr>
        <w:numPr>
          <w:ilvl w:val="0"/>
          <w:numId w:val="3"/>
        </w:numPr>
        <w:ind w:firstLine="560"/>
        <w:rPr>
          <w:rFonts w:ascii="宋体" w:hAnsi="宋体" w:cs="宋体"/>
        </w:rPr>
      </w:pPr>
      <w:r>
        <w:rPr>
          <w:rFonts w:hint="eastAsia" w:ascii="宋体" w:hAnsi="宋体" w:eastAsia="宋体" w:cs="宋体"/>
        </w:rPr>
        <w:t>《云南省消防条例》（2010年9月3</w:t>
      </w:r>
      <w:r>
        <w:rPr>
          <w:rFonts w:hint="eastAsia" w:ascii="宋体" w:hAnsi="宋体" w:cs="宋体"/>
        </w:rPr>
        <w:t>0日云南省第十一届人民代表大会常务委员会第十九次会议通过，云南省第十三届人民代表大会常务委员会第二十一次会议修正，2020年11月25日起施行）；</w:t>
      </w:r>
    </w:p>
    <w:p>
      <w:pPr>
        <w:numPr>
          <w:ilvl w:val="0"/>
          <w:numId w:val="3"/>
        </w:numPr>
        <w:ind w:firstLine="560"/>
        <w:rPr>
          <w:rFonts w:ascii="宋体" w:hAnsi="宋体" w:cs="宋体"/>
        </w:rPr>
      </w:pPr>
      <w:r>
        <w:rPr>
          <w:rFonts w:hint="eastAsia" w:ascii="宋体" w:hAnsi="宋体" w:cs="宋体"/>
        </w:rPr>
        <w:t>《云南省安全生产监督管理局关于进一步加强工贸行业有限空间作业安全生产工作的通知（云安监管函〔2016〕85号）》。</w:t>
      </w:r>
    </w:p>
    <w:p>
      <w:pPr>
        <w:pStyle w:val="7"/>
        <w:spacing w:before="156" w:after="156"/>
      </w:pPr>
      <w:r>
        <w:rPr>
          <w:rFonts w:hint="eastAsia"/>
        </w:rPr>
        <w:t>标准、规范</w:t>
      </w:r>
    </w:p>
    <w:tbl>
      <w:tblPr>
        <w:tblStyle w:val="29"/>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37"/>
        <w:gridCol w:w="5765"/>
        <w:gridCol w:w="212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3" w:type="pct"/>
            <w:tcBorders>
              <w:top w:val="single" w:color="auto" w:sz="12" w:space="0"/>
              <w:left w:val="single" w:color="auto" w:sz="12" w:space="0"/>
              <w:bottom w:val="single" w:color="auto" w:sz="4" w:space="0"/>
              <w:right w:val="single" w:color="auto" w:sz="4" w:space="0"/>
            </w:tcBorders>
            <w:shd w:val="clear" w:color="auto" w:fill="auto"/>
            <w:vAlign w:val="center"/>
          </w:tcPr>
          <w:p>
            <w:pPr>
              <w:widowControl/>
              <w:snapToGrid w:val="0"/>
              <w:spacing w:line="240" w:lineRule="auto"/>
              <w:ind w:firstLine="0" w:firstLineChars="0"/>
              <w:jc w:val="center"/>
              <w:rPr>
                <w:rFonts w:ascii="宋体" w:hAnsi="宋体" w:cs="宋体"/>
                <w:b/>
                <w:bCs/>
                <w:kern w:val="0"/>
                <w:sz w:val="21"/>
                <w:szCs w:val="21"/>
              </w:rPr>
            </w:pPr>
            <w:r>
              <w:rPr>
                <w:rFonts w:hint="eastAsia" w:ascii="宋体" w:hAnsi="宋体" w:cs="宋体"/>
                <w:b/>
                <w:bCs/>
                <w:kern w:val="0"/>
                <w:sz w:val="21"/>
                <w:szCs w:val="21"/>
                <w:lang w:bidi="ar"/>
              </w:rPr>
              <w:t>序号</w:t>
            </w:r>
          </w:p>
        </w:tc>
        <w:tc>
          <w:tcPr>
            <w:tcW w:w="3381" w:type="pct"/>
            <w:tcBorders>
              <w:top w:val="single" w:color="auto" w:sz="12" w:space="0"/>
              <w:left w:val="single" w:color="auto" w:sz="4" w:space="0"/>
              <w:bottom w:val="single" w:color="auto" w:sz="4" w:space="0"/>
              <w:right w:val="single" w:color="auto" w:sz="4" w:space="0"/>
            </w:tcBorders>
            <w:shd w:val="clear" w:color="auto" w:fill="auto"/>
            <w:noWrap/>
            <w:vAlign w:val="center"/>
          </w:tcPr>
          <w:p>
            <w:pPr>
              <w:widowControl/>
              <w:snapToGrid w:val="0"/>
              <w:spacing w:line="240" w:lineRule="auto"/>
              <w:ind w:firstLine="0" w:firstLineChars="0"/>
              <w:jc w:val="center"/>
              <w:rPr>
                <w:rFonts w:ascii="宋体" w:hAnsi="宋体" w:cs="宋体"/>
                <w:b/>
                <w:bCs/>
                <w:kern w:val="0"/>
                <w:sz w:val="21"/>
                <w:szCs w:val="21"/>
              </w:rPr>
            </w:pPr>
            <w:r>
              <w:rPr>
                <w:rFonts w:hint="eastAsia" w:ascii="宋体" w:hAnsi="宋体" w:cs="宋体"/>
                <w:b/>
                <w:bCs/>
                <w:kern w:val="0"/>
                <w:sz w:val="21"/>
                <w:szCs w:val="21"/>
                <w:lang w:bidi="ar"/>
              </w:rPr>
              <w:t>标准、规范名称</w:t>
            </w:r>
          </w:p>
        </w:tc>
        <w:tc>
          <w:tcPr>
            <w:tcW w:w="1244" w:type="pct"/>
            <w:tcBorders>
              <w:top w:val="single" w:color="auto" w:sz="12" w:space="0"/>
              <w:left w:val="single" w:color="auto" w:sz="4" w:space="0"/>
              <w:bottom w:val="single" w:color="auto" w:sz="4" w:space="0"/>
              <w:right w:val="single" w:color="auto" w:sz="12" w:space="0"/>
            </w:tcBorders>
            <w:shd w:val="clear" w:color="auto" w:fill="auto"/>
            <w:noWrap/>
            <w:vAlign w:val="center"/>
          </w:tcPr>
          <w:p>
            <w:pPr>
              <w:widowControl/>
              <w:snapToGrid w:val="0"/>
              <w:spacing w:line="240" w:lineRule="auto"/>
              <w:ind w:firstLine="0" w:firstLineChars="0"/>
              <w:jc w:val="center"/>
              <w:rPr>
                <w:rFonts w:ascii="宋体" w:hAnsi="宋体" w:cs="宋体"/>
                <w:b/>
                <w:bCs/>
                <w:kern w:val="0"/>
                <w:sz w:val="21"/>
                <w:szCs w:val="21"/>
              </w:rPr>
            </w:pPr>
            <w:r>
              <w:rPr>
                <w:rFonts w:hint="eastAsia" w:ascii="宋体" w:hAnsi="宋体" w:cs="宋体"/>
                <w:b/>
                <w:bCs/>
                <w:kern w:val="0"/>
                <w:sz w:val="21"/>
                <w:szCs w:val="21"/>
                <w:lang w:bidi="ar"/>
              </w:rPr>
              <w:t>标准号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373" w:type="pct"/>
            <w:tcBorders>
              <w:top w:val="single" w:color="auto" w:sz="4" w:space="0"/>
              <w:left w:val="single" w:color="auto" w:sz="12" w:space="0"/>
              <w:bottom w:val="single" w:color="auto" w:sz="4" w:space="0"/>
              <w:right w:val="single" w:color="auto" w:sz="4" w:space="0"/>
            </w:tcBorders>
            <w:shd w:val="clear" w:color="auto" w:fill="auto"/>
            <w:vAlign w:val="center"/>
          </w:tcPr>
          <w:p>
            <w:pPr>
              <w:widowControl/>
              <w:numPr>
                <w:ilvl w:val="0"/>
                <w:numId w:val="4"/>
              </w:numPr>
              <w:tabs>
                <w:tab w:val="left" w:pos="397"/>
                <w:tab w:val="clear" w:pos="0"/>
              </w:tabs>
              <w:adjustRightInd w:val="0"/>
              <w:snapToGrid w:val="0"/>
              <w:spacing w:line="240" w:lineRule="auto"/>
              <w:ind w:firstLine="0" w:firstLineChars="0"/>
              <w:jc w:val="center"/>
              <w:textAlignment w:val="center"/>
              <w:rPr>
                <w:rFonts w:ascii="宋体" w:hAnsi="宋体" w:eastAsia="宋体" w:cs="宋体"/>
                <w:kern w:val="0"/>
                <w:sz w:val="21"/>
                <w:szCs w:val="21"/>
              </w:rPr>
            </w:pPr>
          </w:p>
        </w:tc>
        <w:tc>
          <w:tcPr>
            <w:tcW w:w="338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lang w:bidi="ar"/>
              </w:rPr>
            </w:pPr>
            <w:r>
              <w:rPr>
                <w:rFonts w:hint="eastAsia" w:ascii="宋体" w:hAnsi="宋体" w:cs="宋体"/>
                <w:color w:val="000000"/>
                <w:kern w:val="0"/>
                <w:sz w:val="21"/>
                <w:szCs w:val="21"/>
                <w:lang w:bidi="ar"/>
              </w:rPr>
              <w:t>《安全标志及其使用导则》</w:t>
            </w:r>
          </w:p>
        </w:tc>
        <w:tc>
          <w:tcPr>
            <w:tcW w:w="1244" w:type="pct"/>
            <w:tcBorders>
              <w:top w:val="single" w:color="auto" w:sz="4" w:space="0"/>
              <w:left w:val="single" w:color="auto" w:sz="4" w:space="0"/>
              <w:bottom w:val="single" w:color="auto" w:sz="4" w:space="0"/>
              <w:right w:val="single" w:color="auto" w:sz="12"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lang w:bidi="ar"/>
              </w:rPr>
            </w:pPr>
            <w:r>
              <w:rPr>
                <w:rFonts w:hint="eastAsia" w:ascii="宋体" w:hAnsi="宋体" w:cs="宋体"/>
                <w:color w:val="000000"/>
                <w:kern w:val="0"/>
                <w:sz w:val="21"/>
                <w:szCs w:val="21"/>
                <w:lang w:bidi="ar"/>
              </w:rPr>
              <w:t>GB 2894-2008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3" w:type="pct"/>
            <w:tcBorders>
              <w:top w:val="single" w:color="auto" w:sz="4" w:space="0"/>
              <w:left w:val="single" w:color="auto" w:sz="12" w:space="0"/>
              <w:bottom w:val="single" w:color="auto" w:sz="4" w:space="0"/>
              <w:right w:val="single" w:color="auto" w:sz="4" w:space="0"/>
            </w:tcBorders>
            <w:shd w:val="clear" w:color="auto" w:fill="auto"/>
            <w:vAlign w:val="center"/>
          </w:tcPr>
          <w:p>
            <w:pPr>
              <w:widowControl/>
              <w:numPr>
                <w:ilvl w:val="0"/>
                <w:numId w:val="4"/>
              </w:numPr>
              <w:tabs>
                <w:tab w:val="left" w:pos="397"/>
                <w:tab w:val="clear" w:pos="0"/>
              </w:tabs>
              <w:adjustRightInd w:val="0"/>
              <w:snapToGrid w:val="0"/>
              <w:spacing w:line="240" w:lineRule="auto"/>
              <w:ind w:firstLine="0" w:firstLineChars="0"/>
              <w:jc w:val="center"/>
              <w:textAlignment w:val="center"/>
              <w:rPr>
                <w:rFonts w:ascii="宋体" w:hAnsi="宋体" w:eastAsia="宋体" w:cs="宋体"/>
                <w:kern w:val="0"/>
                <w:sz w:val="21"/>
                <w:szCs w:val="21"/>
              </w:rPr>
            </w:pPr>
          </w:p>
        </w:tc>
        <w:tc>
          <w:tcPr>
            <w:tcW w:w="338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lang w:bidi="ar"/>
              </w:rPr>
            </w:pPr>
            <w:r>
              <w:rPr>
                <w:rFonts w:hint="eastAsia" w:ascii="宋体" w:hAnsi="宋体" w:cs="宋体"/>
                <w:color w:val="000000"/>
                <w:kern w:val="0"/>
                <w:sz w:val="21"/>
                <w:szCs w:val="21"/>
                <w:lang w:bidi="ar"/>
              </w:rPr>
              <w:t>《安全色》</w:t>
            </w:r>
          </w:p>
        </w:tc>
        <w:tc>
          <w:tcPr>
            <w:tcW w:w="1244" w:type="pct"/>
            <w:tcBorders>
              <w:top w:val="single" w:color="auto" w:sz="4" w:space="0"/>
              <w:left w:val="single" w:color="auto" w:sz="4" w:space="0"/>
              <w:bottom w:val="single" w:color="auto" w:sz="4" w:space="0"/>
              <w:right w:val="single" w:color="auto" w:sz="12"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lang w:bidi="ar"/>
              </w:rPr>
            </w:pPr>
            <w:r>
              <w:rPr>
                <w:rFonts w:hint="eastAsia" w:ascii="宋体" w:hAnsi="宋体" w:cs="宋体"/>
                <w:color w:val="000000"/>
                <w:kern w:val="0"/>
                <w:sz w:val="21"/>
                <w:szCs w:val="21"/>
                <w:lang w:bidi="ar"/>
              </w:rPr>
              <w:t>GB 2893-2008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3" w:type="pct"/>
            <w:tcBorders>
              <w:top w:val="single" w:color="auto" w:sz="4" w:space="0"/>
              <w:left w:val="single" w:color="auto" w:sz="12" w:space="0"/>
              <w:bottom w:val="single" w:color="auto" w:sz="4" w:space="0"/>
              <w:right w:val="single" w:color="auto" w:sz="4" w:space="0"/>
            </w:tcBorders>
            <w:shd w:val="clear" w:color="auto" w:fill="auto"/>
            <w:vAlign w:val="center"/>
          </w:tcPr>
          <w:p>
            <w:pPr>
              <w:widowControl/>
              <w:numPr>
                <w:ilvl w:val="0"/>
                <w:numId w:val="4"/>
              </w:numPr>
              <w:tabs>
                <w:tab w:val="left" w:pos="397"/>
                <w:tab w:val="clear" w:pos="0"/>
              </w:tabs>
              <w:adjustRightInd w:val="0"/>
              <w:snapToGrid w:val="0"/>
              <w:spacing w:line="240" w:lineRule="auto"/>
              <w:ind w:firstLine="0" w:firstLineChars="0"/>
              <w:jc w:val="center"/>
              <w:textAlignment w:val="center"/>
              <w:rPr>
                <w:rFonts w:ascii="宋体" w:hAnsi="宋体" w:eastAsia="宋体" w:cs="宋体"/>
                <w:kern w:val="0"/>
                <w:sz w:val="21"/>
                <w:szCs w:val="21"/>
              </w:rPr>
            </w:pPr>
          </w:p>
        </w:tc>
        <w:tc>
          <w:tcPr>
            <w:tcW w:w="338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《常用化学危险品储存通则》</w:t>
            </w:r>
          </w:p>
        </w:tc>
        <w:tc>
          <w:tcPr>
            <w:tcW w:w="1244" w:type="pct"/>
            <w:tcBorders>
              <w:top w:val="single" w:color="auto" w:sz="4" w:space="0"/>
              <w:left w:val="single" w:color="auto" w:sz="4" w:space="0"/>
              <w:bottom w:val="single" w:color="auto" w:sz="4" w:space="0"/>
              <w:right w:val="single" w:color="auto" w:sz="12"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GB 15603-2022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3" w:type="pct"/>
            <w:tcBorders>
              <w:top w:val="single" w:color="auto" w:sz="4" w:space="0"/>
              <w:left w:val="single" w:color="auto" w:sz="12" w:space="0"/>
              <w:bottom w:val="single" w:color="auto" w:sz="4" w:space="0"/>
              <w:right w:val="single" w:color="auto" w:sz="4" w:space="0"/>
            </w:tcBorders>
            <w:shd w:val="clear" w:color="auto" w:fill="auto"/>
            <w:vAlign w:val="center"/>
          </w:tcPr>
          <w:p>
            <w:pPr>
              <w:widowControl/>
              <w:numPr>
                <w:ilvl w:val="0"/>
                <w:numId w:val="4"/>
              </w:numPr>
              <w:tabs>
                <w:tab w:val="left" w:pos="397"/>
                <w:tab w:val="clear" w:pos="0"/>
              </w:tabs>
              <w:adjustRightInd w:val="0"/>
              <w:snapToGrid w:val="0"/>
              <w:spacing w:line="240" w:lineRule="auto"/>
              <w:ind w:firstLine="0" w:firstLineChars="0"/>
              <w:jc w:val="center"/>
              <w:textAlignment w:val="center"/>
              <w:rPr>
                <w:rFonts w:ascii="宋体" w:hAnsi="宋体" w:eastAsia="宋体" w:cs="宋体"/>
                <w:kern w:val="0"/>
                <w:sz w:val="21"/>
                <w:szCs w:val="21"/>
              </w:rPr>
            </w:pPr>
          </w:p>
        </w:tc>
        <w:tc>
          <w:tcPr>
            <w:tcW w:w="338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《毒害性商品储存养护技术条件》</w:t>
            </w:r>
          </w:p>
        </w:tc>
        <w:tc>
          <w:tcPr>
            <w:tcW w:w="1244" w:type="pct"/>
            <w:tcBorders>
              <w:top w:val="single" w:color="auto" w:sz="4" w:space="0"/>
              <w:left w:val="single" w:color="auto" w:sz="4" w:space="0"/>
              <w:bottom w:val="single" w:color="auto" w:sz="4" w:space="0"/>
              <w:right w:val="single" w:color="auto" w:sz="12"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GB 17916-2013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3" w:type="pct"/>
            <w:tcBorders>
              <w:top w:val="single" w:color="auto" w:sz="4" w:space="0"/>
              <w:left w:val="single" w:color="auto" w:sz="12" w:space="0"/>
              <w:bottom w:val="single" w:color="auto" w:sz="4" w:space="0"/>
              <w:right w:val="single" w:color="auto" w:sz="4" w:space="0"/>
            </w:tcBorders>
            <w:shd w:val="clear" w:color="auto" w:fill="auto"/>
            <w:vAlign w:val="center"/>
          </w:tcPr>
          <w:p>
            <w:pPr>
              <w:widowControl/>
              <w:numPr>
                <w:ilvl w:val="0"/>
                <w:numId w:val="4"/>
              </w:numPr>
              <w:tabs>
                <w:tab w:val="left" w:pos="397"/>
                <w:tab w:val="clear" w:pos="0"/>
              </w:tabs>
              <w:adjustRightInd w:val="0"/>
              <w:snapToGrid w:val="0"/>
              <w:spacing w:line="240" w:lineRule="auto"/>
              <w:ind w:firstLine="0" w:firstLineChars="0"/>
              <w:jc w:val="center"/>
              <w:textAlignment w:val="center"/>
              <w:rPr>
                <w:rFonts w:ascii="宋体" w:hAnsi="宋体" w:eastAsia="宋体" w:cs="宋体"/>
                <w:kern w:val="0"/>
                <w:sz w:val="21"/>
                <w:szCs w:val="21"/>
              </w:rPr>
            </w:pPr>
          </w:p>
        </w:tc>
        <w:tc>
          <w:tcPr>
            <w:tcW w:w="338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《防止静电事故通用导则》</w:t>
            </w:r>
          </w:p>
        </w:tc>
        <w:tc>
          <w:tcPr>
            <w:tcW w:w="1244" w:type="pct"/>
            <w:tcBorders>
              <w:top w:val="single" w:color="auto" w:sz="4" w:space="0"/>
              <w:left w:val="single" w:color="auto" w:sz="4" w:space="0"/>
              <w:bottom w:val="single" w:color="auto" w:sz="4" w:space="0"/>
              <w:right w:val="single" w:color="auto" w:sz="12"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GB 12158-2006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3" w:type="pct"/>
            <w:tcBorders>
              <w:top w:val="single" w:color="auto" w:sz="4" w:space="0"/>
              <w:left w:val="single" w:color="auto" w:sz="12" w:space="0"/>
              <w:bottom w:val="single" w:color="auto" w:sz="4" w:space="0"/>
              <w:right w:val="single" w:color="auto" w:sz="4" w:space="0"/>
            </w:tcBorders>
            <w:shd w:val="clear" w:color="auto" w:fill="auto"/>
            <w:vAlign w:val="center"/>
          </w:tcPr>
          <w:p>
            <w:pPr>
              <w:widowControl/>
              <w:numPr>
                <w:ilvl w:val="0"/>
                <w:numId w:val="4"/>
              </w:numPr>
              <w:tabs>
                <w:tab w:val="left" w:pos="397"/>
                <w:tab w:val="clear" w:pos="0"/>
              </w:tabs>
              <w:adjustRightInd w:val="0"/>
              <w:snapToGrid w:val="0"/>
              <w:spacing w:line="240" w:lineRule="auto"/>
              <w:ind w:firstLine="0" w:firstLineChars="0"/>
              <w:jc w:val="center"/>
              <w:textAlignment w:val="center"/>
              <w:rPr>
                <w:rFonts w:ascii="宋体" w:hAnsi="宋体" w:eastAsia="宋体" w:cs="宋体"/>
                <w:kern w:val="0"/>
                <w:sz w:val="21"/>
                <w:szCs w:val="21"/>
              </w:rPr>
            </w:pPr>
          </w:p>
        </w:tc>
        <w:tc>
          <w:tcPr>
            <w:tcW w:w="338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《粉尘防爆安全规范》</w:t>
            </w:r>
          </w:p>
        </w:tc>
        <w:tc>
          <w:tcPr>
            <w:tcW w:w="1244" w:type="pct"/>
            <w:tcBorders>
              <w:top w:val="single" w:color="auto" w:sz="4" w:space="0"/>
              <w:left w:val="single" w:color="auto" w:sz="4" w:space="0"/>
              <w:bottom w:val="single" w:color="auto" w:sz="4" w:space="0"/>
              <w:right w:val="single" w:color="auto" w:sz="12"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GB 15577-2018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3" w:type="pct"/>
            <w:tcBorders>
              <w:top w:val="single" w:color="auto" w:sz="4" w:space="0"/>
              <w:left w:val="single" w:color="auto" w:sz="12" w:space="0"/>
              <w:bottom w:val="single" w:color="auto" w:sz="4" w:space="0"/>
              <w:right w:val="single" w:color="auto" w:sz="4" w:space="0"/>
            </w:tcBorders>
            <w:shd w:val="clear" w:color="auto" w:fill="auto"/>
            <w:vAlign w:val="center"/>
          </w:tcPr>
          <w:p>
            <w:pPr>
              <w:widowControl/>
              <w:numPr>
                <w:ilvl w:val="0"/>
                <w:numId w:val="4"/>
              </w:numPr>
              <w:tabs>
                <w:tab w:val="left" w:pos="397"/>
                <w:tab w:val="clear" w:pos="0"/>
              </w:tabs>
              <w:adjustRightInd w:val="0"/>
              <w:snapToGrid w:val="0"/>
              <w:spacing w:line="240" w:lineRule="auto"/>
              <w:ind w:firstLine="0" w:firstLineChars="0"/>
              <w:jc w:val="center"/>
              <w:textAlignment w:val="center"/>
              <w:rPr>
                <w:rFonts w:ascii="宋体" w:hAnsi="宋体" w:eastAsia="宋体" w:cs="宋体"/>
                <w:kern w:val="0"/>
                <w:sz w:val="21"/>
                <w:szCs w:val="21"/>
              </w:rPr>
            </w:pPr>
          </w:p>
        </w:tc>
        <w:tc>
          <w:tcPr>
            <w:tcW w:w="338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《腐蚀性商品储存养护技术条件》</w:t>
            </w:r>
          </w:p>
        </w:tc>
        <w:tc>
          <w:tcPr>
            <w:tcW w:w="1244" w:type="pct"/>
            <w:tcBorders>
              <w:top w:val="single" w:color="auto" w:sz="4" w:space="0"/>
              <w:left w:val="single" w:color="auto" w:sz="4" w:space="0"/>
              <w:bottom w:val="single" w:color="auto" w:sz="4" w:space="0"/>
              <w:right w:val="single" w:color="auto" w:sz="12"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GB 17915-2013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3" w:type="pct"/>
            <w:tcBorders>
              <w:top w:val="single" w:color="auto" w:sz="4" w:space="0"/>
              <w:left w:val="single" w:color="auto" w:sz="12" w:space="0"/>
              <w:bottom w:val="single" w:color="auto" w:sz="4" w:space="0"/>
              <w:right w:val="single" w:color="auto" w:sz="4" w:space="0"/>
            </w:tcBorders>
            <w:shd w:val="clear" w:color="auto" w:fill="auto"/>
            <w:vAlign w:val="center"/>
          </w:tcPr>
          <w:p>
            <w:pPr>
              <w:widowControl/>
              <w:numPr>
                <w:ilvl w:val="0"/>
                <w:numId w:val="4"/>
              </w:numPr>
              <w:tabs>
                <w:tab w:val="left" w:pos="397"/>
                <w:tab w:val="clear" w:pos="0"/>
              </w:tabs>
              <w:adjustRightInd w:val="0"/>
              <w:snapToGrid w:val="0"/>
              <w:spacing w:line="240" w:lineRule="auto"/>
              <w:ind w:firstLine="0" w:firstLineChars="0"/>
              <w:jc w:val="center"/>
              <w:textAlignment w:val="center"/>
              <w:rPr>
                <w:rFonts w:ascii="宋体" w:hAnsi="宋体" w:eastAsia="宋体" w:cs="宋体"/>
                <w:kern w:val="0"/>
                <w:sz w:val="21"/>
                <w:szCs w:val="21"/>
              </w:rPr>
            </w:pPr>
          </w:p>
        </w:tc>
        <w:tc>
          <w:tcPr>
            <w:tcW w:w="338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《钢结构设计标准》</w:t>
            </w:r>
          </w:p>
        </w:tc>
        <w:tc>
          <w:tcPr>
            <w:tcW w:w="1244" w:type="pct"/>
            <w:tcBorders>
              <w:top w:val="single" w:color="auto" w:sz="4" w:space="0"/>
              <w:left w:val="single" w:color="auto" w:sz="4" w:space="0"/>
              <w:bottom w:val="single" w:color="auto" w:sz="4" w:space="0"/>
              <w:right w:val="single" w:color="auto" w:sz="12"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GB 50017-2017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3" w:type="pct"/>
            <w:tcBorders>
              <w:top w:val="single" w:color="auto" w:sz="4" w:space="0"/>
              <w:left w:val="single" w:color="auto" w:sz="12" w:space="0"/>
              <w:bottom w:val="single" w:color="auto" w:sz="4" w:space="0"/>
              <w:right w:val="single" w:color="auto" w:sz="4" w:space="0"/>
            </w:tcBorders>
            <w:shd w:val="clear" w:color="auto" w:fill="auto"/>
            <w:vAlign w:val="center"/>
          </w:tcPr>
          <w:p>
            <w:pPr>
              <w:widowControl/>
              <w:numPr>
                <w:ilvl w:val="0"/>
                <w:numId w:val="4"/>
              </w:numPr>
              <w:tabs>
                <w:tab w:val="left" w:pos="397"/>
                <w:tab w:val="clear" w:pos="0"/>
              </w:tabs>
              <w:adjustRightInd w:val="0"/>
              <w:snapToGrid w:val="0"/>
              <w:spacing w:line="240" w:lineRule="auto"/>
              <w:ind w:firstLine="0" w:firstLineChars="0"/>
              <w:jc w:val="center"/>
              <w:textAlignment w:val="center"/>
              <w:rPr>
                <w:rFonts w:ascii="宋体" w:hAnsi="宋体" w:eastAsia="宋体" w:cs="宋体"/>
                <w:kern w:val="0"/>
                <w:sz w:val="21"/>
                <w:szCs w:val="21"/>
              </w:rPr>
            </w:pPr>
          </w:p>
        </w:tc>
        <w:tc>
          <w:tcPr>
            <w:tcW w:w="338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《个体防护装备配备规范第1部分：总则》</w:t>
            </w:r>
          </w:p>
        </w:tc>
        <w:tc>
          <w:tcPr>
            <w:tcW w:w="1244" w:type="pct"/>
            <w:tcBorders>
              <w:top w:val="single" w:color="auto" w:sz="4" w:space="0"/>
              <w:left w:val="single" w:color="auto" w:sz="4" w:space="0"/>
              <w:bottom w:val="single" w:color="auto" w:sz="4" w:space="0"/>
              <w:right w:val="single" w:color="auto" w:sz="12"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GB 39800.1-2020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3" w:type="pct"/>
            <w:tcBorders>
              <w:top w:val="single" w:color="auto" w:sz="4" w:space="0"/>
              <w:left w:val="single" w:color="auto" w:sz="12" w:space="0"/>
              <w:bottom w:val="single" w:color="auto" w:sz="4" w:space="0"/>
              <w:right w:val="single" w:color="auto" w:sz="4" w:space="0"/>
            </w:tcBorders>
            <w:shd w:val="clear" w:color="auto" w:fill="auto"/>
            <w:vAlign w:val="center"/>
          </w:tcPr>
          <w:p>
            <w:pPr>
              <w:widowControl/>
              <w:numPr>
                <w:ilvl w:val="0"/>
                <w:numId w:val="4"/>
              </w:numPr>
              <w:tabs>
                <w:tab w:val="left" w:pos="397"/>
                <w:tab w:val="clear" w:pos="0"/>
              </w:tabs>
              <w:adjustRightInd w:val="0"/>
              <w:snapToGrid w:val="0"/>
              <w:spacing w:line="240" w:lineRule="auto"/>
              <w:ind w:firstLine="0" w:firstLineChars="0"/>
              <w:jc w:val="center"/>
              <w:textAlignment w:val="center"/>
              <w:rPr>
                <w:rFonts w:ascii="宋体" w:hAnsi="宋体" w:eastAsia="宋体" w:cs="宋体"/>
                <w:kern w:val="0"/>
                <w:sz w:val="21"/>
                <w:szCs w:val="21"/>
              </w:rPr>
            </w:pPr>
          </w:p>
        </w:tc>
        <w:tc>
          <w:tcPr>
            <w:tcW w:w="338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《工业管道的基本识别色、识别符号和安全标识》</w:t>
            </w:r>
          </w:p>
        </w:tc>
        <w:tc>
          <w:tcPr>
            <w:tcW w:w="1244" w:type="pct"/>
            <w:tcBorders>
              <w:top w:val="single" w:color="auto" w:sz="4" w:space="0"/>
              <w:left w:val="single" w:color="auto" w:sz="4" w:space="0"/>
              <w:bottom w:val="single" w:color="auto" w:sz="4" w:space="0"/>
              <w:right w:val="single" w:color="auto" w:sz="12"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GB 7231-2003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3" w:type="pct"/>
            <w:tcBorders>
              <w:top w:val="single" w:color="auto" w:sz="4" w:space="0"/>
              <w:left w:val="single" w:color="auto" w:sz="12" w:space="0"/>
              <w:bottom w:val="single" w:color="auto" w:sz="4" w:space="0"/>
              <w:right w:val="single" w:color="auto" w:sz="4" w:space="0"/>
            </w:tcBorders>
            <w:shd w:val="clear" w:color="auto" w:fill="auto"/>
            <w:vAlign w:val="center"/>
          </w:tcPr>
          <w:p>
            <w:pPr>
              <w:widowControl/>
              <w:numPr>
                <w:ilvl w:val="0"/>
                <w:numId w:val="4"/>
              </w:numPr>
              <w:tabs>
                <w:tab w:val="left" w:pos="397"/>
                <w:tab w:val="clear" w:pos="0"/>
              </w:tabs>
              <w:adjustRightInd w:val="0"/>
              <w:snapToGrid w:val="0"/>
              <w:spacing w:line="240" w:lineRule="auto"/>
              <w:ind w:firstLine="0" w:firstLineChars="0"/>
              <w:jc w:val="center"/>
              <w:textAlignment w:val="center"/>
              <w:rPr>
                <w:rFonts w:ascii="宋体" w:hAnsi="宋体" w:eastAsia="宋体" w:cs="宋体"/>
                <w:kern w:val="0"/>
                <w:sz w:val="21"/>
                <w:szCs w:val="21"/>
              </w:rPr>
            </w:pPr>
          </w:p>
        </w:tc>
        <w:tc>
          <w:tcPr>
            <w:tcW w:w="338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《工业建筑防腐蚀设计标准》</w:t>
            </w:r>
          </w:p>
        </w:tc>
        <w:tc>
          <w:tcPr>
            <w:tcW w:w="1244" w:type="pct"/>
            <w:tcBorders>
              <w:top w:val="single" w:color="auto" w:sz="4" w:space="0"/>
              <w:left w:val="single" w:color="auto" w:sz="4" w:space="0"/>
              <w:bottom w:val="single" w:color="auto" w:sz="4" w:space="0"/>
              <w:right w:val="single" w:color="auto" w:sz="12"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GB/T50046-2018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3" w:type="pct"/>
            <w:tcBorders>
              <w:top w:val="single" w:color="auto" w:sz="4" w:space="0"/>
              <w:left w:val="single" w:color="auto" w:sz="12" w:space="0"/>
              <w:bottom w:val="single" w:color="auto" w:sz="4" w:space="0"/>
              <w:right w:val="single" w:color="auto" w:sz="4" w:space="0"/>
            </w:tcBorders>
            <w:shd w:val="clear" w:color="auto" w:fill="auto"/>
            <w:vAlign w:val="center"/>
          </w:tcPr>
          <w:p>
            <w:pPr>
              <w:widowControl/>
              <w:numPr>
                <w:ilvl w:val="0"/>
                <w:numId w:val="4"/>
              </w:numPr>
              <w:tabs>
                <w:tab w:val="left" w:pos="397"/>
                <w:tab w:val="clear" w:pos="0"/>
              </w:tabs>
              <w:adjustRightInd w:val="0"/>
              <w:snapToGrid w:val="0"/>
              <w:spacing w:line="240" w:lineRule="auto"/>
              <w:ind w:firstLine="0" w:firstLineChars="0"/>
              <w:jc w:val="center"/>
              <w:textAlignment w:val="center"/>
              <w:rPr>
                <w:rFonts w:ascii="宋体" w:hAnsi="宋体" w:eastAsia="宋体" w:cs="宋体"/>
                <w:kern w:val="0"/>
                <w:sz w:val="21"/>
                <w:szCs w:val="21"/>
              </w:rPr>
            </w:pPr>
          </w:p>
        </w:tc>
        <w:tc>
          <w:tcPr>
            <w:tcW w:w="338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《工业金属管道工程施工规范》</w:t>
            </w:r>
          </w:p>
        </w:tc>
        <w:tc>
          <w:tcPr>
            <w:tcW w:w="1244" w:type="pct"/>
            <w:tcBorders>
              <w:top w:val="single" w:color="auto" w:sz="4" w:space="0"/>
              <w:left w:val="single" w:color="auto" w:sz="4" w:space="0"/>
              <w:bottom w:val="single" w:color="auto" w:sz="4" w:space="0"/>
              <w:right w:val="single" w:color="auto" w:sz="12"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GB 50235-2010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3" w:type="pct"/>
            <w:tcBorders>
              <w:top w:val="single" w:color="auto" w:sz="4" w:space="0"/>
              <w:left w:val="single" w:color="auto" w:sz="12" w:space="0"/>
              <w:bottom w:val="single" w:color="auto" w:sz="4" w:space="0"/>
              <w:right w:val="single" w:color="auto" w:sz="4" w:space="0"/>
            </w:tcBorders>
            <w:shd w:val="clear" w:color="auto" w:fill="auto"/>
            <w:vAlign w:val="center"/>
          </w:tcPr>
          <w:p>
            <w:pPr>
              <w:widowControl/>
              <w:numPr>
                <w:ilvl w:val="0"/>
                <w:numId w:val="4"/>
              </w:numPr>
              <w:tabs>
                <w:tab w:val="left" w:pos="397"/>
                <w:tab w:val="clear" w:pos="0"/>
              </w:tabs>
              <w:adjustRightInd w:val="0"/>
              <w:snapToGrid w:val="0"/>
              <w:spacing w:line="240" w:lineRule="auto"/>
              <w:ind w:firstLine="0" w:firstLineChars="0"/>
              <w:jc w:val="center"/>
              <w:textAlignment w:val="center"/>
              <w:rPr>
                <w:rFonts w:ascii="宋体" w:hAnsi="宋体" w:eastAsia="宋体" w:cs="宋体"/>
                <w:kern w:val="0"/>
                <w:sz w:val="21"/>
                <w:szCs w:val="21"/>
              </w:rPr>
            </w:pPr>
          </w:p>
        </w:tc>
        <w:tc>
          <w:tcPr>
            <w:tcW w:w="338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《工业企业厂内铁路、道路运输安全规程》</w:t>
            </w:r>
          </w:p>
        </w:tc>
        <w:tc>
          <w:tcPr>
            <w:tcW w:w="1244" w:type="pct"/>
            <w:tcBorders>
              <w:top w:val="single" w:color="auto" w:sz="4" w:space="0"/>
              <w:left w:val="single" w:color="auto" w:sz="4" w:space="0"/>
              <w:bottom w:val="single" w:color="auto" w:sz="4" w:space="0"/>
              <w:right w:val="single" w:color="auto" w:sz="12"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GB 4387-2008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3" w:type="pct"/>
            <w:tcBorders>
              <w:top w:val="single" w:color="auto" w:sz="4" w:space="0"/>
              <w:left w:val="single" w:color="auto" w:sz="12" w:space="0"/>
              <w:bottom w:val="single" w:color="auto" w:sz="4" w:space="0"/>
              <w:right w:val="single" w:color="auto" w:sz="4" w:space="0"/>
            </w:tcBorders>
            <w:shd w:val="clear" w:color="auto" w:fill="auto"/>
            <w:vAlign w:val="center"/>
          </w:tcPr>
          <w:p>
            <w:pPr>
              <w:widowControl/>
              <w:numPr>
                <w:ilvl w:val="0"/>
                <w:numId w:val="4"/>
              </w:numPr>
              <w:tabs>
                <w:tab w:val="left" w:pos="397"/>
                <w:tab w:val="clear" w:pos="0"/>
              </w:tabs>
              <w:adjustRightInd w:val="0"/>
              <w:snapToGrid w:val="0"/>
              <w:spacing w:line="240" w:lineRule="auto"/>
              <w:ind w:firstLine="0" w:firstLineChars="0"/>
              <w:jc w:val="center"/>
              <w:textAlignment w:val="center"/>
              <w:rPr>
                <w:rFonts w:ascii="宋体" w:hAnsi="宋体" w:eastAsia="宋体" w:cs="宋体"/>
                <w:kern w:val="0"/>
                <w:sz w:val="21"/>
                <w:szCs w:val="21"/>
              </w:rPr>
            </w:pPr>
          </w:p>
        </w:tc>
        <w:tc>
          <w:tcPr>
            <w:tcW w:w="338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《工业企业总平面设计规范》</w:t>
            </w:r>
          </w:p>
        </w:tc>
        <w:tc>
          <w:tcPr>
            <w:tcW w:w="1244" w:type="pct"/>
            <w:tcBorders>
              <w:top w:val="single" w:color="auto" w:sz="4" w:space="0"/>
              <w:left w:val="single" w:color="auto" w:sz="4" w:space="0"/>
              <w:bottom w:val="single" w:color="auto" w:sz="4" w:space="0"/>
              <w:right w:val="single" w:color="auto" w:sz="12"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GB 50187-2012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3" w:type="pct"/>
            <w:tcBorders>
              <w:top w:val="single" w:color="auto" w:sz="4" w:space="0"/>
              <w:left w:val="single" w:color="auto" w:sz="12" w:space="0"/>
              <w:bottom w:val="single" w:color="auto" w:sz="4" w:space="0"/>
              <w:right w:val="single" w:color="auto" w:sz="4" w:space="0"/>
            </w:tcBorders>
            <w:shd w:val="clear" w:color="auto" w:fill="auto"/>
            <w:vAlign w:val="center"/>
          </w:tcPr>
          <w:p>
            <w:pPr>
              <w:widowControl/>
              <w:numPr>
                <w:ilvl w:val="0"/>
                <w:numId w:val="4"/>
              </w:numPr>
              <w:tabs>
                <w:tab w:val="left" w:pos="397"/>
                <w:tab w:val="clear" w:pos="0"/>
              </w:tabs>
              <w:adjustRightInd w:val="0"/>
              <w:snapToGrid w:val="0"/>
              <w:spacing w:line="240" w:lineRule="auto"/>
              <w:ind w:firstLine="0" w:firstLineChars="0"/>
              <w:jc w:val="center"/>
              <w:textAlignment w:val="center"/>
              <w:rPr>
                <w:rFonts w:ascii="宋体" w:hAnsi="宋体" w:eastAsia="宋体" w:cs="宋体"/>
                <w:kern w:val="0"/>
                <w:sz w:val="21"/>
                <w:szCs w:val="21"/>
              </w:rPr>
            </w:pPr>
          </w:p>
        </w:tc>
        <w:tc>
          <w:tcPr>
            <w:tcW w:w="338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《固定式钢梯及平台安全要求 第1部分：钢直梯》</w:t>
            </w:r>
          </w:p>
        </w:tc>
        <w:tc>
          <w:tcPr>
            <w:tcW w:w="1244" w:type="pct"/>
            <w:tcBorders>
              <w:top w:val="single" w:color="auto" w:sz="4" w:space="0"/>
              <w:left w:val="single" w:color="auto" w:sz="4" w:space="0"/>
              <w:bottom w:val="single" w:color="auto" w:sz="4" w:space="0"/>
              <w:right w:val="single" w:color="auto" w:sz="12"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GB 4053.1-2009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3" w:type="pct"/>
            <w:tcBorders>
              <w:top w:val="single" w:color="auto" w:sz="4" w:space="0"/>
              <w:left w:val="single" w:color="auto" w:sz="12" w:space="0"/>
              <w:bottom w:val="single" w:color="auto" w:sz="4" w:space="0"/>
              <w:right w:val="single" w:color="auto" w:sz="4" w:space="0"/>
            </w:tcBorders>
            <w:shd w:val="clear" w:color="auto" w:fill="auto"/>
            <w:vAlign w:val="center"/>
          </w:tcPr>
          <w:p>
            <w:pPr>
              <w:widowControl/>
              <w:numPr>
                <w:ilvl w:val="0"/>
                <w:numId w:val="4"/>
              </w:numPr>
              <w:tabs>
                <w:tab w:val="left" w:pos="397"/>
                <w:tab w:val="clear" w:pos="0"/>
              </w:tabs>
              <w:adjustRightInd w:val="0"/>
              <w:snapToGrid w:val="0"/>
              <w:spacing w:line="240" w:lineRule="auto"/>
              <w:ind w:firstLine="0" w:firstLineChars="0"/>
              <w:jc w:val="center"/>
              <w:textAlignment w:val="center"/>
              <w:rPr>
                <w:rFonts w:ascii="宋体" w:hAnsi="宋体" w:eastAsia="宋体" w:cs="宋体"/>
                <w:kern w:val="0"/>
                <w:sz w:val="21"/>
                <w:szCs w:val="21"/>
              </w:rPr>
            </w:pPr>
          </w:p>
        </w:tc>
        <w:tc>
          <w:tcPr>
            <w:tcW w:w="338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《固定式钢梯及平台安全要求 第2部分：钢斜梯》</w:t>
            </w:r>
          </w:p>
        </w:tc>
        <w:tc>
          <w:tcPr>
            <w:tcW w:w="1244" w:type="pct"/>
            <w:tcBorders>
              <w:top w:val="single" w:color="auto" w:sz="4" w:space="0"/>
              <w:left w:val="single" w:color="auto" w:sz="4" w:space="0"/>
              <w:bottom w:val="single" w:color="auto" w:sz="4" w:space="0"/>
              <w:right w:val="single" w:color="auto" w:sz="12"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GB 4053.2-2009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3" w:type="pct"/>
            <w:tcBorders>
              <w:top w:val="single" w:color="auto" w:sz="4" w:space="0"/>
              <w:left w:val="single" w:color="auto" w:sz="12" w:space="0"/>
              <w:bottom w:val="single" w:color="auto" w:sz="4" w:space="0"/>
              <w:right w:val="single" w:color="auto" w:sz="4" w:space="0"/>
            </w:tcBorders>
            <w:shd w:val="clear" w:color="auto" w:fill="auto"/>
            <w:vAlign w:val="center"/>
          </w:tcPr>
          <w:p>
            <w:pPr>
              <w:widowControl/>
              <w:numPr>
                <w:ilvl w:val="0"/>
                <w:numId w:val="4"/>
              </w:numPr>
              <w:tabs>
                <w:tab w:val="left" w:pos="397"/>
                <w:tab w:val="clear" w:pos="0"/>
              </w:tabs>
              <w:adjustRightInd w:val="0"/>
              <w:snapToGrid w:val="0"/>
              <w:spacing w:line="240" w:lineRule="auto"/>
              <w:ind w:firstLine="0" w:firstLineChars="0"/>
              <w:jc w:val="center"/>
              <w:textAlignment w:val="center"/>
              <w:rPr>
                <w:rFonts w:ascii="宋体" w:hAnsi="宋体" w:eastAsia="宋体" w:cs="宋体"/>
                <w:kern w:val="0"/>
                <w:sz w:val="21"/>
                <w:szCs w:val="21"/>
              </w:rPr>
            </w:pPr>
          </w:p>
        </w:tc>
        <w:tc>
          <w:tcPr>
            <w:tcW w:w="338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《固定式钢梯及平台安全要求 第3部分：工业防护栏杆及钢平台》</w:t>
            </w:r>
          </w:p>
        </w:tc>
        <w:tc>
          <w:tcPr>
            <w:tcW w:w="1244" w:type="pct"/>
            <w:tcBorders>
              <w:top w:val="single" w:color="auto" w:sz="4" w:space="0"/>
              <w:left w:val="single" w:color="auto" w:sz="4" w:space="0"/>
              <w:bottom w:val="single" w:color="auto" w:sz="4" w:space="0"/>
              <w:right w:val="single" w:color="auto" w:sz="12"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GB 4053.3-2009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73" w:type="pct"/>
            <w:tcBorders>
              <w:top w:val="single" w:color="auto" w:sz="4" w:space="0"/>
              <w:left w:val="single" w:color="auto" w:sz="12" w:space="0"/>
              <w:bottom w:val="single" w:color="auto" w:sz="4" w:space="0"/>
              <w:right w:val="single" w:color="auto" w:sz="4" w:space="0"/>
            </w:tcBorders>
            <w:shd w:val="clear" w:color="auto" w:fill="auto"/>
            <w:vAlign w:val="center"/>
          </w:tcPr>
          <w:p>
            <w:pPr>
              <w:widowControl/>
              <w:numPr>
                <w:ilvl w:val="0"/>
                <w:numId w:val="4"/>
              </w:numPr>
              <w:tabs>
                <w:tab w:val="left" w:pos="397"/>
                <w:tab w:val="clear" w:pos="0"/>
              </w:tabs>
              <w:adjustRightInd w:val="0"/>
              <w:snapToGrid w:val="0"/>
              <w:spacing w:line="240" w:lineRule="auto"/>
              <w:ind w:firstLine="0" w:firstLineChars="0"/>
              <w:jc w:val="center"/>
              <w:textAlignment w:val="center"/>
              <w:rPr>
                <w:rFonts w:ascii="宋体" w:hAnsi="宋体" w:eastAsia="宋体" w:cs="宋体"/>
                <w:kern w:val="0"/>
                <w:sz w:val="21"/>
                <w:szCs w:val="21"/>
              </w:rPr>
            </w:pPr>
          </w:p>
        </w:tc>
        <w:tc>
          <w:tcPr>
            <w:tcW w:w="338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《焊接与切割安全》</w:t>
            </w:r>
          </w:p>
        </w:tc>
        <w:tc>
          <w:tcPr>
            <w:tcW w:w="1244" w:type="pct"/>
            <w:tcBorders>
              <w:top w:val="single" w:color="auto" w:sz="4" w:space="0"/>
              <w:left w:val="single" w:color="auto" w:sz="4" w:space="0"/>
              <w:bottom w:val="single" w:color="auto" w:sz="4" w:space="0"/>
              <w:right w:val="single" w:color="auto" w:sz="12"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GB 9448-1999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3" w:type="pct"/>
            <w:tcBorders>
              <w:top w:val="single" w:color="auto" w:sz="4" w:space="0"/>
              <w:left w:val="single" w:color="auto" w:sz="12" w:space="0"/>
              <w:bottom w:val="single" w:color="auto" w:sz="4" w:space="0"/>
              <w:right w:val="single" w:color="auto" w:sz="4" w:space="0"/>
            </w:tcBorders>
            <w:shd w:val="clear" w:color="auto" w:fill="auto"/>
            <w:vAlign w:val="center"/>
          </w:tcPr>
          <w:p>
            <w:pPr>
              <w:widowControl/>
              <w:numPr>
                <w:ilvl w:val="0"/>
                <w:numId w:val="4"/>
              </w:numPr>
              <w:tabs>
                <w:tab w:val="left" w:pos="397"/>
                <w:tab w:val="clear" w:pos="0"/>
              </w:tabs>
              <w:adjustRightInd w:val="0"/>
              <w:snapToGrid w:val="0"/>
              <w:spacing w:line="240" w:lineRule="auto"/>
              <w:ind w:firstLine="0" w:firstLineChars="0"/>
              <w:jc w:val="center"/>
              <w:textAlignment w:val="center"/>
              <w:rPr>
                <w:rFonts w:ascii="宋体" w:hAnsi="宋体" w:eastAsia="宋体" w:cs="宋体"/>
                <w:kern w:val="0"/>
                <w:sz w:val="21"/>
                <w:szCs w:val="21"/>
              </w:rPr>
            </w:pPr>
          </w:p>
        </w:tc>
        <w:tc>
          <w:tcPr>
            <w:tcW w:w="338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《化学品安全标签编写规定》</w:t>
            </w:r>
          </w:p>
        </w:tc>
        <w:tc>
          <w:tcPr>
            <w:tcW w:w="1244" w:type="pct"/>
            <w:tcBorders>
              <w:top w:val="single" w:color="auto" w:sz="4" w:space="0"/>
              <w:left w:val="single" w:color="auto" w:sz="4" w:space="0"/>
              <w:bottom w:val="single" w:color="auto" w:sz="4" w:space="0"/>
              <w:right w:val="single" w:color="auto" w:sz="12"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GB 15258-2009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3" w:type="pct"/>
            <w:tcBorders>
              <w:top w:val="single" w:color="auto" w:sz="4" w:space="0"/>
              <w:left w:val="single" w:color="auto" w:sz="12" w:space="0"/>
              <w:bottom w:val="single" w:color="auto" w:sz="4" w:space="0"/>
              <w:right w:val="single" w:color="auto" w:sz="4" w:space="0"/>
            </w:tcBorders>
            <w:shd w:val="clear" w:color="auto" w:fill="auto"/>
            <w:vAlign w:val="center"/>
          </w:tcPr>
          <w:p>
            <w:pPr>
              <w:widowControl/>
              <w:numPr>
                <w:ilvl w:val="0"/>
                <w:numId w:val="4"/>
              </w:numPr>
              <w:tabs>
                <w:tab w:val="left" w:pos="397"/>
                <w:tab w:val="clear" w:pos="0"/>
              </w:tabs>
              <w:adjustRightInd w:val="0"/>
              <w:snapToGrid w:val="0"/>
              <w:spacing w:line="240" w:lineRule="auto"/>
              <w:ind w:firstLine="0" w:firstLineChars="0"/>
              <w:jc w:val="center"/>
              <w:textAlignment w:val="center"/>
              <w:rPr>
                <w:rFonts w:ascii="宋体" w:hAnsi="宋体" w:eastAsia="宋体" w:cs="宋体"/>
                <w:kern w:val="0"/>
                <w:sz w:val="21"/>
                <w:szCs w:val="21"/>
              </w:rPr>
            </w:pPr>
          </w:p>
        </w:tc>
        <w:tc>
          <w:tcPr>
            <w:tcW w:w="338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《化学品安全技术说明书 内容和项目顺序》</w:t>
            </w:r>
          </w:p>
        </w:tc>
        <w:tc>
          <w:tcPr>
            <w:tcW w:w="1244" w:type="pct"/>
            <w:tcBorders>
              <w:top w:val="single" w:color="auto" w:sz="4" w:space="0"/>
              <w:left w:val="single" w:color="auto" w:sz="4" w:space="0"/>
              <w:bottom w:val="single" w:color="auto" w:sz="4" w:space="0"/>
              <w:right w:val="single" w:color="auto" w:sz="12"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GB/T16483-2008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3" w:type="pct"/>
            <w:tcBorders>
              <w:top w:val="single" w:color="auto" w:sz="4" w:space="0"/>
              <w:left w:val="single" w:color="auto" w:sz="12" w:space="0"/>
              <w:bottom w:val="single" w:color="auto" w:sz="4" w:space="0"/>
              <w:right w:val="single" w:color="auto" w:sz="4" w:space="0"/>
            </w:tcBorders>
            <w:shd w:val="clear" w:color="auto" w:fill="auto"/>
            <w:vAlign w:val="center"/>
          </w:tcPr>
          <w:p>
            <w:pPr>
              <w:widowControl/>
              <w:numPr>
                <w:ilvl w:val="0"/>
                <w:numId w:val="4"/>
              </w:numPr>
              <w:tabs>
                <w:tab w:val="left" w:pos="397"/>
                <w:tab w:val="clear" w:pos="0"/>
              </w:tabs>
              <w:adjustRightInd w:val="0"/>
              <w:snapToGrid w:val="0"/>
              <w:spacing w:line="240" w:lineRule="auto"/>
              <w:ind w:firstLine="0" w:firstLineChars="0"/>
              <w:jc w:val="center"/>
              <w:textAlignment w:val="center"/>
              <w:rPr>
                <w:rFonts w:ascii="宋体" w:hAnsi="宋体" w:eastAsia="宋体" w:cs="宋体"/>
                <w:kern w:val="0"/>
                <w:sz w:val="21"/>
                <w:szCs w:val="21"/>
              </w:rPr>
            </w:pPr>
          </w:p>
        </w:tc>
        <w:tc>
          <w:tcPr>
            <w:tcW w:w="338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《化学品分类和危险性公示通则》</w:t>
            </w:r>
          </w:p>
        </w:tc>
        <w:tc>
          <w:tcPr>
            <w:tcW w:w="1244" w:type="pct"/>
            <w:tcBorders>
              <w:top w:val="single" w:color="auto" w:sz="4" w:space="0"/>
              <w:left w:val="single" w:color="auto" w:sz="4" w:space="0"/>
              <w:bottom w:val="single" w:color="auto" w:sz="4" w:space="0"/>
              <w:right w:val="single" w:color="auto" w:sz="12"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GB 13690-2009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3" w:type="pct"/>
            <w:tcBorders>
              <w:top w:val="single" w:color="auto" w:sz="4" w:space="0"/>
              <w:left w:val="single" w:color="auto" w:sz="12" w:space="0"/>
              <w:bottom w:val="single" w:color="auto" w:sz="4" w:space="0"/>
              <w:right w:val="single" w:color="auto" w:sz="4" w:space="0"/>
            </w:tcBorders>
            <w:shd w:val="clear" w:color="auto" w:fill="auto"/>
            <w:vAlign w:val="center"/>
          </w:tcPr>
          <w:p>
            <w:pPr>
              <w:widowControl/>
              <w:numPr>
                <w:ilvl w:val="0"/>
                <w:numId w:val="4"/>
              </w:numPr>
              <w:tabs>
                <w:tab w:val="left" w:pos="397"/>
                <w:tab w:val="clear" w:pos="0"/>
              </w:tabs>
              <w:adjustRightInd w:val="0"/>
              <w:snapToGrid w:val="0"/>
              <w:spacing w:line="240" w:lineRule="auto"/>
              <w:ind w:firstLine="0" w:firstLineChars="0"/>
              <w:jc w:val="center"/>
              <w:textAlignment w:val="center"/>
              <w:rPr>
                <w:rFonts w:ascii="宋体" w:hAnsi="宋体" w:eastAsia="宋体" w:cs="宋体"/>
                <w:kern w:val="0"/>
                <w:sz w:val="21"/>
                <w:szCs w:val="21"/>
              </w:rPr>
            </w:pPr>
          </w:p>
        </w:tc>
        <w:tc>
          <w:tcPr>
            <w:tcW w:w="338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《混凝土结构设计规范（2015年版）》</w:t>
            </w:r>
          </w:p>
        </w:tc>
        <w:tc>
          <w:tcPr>
            <w:tcW w:w="1244" w:type="pct"/>
            <w:tcBorders>
              <w:top w:val="single" w:color="auto" w:sz="4" w:space="0"/>
              <w:left w:val="single" w:color="auto" w:sz="4" w:space="0"/>
              <w:bottom w:val="single" w:color="auto" w:sz="4" w:space="0"/>
              <w:right w:val="single" w:color="auto" w:sz="12"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GB 50010-2010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3" w:type="pct"/>
            <w:tcBorders>
              <w:top w:val="single" w:color="auto" w:sz="4" w:space="0"/>
              <w:left w:val="single" w:color="auto" w:sz="12" w:space="0"/>
              <w:bottom w:val="single" w:color="auto" w:sz="4" w:space="0"/>
              <w:right w:val="single" w:color="auto" w:sz="4" w:space="0"/>
            </w:tcBorders>
            <w:shd w:val="clear" w:color="auto" w:fill="auto"/>
            <w:vAlign w:val="center"/>
          </w:tcPr>
          <w:p>
            <w:pPr>
              <w:widowControl/>
              <w:numPr>
                <w:ilvl w:val="0"/>
                <w:numId w:val="4"/>
              </w:numPr>
              <w:tabs>
                <w:tab w:val="left" w:pos="397"/>
                <w:tab w:val="clear" w:pos="0"/>
              </w:tabs>
              <w:adjustRightInd w:val="0"/>
              <w:snapToGrid w:val="0"/>
              <w:spacing w:line="240" w:lineRule="auto"/>
              <w:ind w:firstLine="0" w:firstLineChars="0"/>
              <w:jc w:val="center"/>
              <w:textAlignment w:val="center"/>
              <w:rPr>
                <w:rFonts w:ascii="宋体" w:hAnsi="宋体" w:eastAsia="宋体" w:cs="宋体"/>
                <w:kern w:val="0"/>
                <w:sz w:val="21"/>
                <w:szCs w:val="21"/>
              </w:rPr>
            </w:pPr>
          </w:p>
        </w:tc>
        <w:tc>
          <w:tcPr>
            <w:tcW w:w="338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《火灾自动报警系统设计规范》</w:t>
            </w:r>
          </w:p>
        </w:tc>
        <w:tc>
          <w:tcPr>
            <w:tcW w:w="1244" w:type="pct"/>
            <w:tcBorders>
              <w:top w:val="single" w:color="auto" w:sz="4" w:space="0"/>
              <w:left w:val="single" w:color="auto" w:sz="4" w:space="0"/>
              <w:bottom w:val="single" w:color="auto" w:sz="4" w:space="0"/>
              <w:right w:val="single" w:color="auto" w:sz="12"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GB 50116-2013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3" w:type="pct"/>
            <w:tcBorders>
              <w:top w:val="single" w:color="auto" w:sz="4" w:space="0"/>
              <w:left w:val="single" w:color="auto" w:sz="12" w:space="0"/>
              <w:bottom w:val="single" w:color="auto" w:sz="4" w:space="0"/>
              <w:right w:val="single" w:color="auto" w:sz="4" w:space="0"/>
            </w:tcBorders>
            <w:shd w:val="clear" w:color="auto" w:fill="auto"/>
            <w:vAlign w:val="center"/>
          </w:tcPr>
          <w:p>
            <w:pPr>
              <w:widowControl/>
              <w:numPr>
                <w:ilvl w:val="0"/>
                <w:numId w:val="4"/>
              </w:numPr>
              <w:tabs>
                <w:tab w:val="left" w:pos="397"/>
                <w:tab w:val="clear" w:pos="0"/>
              </w:tabs>
              <w:adjustRightInd w:val="0"/>
              <w:snapToGrid w:val="0"/>
              <w:spacing w:line="240" w:lineRule="auto"/>
              <w:ind w:firstLine="0" w:firstLineChars="0"/>
              <w:jc w:val="center"/>
              <w:textAlignment w:val="center"/>
              <w:rPr>
                <w:rFonts w:ascii="宋体" w:hAnsi="宋体" w:eastAsia="宋体" w:cs="宋体"/>
                <w:kern w:val="0"/>
                <w:sz w:val="21"/>
                <w:szCs w:val="21"/>
              </w:rPr>
            </w:pPr>
          </w:p>
        </w:tc>
        <w:tc>
          <w:tcPr>
            <w:tcW w:w="338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《机械安全防护装置 固定式与活动式防护装置设计与制造一般要求》</w:t>
            </w:r>
          </w:p>
        </w:tc>
        <w:tc>
          <w:tcPr>
            <w:tcW w:w="1244" w:type="pct"/>
            <w:tcBorders>
              <w:top w:val="single" w:color="auto" w:sz="4" w:space="0"/>
              <w:left w:val="single" w:color="auto" w:sz="4" w:space="0"/>
              <w:bottom w:val="single" w:color="auto" w:sz="4" w:space="0"/>
              <w:right w:val="single" w:color="auto" w:sz="12"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GB/T 8196-2018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3" w:type="pct"/>
            <w:tcBorders>
              <w:top w:val="single" w:color="auto" w:sz="4" w:space="0"/>
              <w:left w:val="single" w:color="auto" w:sz="12" w:space="0"/>
              <w:bottom w:val="single" w:color="auto" w:sz="4" w:space="0"/>
              <w:right w:val="single" w:color="auto" w:sz="4" w:space="0"/>
            </w:tcBorders>
            <w:shd w:val="clear" w:color="auto" w:fill="auto"/>
            <w:vAlign w:val="center"/>
          </w:tcPr>
          <w:p>
            <w:pPr>
              <w:widowControl/>
              <w:numPr>
                <w:ilvl w:val="0"/>
                <w:numId w:val="4"/>
              </w:numPr>
              <w:tabs>
                <w:tab w:val="left" w:pos="397"/>
                <w:tab w:val="clear" w:pos="0"/>
              </w:tabs>
              <w:adjustRightInd w:val="0"/>
              <w:snapToGrid w:val="0"/>
              <w:spacing w:line="240" w:lineRule="auto"/>
              <w:ind w:firstLine="0" w:firstLineChars="0"/>
              <w:jc w:val="center"/>
              <w:textAlignment w:val="center"/>
              <w:rPr>
                <w:rFonts w:ascii="宋体" w:hAnsi="宋体" w:eastAsia="宋体" w:cs="宋体"/>
                <w:kern w:val="0"/>
                <w:sz w:val="21"/>
                <w:szCs w:val="21"/>
              </w:rPr>
            </w:pPr>
          </w:p>
        </w:tc>
        <w:tc>
          <w:tcPr>
            <w:tcW w:w="338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lang w:bidi="ar"/>
              </w:rPr>
            </w:pPr>
            <w:r>
              <w:rPr>
                <w:rFonts w:hint="eastAsia" w:ascii="宋体" w:hAnsi="宋体" w:cs="宋体"/>
                <w:color w:val="000000"/>
                <w:kern w:val="0"/>
                <w:sz w:val="21"/>
                <w:szCs w:val="21"/>
                <w:lang w:bidi="ar"/>
              </w:rPr>
              <w:t>《继电保护和安全自动装置技术规程》</w:t>
            </w:r>
          </w:p>
        </w:tc>
        <w:tc>
          <w:tcPr>
            <w:tcW w:w="1244" w:type="pct"/>
            <w:tcBorders>
              <w:top w:val="single" w:color="auto" w:sz="4" w:space="0"/>
              <w:left w:val="single" w:color="auto" w:sz="4" w:space="0"/>
              <w:bottom w:val="single" w:color="auto" w:sz="4" w:space="0"/>
              <w:right w:val="single" w:color="auto" w:sz="12"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lang w:bidi="ar"/>
              </w:rPr>
            </w:pPr>
            <w:r>
              <w:rPr>
                <w:rFonts w:hint="eastAsia" w:ascii="宋体" w:hAnsi="宋体" w:cs="宋体"/>
                <w:color w:val="000000"/>
                <w:kern w:val="0"/>
                <w:sz w:val="21"/>
                <w:szCs w:val="21"/>
                <w:lang w:bidi="ar"/>
              </w:rPr>
              <w:t>GB/T 14285-2006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3" w:type="pct"/>
            <w:tcBorders>
              <w:top w:val="single" w:color="auto" w:sz="4" w:space="0"/>
              <w:left w:val="single" w:color="auto" w:sz="12" w:space="0"/>
              <w:bottom w:val="single" w:color="auto" w:sz="4" w:space="0"/>
              <w:right w:val="single" w:color="auto" w:sz="4" w:space="0"/>
            </w:tcBorders>
            <w:shd w:val="clear" w:color="auto" w:fill="auto"/>
            <w:vAlign w:val="center"/>
          </w:tcPr>
          <w:p>
            <w:pPr>
              <w:widowControl/>
              <w:numPr>
                <w:ilvl w:val="0"/>
                <w:numId w:val="4"/>
              </w:numPr>
              <w:tabs>
                <w:tab w:val="left" w:pos="397"/>
                <w:tab w:val="clear" w:pos="0"/>
              </w:tabs>
              <w:adjustRightInd w:val="0"/>
              <w:snapToGrid w:val="0"/>
              <w:spacing w:line="240" w:lineRule="auto"/>
              <w:ind w:firstLine="0" w:firstLineChars="0"/>
              <w:jc w:val="center"/>
              <w:textAlignment w:val="center"/>
              <w:rPr>
                <w:rFonts w:ascii="宋体" w:hAnsi="宋体" w:eastAsia="宋体" w:cs="宋体"/>
                <w:kern w:val="0"/>
                <w:sz w:val="21"/>
                <w:szCs w:val="21"/>
              </w:rPr>
            </w:pPr>
          </w:p>
        </w:tc>
        <w:tc>
          <w:tcPr>
            <w:tcW w:w="338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《加工中心 安全防护技术条件》</w:t>
            </w:r>
          </w:p>
        </w:tc>
        <w:tc>
          <w:tcPr>
            <w:tcW w:w="1244" w:type="pct"/>
            <w:tcBorders>
              <w:top w:val="single" w:color="auto" w:sz="4" w:space="0"/>
              <w:left w:val="single" w:color="auto" w:sz="4" w:space="0"/>
              <w:bottom w:val="single" w:color="auto" w:sz="4" w:space="0"/>
              <w:right w:val="single" w:color="auto" w:sz="12"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GB 18568-2001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3" w:type="pct"/>
            <w:tcBorders>
              <w:top w:val="single" w:color="auto" w:sz="4" w:space="0"/>
              <w:left w:val="single" w:color="auto" w:sz="12" w:space="0"/>
              <w:bottom w:val="single" w:color="auto" w:sz="4" w:space="0"/>
              <w:right w:val="single" w:color="auto" w:sz="4" w:space="0"/>
            </w:tcBorders>
            <w:shd w:val="clear" w:color="auto" w:fill="auto"/>
            <w:vAlign w:val="center"/>
          </w:tcPr>
          <w:p>
            <w:pPr>
              <w:widowControl/>
              <w:numPr>
                <w:ilvl w:val="0"/>
                <w:numId w:val="4"/>
              </w:numPr>
              <w:tabs>
                <w:tab w:val="left" w:pos="397"/>
                <w:tab w:val="clear" w:pos="0"/>
              </w:tabs>
              <w:adjustRightInd w:val="0"/>
              <w:snapToGrid w:val="0"/>
              <w:spacing w:line="240" w:lineRule="auto"/>
              <w:ind w:firstLine="0" w:firstLineChars="0"/>
              <w:jc w:val="center"/>
              <w:textAlignment w:val="center"/>
              <w:rPr>
                <w:rFonts w:ascii="宋体" w:hAnsi="宋体" w:eastAsia="宋体" w:cs="宋体"/>
                <w:kern w:val="0"/>
                <w:sz w:val="21"/>
                <w:szCs w:val="21"/>
              </w:rPr>
            </w:pPr>
          </w:p>
        </w:tc>
        <w:tc>
          <w:tcPr>
            <w:tcW w:w="338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《建筑采光设计标准》</w:t>
            </w:r>
          </w:p>
        </w:tc>
        <w:tc>
          <w:tcPr>
            <w:tcW w:w="1244" w:type="pct"/>
            <w:tcBorders>
              <w:top w:val="single" w:color="auto" w:sz="4" w:space="0"/>
              <w:left w:val="single" w:color="auto" w:sz="4" w:space="0"/>
              <w:bottom w:val="single" w:color="auto" w:sz="4" w:space="0"/>
              <w:right w:val="single" w:color="auto" w:sz="12"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GB 50033-2013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3" w:type="pct"/>
            <w:tcBorders>
              <w:top w:val="single" w:color="auto" w:sz="4" w:space="0"/>
              <w:left w:val="single" w:color="auto" w:sz="12" w:space="0"/>
              <w:bottom w:val="single" w:color="auto" w:sz="4" w:space="0"/>
              <w:right w:val="single" w:color="auto" w:sz="4" w:space="0"/>
            </w:tcBorders>
            <w:shd w:val="clear" w:color="auto" w:fill="auto"/>
            <w:vAlign w:val="center"/>
          </w:tcPr>
          <w:p>
            <w:pPr>
              <w:widowControl/>
              <w:numPr>
                <w:ilvl w:val="0"/>
                <w:numId w:val="4"/>
              </w:numPr>
              <w:tabs>
                <w:tab w:val="left" w:pos="397"/>
                <w:tab w:val="clear" w:pos="0"/>
              </w:tabs>
              <w:adjustRightInd w:val="0"/>
              <w:snapToGrid w:val="0"/>
              <w:spacing w:line="240" w:lineRule="auto"/>
              <w:ind w:firstLine="0" w:firstLineChars="0"/>
              <w:jc w:val="center"/>
              <w:textAlignment w:val="center"/>
              <w:rPr>
                <w:rFonts w:ascii="宋体" w:hAnsi="宋体" w:eastAsia="宋体" w:cs="宋体"/>
                <w:kern w:val="0"/>
                <w:sz w:val="21"/>
                <w:szCs w:val="21"/>
              </w:rPr>
            </w:pPr>
          </w:p>
        </w:tc>
        <w:tc>
          <w:tcPr>
            <w:tcW w:w="338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《建筑防腐蚀工程施工规范》</w:t>
            </w:r>
          </w:p>
        </w:tc>
        <w:tc>
          <w:tcPr>
            <w:tcW w:w="1244" w:type="pct"/>
            <w:tcBorders>
              <w:top w:val="single" w:color="auto" w:sz="4" w:space="0"/>
              <w:left w:val="single" w:color="auto" w:sz="4" w:space="0"/>
              <w:bottom w:val="single" w:color="auto" w:sz="4" w:space="0"/>
              <w:right w:val="single" w:color="auto" w:sz="12"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GB 50212-2014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3" w:type="pct"/>
            <w:tcBorders>
              <w:top w:val="single" w:color="auto" w:sz="4" w:space="0"/>
              <w:left w:val="single" w:color="auto" w:sz="12" w:space="0"/>
              <w:bottom w:val="single" w:color="auto" w:sz="4" w:space="0"/>
              <w:right w:val="single" w:color="auto" w:sz="4" w:space="0"/>
            </w:tcBorders>
            <w:shd w:val="clear" w:color="auto" w:fill="auto"/>
            <w:vAlign w:val="center"/>
          </w:tcPr>
          <w:p>
            <w:pPr>
              <w:widowControl/>
              <w:numPr>
                <w:ilvl w:val="0"/>
                <w:numId w:val="4"/>
              </w:numPr>
              <w:tabs>
                <w:tab w:val="left" w:pos="397"/>
                <w:tab w:val="clear" w:pos="0"/>
              </w:tabs>
              <w:adjustRightInd w:val="0"/>
              <w:snapToGrid w:val="0"/>
              <w:spacing w:line="240" w:lineRule="auto"/>
              <w:ind w:firstLine="0" w:firstLineChars="0"/>
              <w:jc w:val="center"/>
              <w:textAlignment w:val="center"/>
              <w:rPr>
                <w:rFonts w:ascii="宋体" w:hAnsi="宋体" w:eastAsia="宋体" w:cs="宋体"/>
                <w:kern w:val="0"/>
                <w:sz w:val="21"/>
                <w:szCs w:val="21"/>
              </w:rPr>
            </w:pPr>
          </w:p>
        </w:tc>
        <w:tc>
          <w:tcPr>
            <w:tcW w:w="338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《建筑给水排水设计标准》</w:t>
            </w:r>
          </w:p>
        </w:tc>
        <w:tc>
          <w:tcPr>
            <w:tcW w:w="1244" w:type="pct"/>
            <w:tcBorders>
              <w:top w:val="single" w:color="auto" w:sz="4" w:space="0"/>
              <w:left w:val="single" w:color="auto" w:sz="4" w:space="0"/>
              <w:bottom w:val="single" w:color="auto" w:sz="4" w:space="0"/>
              <w:right w:val="single" w:color="auto" w:sz="12"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GB 50015-2019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3" w:type="pct"/>
            <w:tcBorders>
              <w:top w:val="single" w:color="auto" w:sz="4" w:space="0"/>
              <w:left w:val="single" w:color="auto" w:sz="12" w:space="0"/>
              <w:bottom w:val="single" w:color="auto" w:sz="4" w:space="0"/>
              <w:right w:val="single" w:color="auto" w:sz="4" w:space="0"/>
            </w:tcBorders>
            <w:shd w:val="clear" w:color="auto" w:fill="auto"/>
            <w:vAlign w:val="center"/>
          </w:tcPr>
          <w:p>
            <w:pPr>
              <w:widowControl/>
              <w:numPr>
                <w:ilvl w:val="0"/>
                <w:numId w:val="4"/>
              </w:numPr>
              <w:tabs>
                <w:tab w:val="left" w:pos="397"/>
                <w:tab w:val="clear" w:pos="0"/>
              </w:tabs>
              <w:adjustRightInd w:val="0"/>
              <w:snapToGrid w:val="0"/>
              <w:spacing w:line="240" w:lineRule="auto"/>
              <w:ind w:firstLine="0" w:firstLineChars="0"/>
              <w:jc w:val="center"/>
              <w:textAlignment w:val="center"/>
              <w:rPr>
                <w:rFonts w:ascii="宋体" w:hAnsi="宋体" w:eastAsia="宋体" w:cs="宋体"/>
                <w:kern w:val="0"/>
                <w:sz w:val="21"/>
                <w:szCs w:val="21"/>
              </w:rPr>
            </w:pPr>
          </w:p>
        </w:tc>
        <w:tc>
          <w:tcPr>
            <w:tcW w:w="338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《建筑工程抗震设防分类标准》</w:t>
            </w:r>
          </w:p>
        </w:tc>
        <w:tc>
          <w:tcPr>
            <w:tcW w:w="1244" w:type="pct"/>
            <w:tcBorders>
              <w:top w:val="single" w:color="auto" w:sz="4" w:space="0"/>
              <w:left w:val="single" w:color="auto" w:sz="4" w:space="0"/>
              <w:bottom w:val="single" w:color="auto" w:sz="4" w:space="0"/>
              <w:right w:val="single" w:color="auto" w:sz="12"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GB 50223-2008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3" w:type="pct"/>
            <w:tcBorders>
              <w:top w:val="single" w:color="auto" w:sz="4" w:space="0"/>
              <w:left w:val="single" w:color="auto" w:sz="12" w:space="0"/>
              <w:bottom w:val="single" w:color="auto" w:sz="4" w:space="0"/>
              <w:right w:val="single" w:color="auto" w:sz="4" w:space="0"/>
            </w:tcBorders>
            <w:shd w:val="clear" w:color="auto" w:fill="auto"/>
            <w:vAlign w:val="center"/>
          </w:tcPr>
          <w:p>
            <w:pPr>
              <w:widowControl/>
              <w:numPr>
                <w:ilvl w:val="0"/>
                <w:numId w:val="4"/>
              </w:numPr>
              <w:tabs>
                <w:tab w:val="left" w:pos="397"/>
                <w:tab w:val="clear" w:pos="0"/>
              </w:tabs>
              <w:adjustRightInd w:val="0"/>
              <w:snapToGrid w:val="0"/>
              <w:spacing w:line="240" w:lineRule="auto"/>
              <w:ind w:firstLine="0" w:firstLineChars="0"/>
              <w:jc w:val="center"/>
              <w:textAlignment w:val="center"/>
              <w:rPr>
                <w:rFonts w:ascii="宋体" w:hAnsi="宋体" w:eastAsia="宋体" w:cs="宋体"/>
                <w:kern w:val="0"/>
                <w:sz w:val="21"/>
                <w:szCs w:val="21"/>
              </w:rPr>
            </w:pPr>
          </w:p>
        </w:tc>
        <w:tc>
          <w:tcPr>
            <w:tcW w:w="338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《建筑抗震设计规范(2016年版)》</w:t>
            </w:r>
          </w:p>
        </w:tc>
        <w:tc>
          <w:tcPr>
            <w:tcW w:w="1244" w:type="pct"/>
            <w:tcBorders>
              <w:top w:val="single" w:color="auto" w:sz="4" w:space="0"/>
              <w:left w:val="single" w:color="auto" w:sz="4" w:space="0"/>
              <w:bottom w:val="single" w:color="auto" w:sz="4" w:space="0"/>
              <w:right w:val="single" w:color="auto" w:sz="12"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GB 50011-2010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3" w:type="pct"/>
            <w:tcBorders>
              <w:top w:val="single" w:color="auto" w:sz="4" w:space="0"/>
              <w:left w:val="single" w:color="auto" w:sz="12" w:space="0"/>
              <w:bottom w:val="single" w:color="auto" w:sz="4" w:space="0"/>
              <w:right w:val="single" w:color="auto" w:sz="4" w:space="0"/>
            </w:tcBorders>
            <w:shd w:val="clear" w:color="auto" w:fill="auto"/>
            <w:vAlign w:val="center"/>
          </w:tcPr>
          <w:p>
            <w:pPr>
              <w:widowControl/>
              <w:numPr>
                <w:ilvl w:val="0"/>
                <w:numId w:val="4"/>
              </w:numPr>
              <w:tabs>
                <w:tab w:val="left" w:pos="397"/>
                <w:tab w:val="clear" w:pos="0"/>
              </w:tabs>
              <w:adjustRightInd w:val="0"/>
              <w:snapToGrid w:val="0"/>
              <w:spacing w:line="240" w:lineRule="auto"/>
              <w:ind w:firstLine="0" w:firstLineChars="0"/>
              <w:jc w:val="center"/>
              <w:textAlignment w:val="center"/>
              <w:rPr>
                <w:rFonts w:ascii="宋体" w:hAnsi="宋体" w:eastAsia="宋体" w:cs="宋体"/>
                <w:kern w:val="0"/>
                <w:sz w:val="21"/>
                <w:szCs w:val="21"/>
              </w:rPr>
            </w:pPr>
          </w:p>
        </w:tc>
        <w:tc>
          <w:tcPr>
            <w:tcW w:w="338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《建筑灭火器配置设计规范》</w:t>
            </w:r>
          </w:p>
        </w:tc>
        <w:tc>
          <w:tcPr>
            <w:tcW w:w="1244" w:type="pct"/>
            <w:tcBorders>
              <w:top w:val="single" w:color="auto" w:sz="4" w:space="0"/>
              <w:left w:val="single" w:color="auto" w:sz="4" w:space="0"/>
              <w:bottom w:val="single" w:color="auto" w:sz="4" w:space="0"/>
              <w:right w:val="single" w:color="auto" w:sz="12"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GB 50140-2005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3" w:type="pct"/>
            <w:tcBorders>
              <w:top w:val="single" w:color="auto" w:sz="4" w:space="0"/>
              <w:left w:val="single" w:color="auto" w:sz="12" w:space="0"/>
              <w:bottom w:val="single" w:color="auto" w:sz="4" w:space="0"/>
              <w:right w:val="single" w:color="auto" w:sz="4" w:space="0"/>
            </w:tcBorders>
            <w:shd w:val="clear" w:color="auto" w:fill="auto"/>
            <w:vAlign w:val="center"/>
          </w:tcPr>
          <w:p>
            <w:pPr>
              <w:widowControl/>
              <w:numPr>
                <w:ilvl w:val="0"/>
                <w:numId w:val="4"/>
              </w:numPr>
              <w:tabs>
                <w:tab w:val="left" w:pos="397"/>
                <w:tab w:val="clear" w:pos="0"/>
              </w:tabs>
              <w:adjustRightInd w:val="0"/>
              <w:snapToGrid w:val="0"/>
              <w:spacing w:line="240" w:lineRule="auto"/>
              <w:ind w:firstLine="0" w:firstLineChars="0"/>
              <w:jc w:val="center"/>
              <w:textAlignment w:val="center"/>
              <w:rPr>
                <w:rFonts w:ascii="宋体" w:hAnsi="宋体" w:eastAsia="宋体" w:cs="宋体"/>
                <w:kern w:val="0"/>
                <w:sz w:val="21"/>
                <w:szCs w:val="21"/>
              </w:rPr>
            </w:pPr>
          </w:p>
        </w:tc>
        <w:tc>
          <w:tcPr>
            <w:tcW w:w="338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《建筑设计防火规范（2018年版）》</w:t>
            </w:r>
          </w:p>
        </w:tc>
        <w:tc>
          <w:tcPr>
            <w:tcW w:w="1244" w:type="pct"/>
            <w:tcBorders>
              <w:top w:val="single" w:color="auto" w:sz="4" w:space="0"/>
              <w:left w:val="single" w:color="auto" w:sz="4" w:space="0"/>
              <w:bottom w:val="single" w:color="auto" w:sz="4" w:space="0"/>
              <w:right w:val="single" w:color="auto" w:sz="12"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GB 50016-2014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3" w:type="pct"/>
            <w:tcBorders>
              <w:top w:val="single" w:color="auto" w:sz="4" w:space="0"/>
              <w:left w:val="single" w:color="auto" w:sz="12" w:space="0"/>
              <w:bottom w:val="single" w:color="auto" w:sz="4" w:space="0"/>
              <w:right w:val="single" w:color="auto" w:sz="4" w:space="0"/>
            </w:tcBorders>
            <w:shd w:val="clear" w:color="auto" w:fill="auto"/>
            <w:vAlign w:val="center"/>
          </w:tcPr>
          <w:p>
            <w:pPr>
              <w:widowControl/>
              <w:numPr>
                <w:ilvl w:val="0"/>
                <w:numId w:val="4"/>
              </w:numPr>
              <w:tabs>
                <w:tab w:val="left" w:pos="397"/>
                <w:tab w:val="clear" w:pos="0"/>
              </w:tabs>
              <w:adjustRightInd w:val="0"/>
              <w:snapToGrid w:val="0"/>
              <w:spacing w:line="240" w:lineRule="auto"/>
              <w:ind w:firstLine="0" w:firstLineChars="0"/>
              <w:jc w:val="center"/>
              <w:textAlignment w:val="center"/>
              <w:rPr>
                <w:rFonts w:ascii="宋体" w:hAnsi="宋体" w:eastAsia="宋体" w:cs="宋体"/>
                <w:kern w:val="0"/>
                <w:sz w:val="21"/>
                <w:szCs w:val="21"/>
              </w:rPr>
            </w:pPr>
          </w:p>
        </w:tc>
        <w:tc>
          <w:tcPr>
            <w:tcW w:w="338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textAlignment w:val="center"/>
              <w:rPr>
                <w:rFonts w:ascii="宋体" w:hAnsi="宋体" w:cs="宋体"/>
                <w:color w:val="000000"/>
                <w:kern w:val="0"/>
                <w:sz w:val="21"/>
                <w:szCs w:val="21"/>
                <w:lang w:bidi="ar"/>
              </w:rPr>
            </w:pPr>
            <w:r>
              <w:rPr>
                <w:rFonts w:hint="eastAsia" w:ascii="宋体" w:hAnsi="宋体" w:cs="宋体"/>
                <w:color w:val="000000"/>
                <w:kern w:val="0"/>
                <w:sz w:val="21"/>
                <w:szCs w:val="21"/>
                <w:lang w:bidi="ar"/>
              </w:rPr>
              <w:t>《建筑防火通用规范》</w:t>
            </w:r>
          </w:p>
        </w:tc>
        <w:tc>
          <w:tcPr>
            <w:tcW w:w="1244" w:type="pct"/>
            <w:tcBorders>
              <w:top w:val="single" w:color="auto" w:sz="4" w:space="0"/>
              <w:left w:val="single" w:color="auto" w:sz="4" w:space="0"/>
              <w:bottom w:val="single" w:color="auto" w:sz="4" w:space="0"/>
              <w:right w:val="single" w:color="auto" w:sz="12" w:space="0"/>
            </w:tcBorders>
            <w:shd w:val="clear" w:color="auto" w:fill="auto"/>
            <w:noWrap/>
            <w:vAlign w:val="center"/>
          </w:tcPr>
          <w:p>
            <w:pPr>
              <w:widowControl/>
              <w:spacing w:line="240" w:lineRule="auto"/>
              <w:ind w:firstLine="0" w:firstLineChars="0"/>
              <w:textAlignment w:val="center"/>
              <w:rPr>
                <w:rFonts w:ascii="宋体" w:hAnsi="宋体" w:cs="宋体"/>
                <w:color w:val="000000"/>
                <w:kern w:val="0"/>
                <w:sz w:val="21"/>
                <w:szCs w:val="21"/>
                <w:lang w:bidi="ar"/>
              </w:rPr>
            </w:pPr>
            <w:r>
              <w:rPr>
                <w:rFonts w:hint="eastAsia" w:ascii="宋体" w:hAnsi="宋体" w:cs="宋体"/>
                <w:color w:val="000000"/>
                <w:kern w:val="0"/>
                <w:sz w:val="21"/>
                <w:szCs w:val="21"/>
                <w:lang w:bidi="ar"/>
              </w:rPr>
              <w:t>GB 55037-2022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3" w:type="pct"/>
            <w:tcBorders>
              <w:top w:val="single" w:color="auto" w:sz="4" w:space="0"/>
              <w:left w:val="single" w:color="auto" w:sz="12" w:space="0"/>
              <w:bottom w:val="single" w:color="auto" w:sz="4" w:space="0"/>
              <w:right w:val="single" w:color="auto" w:sz="4" w:space="0"/>
            </w:tcBorders>
            <w:shd w:val="clear" w:color="auto" w:fill="auto"/>
            <w:vAlign w:val="center"/>
          </w:tcPr>
          <w:p>
            <w:pPr>
              <w:widowControl/>
              <w:numPr>
                <w:ilvl w:val="0"/>
                <w:numId w:val="4"/>
              </w:numPr>
              <w:tabs>
                <w:tab w:val="left" w:pos="397"/>
                <w:tab w:val="clear" w:pos="0"/>
              </w:tabs>
              <w:adjustRightInd w:val="0"/>
              <w:snapToGrid w:val="0"/>
              <w:spacing w:line="240" w:lineRule="auto"/>
              <w:ind w:firstLine="0" w:firstLineChars="0"/>
              <w:jc w:val="center"/>
              <w:textAlignment w:val="center"/>
              <w:rPr>
                <w:rFonts w:ascii="宋体" w:hAnsi="宋体" w:eastAsia="宋体" w:cs="宋体"/>
                <w:kern w:val="0"/>
                <w:sz w:val="21"/>
                <w:szCs w:val="21"/>
              </w:rPr>
            </w:pPr>
          </w:p>
        </w:tc>
        <w:tc>
          <w:tcPr>
            <w:tcW w:w="338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《建筑物防雷设计规范》</w:t>
            </w:r>
          </w:p>
        </w:tc>
        <w:tc>
          <w:tcPr>
            <w:tcW w:w="1244" w:type="pct"/>
            <w:tcBorders>
              <w:top w:val="single" w:color="auto" w:sz="4" w:space="0"/>
              <w:left w:val="single" w:color="auto" w:sz="4" w:space="0"/>
              <w:bottom w:val="single" w:color="auto" w:sz="4" w:space="0"/>
              <w:right w:val="single" w:color="auto" w:sz="12"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GB 50057-2010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3" w:type="pct"/>
            <w:tcBorders>
              <w:top w:val="single" w:color="auto" w:sz="4" w:space="0"/>
              <w:left w:val="single" w:color="auto" w:sz="12" w:space="0"/>
              <w:bottom w:val="single" w:color="auto" w:sz="4" w:space="0"/>
              <w:right w:val="single" w:color="auto" w:sz="4" w:space="0"/>
            </w:tcBorders>
            <w:shd w:val="clear" w:color="auto" w:fill="auto"/>
            <w:vAlign w:val="center"/>
          </w:tcPr>
          <w:p>
            <w:pPr>
              <w:widowControl/>
              <w:numPr>
                <w:ilvl w:val="0"/>
                <w:numId w:val="4"/>
              </w:numPr>
              <w:tabs>
                <w:tab w:val="left" w:pos="397"/>
                <w:tab w:val="clear" w:pos="0"/>
              </w:tabs>
              <w:adjustRightInd w:val="0"/>
              <w:snapToGrid w:val="0"/>
              <w:spacing w:line="240" w:lineRule="auto"/>
              <w:ind w:firstLine="0" w:firstLineChars="0"/>
              <w:jc w:val="center"/>
              <w:textAlignment w:val="center"/>
              <w:rPr>
                <w:rFonts w:ascii="宋体" w:hAnsi="宋体" w:eastAsia="宋体" w:cs="宋体"/>
                <w:kern w:val="0"/>
                <w:sz w:val="21"/>
                <w:szCs w:val="21"/>
              </w:rPr>
            </w:pPr>
          </w:p>
        </w:tc>
        <w:tc>
          <w:tcPr>
            <w:tcW w:w="338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《建筑物防雷装置检测技术规范》</w:t>
            </w:r>
          </w:p>
        </w:tc>
        <w:tc>
          <w:tcPr>
            <w:tcW w:w="1244" w:type="pct"/>
            <w:tcBorders>
              <w:top w:val="single" w:color="auto" w:sz="4" w:space="0"/>
              <w:left w:val="single" w:color="auto" w:sz="4" w:space="0"/>
              <w:bottom w:val="single" w:color="auto" w:sz="4" w:space="0"/>
              <w:right w:val="single" w:color="auto" w:sz="12"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GB/T 21431-2015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3" w:type="pct"/>
            <w:tcBorders>
              <w:top w:val="single" w:color="auto" w:sz="4" w:space="0"/>
              <w:left w:val="single" w:color="auto" w:sz="12" w:space="0"/>
              <w:bottom w:val="single" w:color="auto" w:sz="4" w:space="0"/>
              <w:right w:val="single" w:color="auto" w:sz="4" w:space="0"/>
            </w:tcBorders>
            <w:shd w:val="clear" w:color="auto" w:fill="auto"/>
            <w:vAlign w:val="center"/>
          </w:tcPr>
          <w:p>
            <w:pPr>
              <w:widowControl/>
              <w:numPr>
                <w:ilvl w:val="0"/>
                <w:numId w:val="4"/>
              </w:numPr>
              <w:tabs>
                <w:tab w:val="left" w:pos="397"/>
                <w:tab w:val="clear" w:pos="0"/>
              </w:tabs>
              <w:adjustRightInd w:val="0"/>
              <w:snapToGrid w:val="0"/>
              <w:spacing w:line="240" w:lineRule="auto"/>
              <w:ind w:firstLine="0" w:firstLineChars="0"/>
              <w:jc w:val="center"/>
              <w:textAlignment w:val="center"/>
              <w:rPr>
                <w:rFonts w:ascii="宋体" w:hAnsi="宋体" w:eastAsia="宋体" w:cs="宋体"/>
                <w:kern w:val="0"/>
                <w:sz w:val="21"/>
                <w:szCs w:val="21"/>
              </w:rPr>
            </w:pPr>
          </w:p>
        </w:tc>
        <w:tc>
          <w:tcPr>
            <w:tcW w:w="338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《建筑与市政工程抗震通用规范》</w:t>
            </w:r>
          </w:p>
        </w:tc>
        <w:tc>
          <w:tcPr>
            <w:tcW w:w="1244" w:type="pct"/>
            <w:tcBorders>
              <w:top w:val="single" w:color="auto" w:sz="4" w:space="0"/>
              <w:left w:val="single" w:color="auto" w:sz="4" w:space="0"/>
              <w:bottom w:val="single" w:color="auto" w:sz="4" w:space="0"/>
              <w:right w:val="single" w:color="auto" w:sz="12"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GB 55002-2021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3" w:type="pct"/>
            <w:tcBorders>
              <w:top w:val="single" w:color="auto" w:sz="4" w:space="0"/>
              <w:left w:val="single" w:color="auto" w:sz="12" w:space="0"/>
              <w:bottom w:val="single" w:color="auto" w:sz="4" w:space="0"/>
              <w:right w:val="single" w:color="auto" w:sz="4" w:space="0"/>
            </w:tcBorders>
            <w:shd w:val="clear" w:color="auto" w:fill="auto"/>
            <w:vAlign w:val="center"/>
          </w:tcPr>
          <w:p>
            <w:pPr>
              <w:widowControl/>
              <w:numPr>
                <w:ilvl w:val="0"/>
                <w:numId w:val="4"/>
              </w:numPr>
              <w:tabs>
                <w:tab w:val="left" w:pos="397"/>
                <w:tab w:val="clear" w:pos="0"/>
              </w:tabs>
              <w:adjustRightInd w:val="0"/>
              <w:snapToGrid w:val="0"/>
              <w:spacing w:line="240" w:lineRule="auto"/>
              <w:ind w:firstLine="0" w:firstLineChars="0"/>
              <w:jc w:val="center"/>
              <w:textAlignment w:val="center"/>
              <w:rPr>
                <w:rFonts w:ascii="宋体" w:hAnsi="宋体" w:eastAsia="宋体" w:cs="宋体"/>
                <w:kern w:val="0"/>
                <w:sz w:val="21"/>
                <w:szCs w:val="21"/>
              </w:rPr>
            </w:pPr>
          </w:p>
        </w:tc>
        <w:tc>
          <w:tcPr>
            <w:tcW w:w="338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《建筑照明设计标准》</w:t>
            </w:r>
          </w:p>
        </w:tc>
        <w:tc>
          <w:tcPr>
            <w:tcW w:w="1244" w:type="pct"/>
            <w:tcBorders>
              <w:top w:val="single" w:color="auto" w:sz="4" w:space="0"/>
              <w:left w:val="single" w:color="auto" w:sz="4" w:space="0"/>
              <w:bottom w:val="single" w:color="auto" w:sz="4" w:space="0"/>
              <w:right w:val="single" w:color="auto" w:sz="12"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GB 50034-2013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3" w:type="pct"/>
            <w:tcBorders>
              <w:top w:val="single" w:color="auto" w:sz="4" w:space="0"/>
              <w:left w:val="single" w:color="auto" w:sz="12" w:space="0"/>
              <w:bottom w:val="single" w:color="auto" w:sz="4" w:space="0"/>
              <w:right w:val="single" w:color="auto" w:sz="4" w:space="0"/>
            </w:tcBorders>
            <w:shd w:val="clear" w:color="auto" w:fill="auto"/>
            <w:vAlign w:val="center"/>
          </w:tcPr>
          <w:p>
            <w:pPr>
              <w:widowControl/>
              <w:numPr>
                <w:ilvl w:val="0"/>
                <w:numId w:val="4"/>
              </w:numPr>
              <w:tabs>
                <w:tab w:val="left" w:pos="397"/>
                <w:tab w:val="clear" w:pos="0"/>
              </w:tabs>
              <w:adjustRightInd w:val="0"/>
              <w:snapToGrid w:val="0"/>
              <w:spacing w:line="240" w:lineRule="auto"/>
              <w:ind w:firstLine="0" w:firstLineChars="0"/>
              <w:jc w:val="center"/>
              <w:textAlignment w:val="center"/>
              <w:rPr>
                <w:rFonts w:ascii="宋体" w:hAnsi="宋体" w:eastAsia="宋体" w:cs="宋体"/>
                <w:kern w:val="0"/>
                <w:sz w:val="21"/>
                <w:szCs w:val="21"/>
              </w:rPr>
            </w:pPr>
          </w:p>
        </w:tc>
        <w:tc>
          <w:tcPr>
            <w:tcW w:w="338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《企业职工伤亡事故分类》</w:t>
            </w:r>
          </w:p>
        </w:tc>
        <w:tc>
          <w:tcPr>
            <w:tcW w:w="1244" w:type="pct"/>
            <w:tcBorders>
              <w:top w:val="single" w:color="auto" w:sz="4" w:space="0"/>
              <w:left w:val="single" w:color="auto" w:sz="4" w:space="0"/>
              <w:bottom w:val="single" w:color="auto" w:sz="4" w:space="0"/>
              <w:right w:val="single" w:color="auto" w:sz="12"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GB 6441-1986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3" w:type="pct"/>
            <w:tcBorders>
              <w:top w:val="single" w:color="auto" w:sz="4" w:space="0"/>
              <w:left w:val="single" w:color="auto" w:sz="12" w:space="0"/>
              <w:bottom w:val="single" w:color="auto" w:sz="4" w:space="0"/>
              <w:right w:val="single" w:color="auto" w:sz="4" w:space="0"/>
            </w:tcBorders>
            <w:shd w:val="clear" w:color="auto" w:fill="auto"/>
            <w:vAlign w:val="center"/>
          </w:tcPr>
          <w:p>
            <w:pPr>
              <w:widowControl/>
              <w:numPr>
                <w:ilvl w:val="0"/>
                <w:numId w:val="4"/>
              </w:numPr>
              <w:tabs>
                <w:tab w:val="left" w:pos="397"/>
                <w:tab w:val="clear" w:pos="0"/>
              </w:tabs>
              <w:adjustRightInd w:val="0"/>
              <w:snapToGrid w:val="0"/>
              <w:spacing w:line="240" w:lineRule="auto"/>
              <w:ind w:firstLine="0" w:firstLineChars="0"/>
              <w:jc w:val="center"/>
              <w:textAlignment w:val="center"/>
              <w:rPr>
                <w:rFonts w:ascii="宋体" w:hAnsi="宋体" w:eastAsia="宋体" w:cs="宋体"/>
                <w:kern w:val="0"/>
                <w:sz w:val="21"/>
                <w:szCs w:val="21"/>
              </w:rPr>
            </w:pPr>
          </w:p>
        </w:tc>
        <w:tc>
          <w:tcPr>
            <w:tcW w:w="338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《起重机　安全标志和危险图形符号　总则》</w:t>
            </w:r>
          </w:p>
        </w:tc>
        <w:tc>
          <w:tcPr>
            <w:tcW w:w="1244" w:type="pct"/>
            <w:tcBorders>
              <w:top w:val="single" w:color="auto" w:sz="4" w:space="0"/>
              <w:left w:val="single" w:color="auto" w:sz="4" w:space="0"/>
              <w:bottom w:val="single" w:color="auto" w:sz="4" w:space="0"/>
              <w:right w:val="single" w:color="auto" w:sz="12"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GB/T 15052-2010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3" w:type="pct"/>
            <w:tcBorders>
              <w:top w:val="single" w:color="auto" w:sz="4" w:space="0"/>
              <w:left w:val="single" w:color="auto" w:sz="12" w:space="0"/>
              <w:bottom w:val="single" w:color="auto" w:sz="4" w:space="0"/>
              <w:right w:val="single" w:color="auto" w:sz="4" w:space="0"/>
            </w:tcBorders>
            <w:shd w:val="clear" w:color="auto" w:fill="auto"/>
            <w:vAlign w:val="center"/>
          </w:tcPr>
          <w:p>
            <w:pPr>
              <w:widowControl/>
              <w:numPr>
                <w:ilvl w:val="0"/>
                <w:numId w:val="4"/>
              </w:numPr>
              <w:tabs>
                <w:tab w:val="left" w:pos="397"/>
                <w:tab w:val="clear" w:pos="0"/>
              </w:tabs>
              <w:adjustRightInd w:val="0"/>
              <w:snapToGrid w:val="0"/>
              <w:spacing w:line="240" w:lineRule="auto"/>
              <w:ind w:firstLine="0" w:firstLineChars="0"/>
              <w:jc w:val="center"/>
              <w:textAlignment w:val="center"/>
              <w:rPr>
                <w:rFonts w:ascii="宋体" w:hAnsi="宋体" w:eastAsia="宋体" w:cs="宋体"/>
                <w:kern w:val="0"/>
                <w:sz w:val="21"/>
                <w:szCs w:val="21"/>
              </w:rPr>
            </w:pPr>
          </w:p>
        </w:tc>
        <w:tc>
          <w:tcPr>
            <w:tcW w:w="338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《起重机械安全规程 第1部分：总则》</w:t>
            </w:r>
          </w:p>
        </w:tc>
        <w:tc>
          <w:tcPr>
            <w:tcW w:w="1244" w:type="pct"/>
            <w:tcBorders>
              <w:top w:val="single" w:color="auto" w:sz="4" w:space="0"/>
              <w:left w:val="single" w:color="auto" w:sz="4" w:space="0"/>
              <w:bottom w:val="single" w:color="auto" w:sz="4" w:space="0"/>
              <w:right w:val="single" w:color="auto" w:sz="12" w:space="0"/>
            </w:tcBorders>
            <w:shd w:val="clear" w:color="auto" w:fill="auto"/>
            <w:noWrap/>
            <w:vAlign w:val="center"/>
          </w:tcPr>
          <w:p>
            <w:pPr>
              <w:widowControl/>
              <w:spacing w:line="240" w:lineRule="auto"/>
              <w:ind w:firstLine="0" w:firstLineChars="0"/>
              <w:textAlignment w:val="center"/>
              <w:rPr>
                <w:rFonts w:ascii="宋体" w:hAnsi="宋体" w:cs="宋体"/>
                <w:color w:val="000000"/>
                <w:kern w:val="0"/>
                <w:sz w:val="21"/>
                <w:szCs w:val="21"/>
                <w:lang w:bidi="ar"/>
              </w:rPr>
            </w:pPr>
            <w:r>
              <w:rPr>
                <w:rFonts w:hint="eastAsia" w:ascii="宋体" w:hAnsi="宋体" w:cs="宋体"/>
                <w:color w:val="000000"/>
                <w:kern w:val="0"/>
                <w:sz w:val="21"/>
                <w:szCs w:val="21"/>
                <w:lang w:bidi="ar"/>
              </w:rPr>
              <w:t>GB/T 6067.1-2010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3" w:type="pct"/>
            <w:tcBorders>
              <w:top w:val="single" w:color="auto" w:sz="4" w:space="0"/>
              <w:left w:val="single" w:color="auto" w:sz="12" w:space="0"/>
              <w:bottom w:val="single" w:color="auto" w:sz="4" w:space="0"/>
              <w:right w:val="single" w:color="auto" w:sz="4" w:space="0"/>
            </w:tcBorders>
            <w:shd w:val="clear" w:color="auto" w:fill="auto"/>
            <w:vAlign w:val="center"/>
          </w:tcPr>
          <w:p>
            <w:pPr>
              <w:widowControl/>
              <w:numPr>
                <w:ilvl w:val="0"/>
                <w:numId w:val="4"/>
              </w:numPr>
              <w:tabs>
                <w:tab w:val="left" w:pos="397"/>
                <w:tab w:val="clear" w:pos="0"/>
              </w:tabs>
              <w:adjustRightInd w:val="0"/>
              <w:snapToGrid w:val="0"/>
              <w:spacing w:line="240" w:lineRule="auto"/>
              <w:ind w:firstLine="0" w:firstLineChars="0"/>
              <w:jc w:val="center"/>
              <w:textAlignment w:val="center"/>
              <w:rPr>
                <w:rFonts w:ascii="宋体" w:hAnsi="宋体" w:eastAsia="宋体" w:cs="宋体"/>
                <w:kern w:val="0"/>
                <w:sz w:val="21"/>
                <w:szCs w:val="21"/>
              </w:rPr>
            </w:pPr>
          </w:p>
        </w:tc>
        <w:tc>
          <w:tcPr>
            <w:tcW w:w="338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textAlignment w:val="center"/>
              <w:rPr>
                <w:rFonts w:ascii="宋体" w:hAnsi="宋体" w:cs="宋体"/>
                <w:color w:val="000000"/>
                <w:kern w:val="0"/>
                <w:sz w:val="21"/>
                <w:szCs w:val="21"/>
                <w:lang w:bidi="ar"/>
              </w:rPr>
            </w:pPr>
            <w:r>
              <w:rPr>
                <w:rFonts w:hint="eastAsia" w:ascii="宋体" w:hAnsi="宋体" w:cs="宋体"/>
                <w:color w:val="000000"/>
                <w:kern w:val="0"/>
                <w:sz w:val="21"/>
                <w:szCs w:val="21"/>
                <w:lang w:bidi="ar"/>
              </w:rPr>
              <w:t>《起重机械安全规程 第5部分：桥式和门式起重机》</w:t>
            </w:r>
          </w:p>
        </w:tc>
        <w:tc>
          <w:tcPr>
            <w:tcW w:w="1244" w:type="pct"/>
            <w:tcBorders>
              <w:top w:val="single" w:color="auto" w:sz="4" w:space="0"/>
              <w:left w:val="single" w:color="auto" w:sz="4" w:space="0"/>
              <w:bottom w:val="single" w:color="auto" w:sz="4" w:space="0"/>
              <w:right w:val="single" w:color="auto" w:sz="12" w:space="0"/>
            </w:tcBorders>
            <w:shd w:val="clear" w:color="auto" w:fill="auto"/>
            <w:noWrap/>
            <w:vAlign w:val="center"/>
          </w:tcPr>
          <w:p>
            <w:pPr>
              <w:widowControl/>
              <w:spacing w:line="240" w:lineRule="auto"/>
              <w:ind w:firstLine="0" w:firstLineChars="0"/>
              <w:textAlignment w:val="center"/>
              <w:rPr>
                <w:rFonts w:ascii="宋体" w:hAnsi="宋体" w:cs="宋体"/>
                <w:color w:val="000000"/>
                <w:kern w:val="0"/>
                <w:sz w:val="21"/>
                <w:szCs w:val="21"/>
                <w:lang w:bidi="ar"/>
              </w:rPr>
            </w:pPr>
            <w:r>
              <w:rPr>
                <w:rFonts w:hint="eastAsia" w:ascii="宋体" w:hAnsi="宋体" w:cs="宋体"/>
                <w:color w:val="000000"/>
                <w:kern w:val="0"/>
                <w:sz w:val="21"/>
                <w:szCs w:val="21"/>
                <w:lang w:bidi="ar"/>
              </w:rPr>
              <w:t>GB/T 6067.5-2014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3" w:type="pct"/>
            <w:tcBorders>
              <w:top w:val="single" w:color="auto" w:sz="4" w:space="0"/>
              <w:left w:val="single" w:color="auto" w:sz="12" w:space="0"/>
              <w:bottom w:val="single" w:color="auto" w:sz="4" w:space="0"/>
              <w:right w:val="single" w:color="auto" w:sz="4" w:space="0"/>
            </w:tcBorders>
            <w:shd w:val="clear" w:color="auto" w:fill="auto"/>
            <w:vAlign w:val="center"/>
          </w:tcPr>
          <w:p>
            <w:pPr>
              <w:widowControl/>
              <w:numPr>
                <w:ilvl w:val="0"/>
                <w:numId w:val="4"/>
              </w:numPr>
              <w:tabs>
                <w:tab w:val="left" w:pos="397"/>
                <w:tab w:val="clear" w:pos="0"/>
              </w:tabs>
              <w:adjustRightInd w:val="0"/>
              <w:snapToGrid w:val="0"/>
              <w:spacing w:line="240" w:lineRule="auto"/>
              <w:ind w:firstLine="0" w:firstLineChars="0"/>
              <w:jc w:val="center"/>
              <w:textAlignment w:val="center"/>
              <w:rPr>
                <w:rFonts w:ascii="宋体" w:hAnsi="宋体" w:eastAsia="宋体" w:cs="宋体"/>
                <w:kern w:val="0"/>
                <w:sz w:val="21"/>
                <w:szCs w:val="21"/>
              </w:rPr>
            </w:pPr>
          </w:p>
        </w:tc>
        <w:tc>
          <w:tcPr>
            <w:tcW w:w="338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textAlignment w:val="center"/>
              <w:rPr>
                <w:rFonts w:ascii="宋体" w:hAnsi="宋体" w:cs="宋体"/>
                <w:color w:val="000000"/>
                <w:kern w:val="0"/>
                <w:sz w:val="21"/>
                <w:szCs w:val="21"/>
                <w:lang w:bidi="ar"/>
              </w:rPr>
            </w:pPr>
            <w:r>
              <w:rPr>
                <w:rFonts w:hint="eastAsia" w:ascii="宋体" w:hAnsi="宋体" w:cs="宋体"/>
                <w:color w:val="000000"/>
                <w:kern w:val="0"/>
                <w:sz w:val="21"/>
                <w:szCs w:val="21"/>
                <w:lang w:bidi="ar"/>
              </w:rPr>
              <w:t>《起重机械安全技术规程》</w:t>
            </w:r>
          </w:p>
        </w:tc>
        <w:tc>
          <w:tcPr>
            <w:tcW w:w="1244" w:type="pct"/>
            <w:tcBorders>
              <w:top w:val="single" w:color="auto" w:sz="4" w:space="0"/>
              <w:left w:val="single" w:color="auto" w:sz="4" w:space="0"/>
              <w:bottom w:val="single" w:color="auto" w:sz="4" w:space="0"/>
              <w:right w:val="single" w:color="auto" w:sz="12" w:space="0"/>
            </w:tcBorders>
            <w:shd w:val="clear" w:color="auto" w:fill="auto"/>
            <w:noWrap/>
            <w:vAlign w:val="center"/>
          </w:tcPr>
          <w:p>
            <w:pPr>
              <w:widowControl/>
              <w:spacing w:line="240" w:lineRule="auto"/>
              <w:ind w:firstLine="0" w:firstLineChars="0"/>
              <w:textAlignment w:val="center"/>
              <w:rPr>
                <w:rFonts w:ascii="宋体" w:hAnsi="宋体" w:cs="宋体"/>
                <w:color w:val="000000"/>
                <w:kern w:val="0"/>
                <w:sz w:val="21"/>
                <w:szCs w:val="21"/>
                <w:lang w:bidi="ar"/>
              </w:rPr>
            </w:pPr>
            <w:r>
              <w:rPr>
                <w:rFonts w:ascii="宋体" w:hAnsi="宋体" w:cs="宋体"/>
                <w:color w:val="000000"/>
                <w:kern w:val="0"/>
                <w:sz w:val="21"/>
                <w:szCs w:val="21"/>
                <w:lang w:bidi="ar"/>
              </w:rPr>
              <w:t>TSG</w:t>
            </w:r>
            <w:r>
              <w:rPr>
                <w:rFonts w:hint="eastAsia" w:ascii="宋体" w:hAnsi="宋体" w:cs="宋体"/>
                <w:color w:val="000000"/>
                <w:kern w:val="0"/>
                <w:sz w:val="21"/>
                <w:szCs w:val="21"/>
                <w:lang w:bidi="ar"/>
              </w:rPr>
              <w:t>5</w:t>
            </w:r>
            <w:r>
              <w:rPr>
                <w:rFonts w:ascii="宋体" w:hAnsi="宋体" w:cs="宋体"/>
                <w:color w:val="000000"/>
                <w:kern w:val="0"/>
                <w:sz w:val="21"/>
                <w:szCs w:val="21"/>
                <w:lang w:bidi="ar"/>
              </w:rPr>
              <w:t>1—2023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3" w:type="pct"/>
            <w:tcBorders>
              <w:top w:val="single" w:color="auto" w:sz="4" w:space="0"/>
              <w:left w:val="single" w:color="auto" w:sz="12" w:space="0"/>
              <w:bottom w:val="single" w:color="auto" w:sz="4" w:space="0"/>
              <w:right w:val="single" w:color="auto" w:sz="4" w:space="0"/>
            </w:tcBorders>
            <w:shd w:val="clear" w:color="auto" w:fill="auto"/>
            <w:vAlign w:val="center"/>
          </w:tcPr>
          <w:p>
            <w:pPr>
              <w:widowControl/>
              <w:numPr>
                <w:ilvl w:val="0"/>
                <w:numId w:val="4"/>
              </w:numPr>
              <w:tabs>
                <w:tab w:val="left" w:pos="397"/>
                <w:tab w:val="clear" w:pos="0"/>
              </w:tabs>
              <w:adjustRightInd w:val="0"/>
              <w:snapToGrid w:val="0"/>
              <w:spacing w:line="240" w:lineRule="auto"/>
              <w:ind w:firstLine="0" w:firstLineChars="0"/>
              <w:jc w:val="center"/>
              <w:textAlignment w:val="center"/>
              <w:rPr>
                <w:rFonts w:ascii="宋体" w:hAnsi="宋体" w:eastAsia="宋体" w:cs="宋体"/>
                <w:kern w:val="0"/>
                <w:sz w:val="21"/>
                <w:szCs w:val="21"/>
              </w:rPr>
            </w:pPr>
          </w:p>
        </w:tc>
        <w:tc>
          <w:tcPr>
            <w:tcW w:w="338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textAlignment w:val="center"/>
              <w:rPr>
                <w:rFonts w:ascii="宋体" w:hAnsi="宋体" w:cs="宋体"/>
                <w:color w:val="000000"/>
                <w:kern w:val="0"/>
                <w:sz w:val="21"/>
                <w:szCs w:val="21"/>
                <w:lang w:bidi="ar"/>
              </w:rPr>
            </w:pPr>
            <w:r>
              <w:rPr>
                <w:rFonts w:hint="eastAsia" w:ascii="宋体" w:hAnsi="宋体" w:cs="宋体"/>
                <w:color w:val="000000"/>
                <w:kern w:val="0"/>
                <w:sz w:val="21"/>
                <w:szCs w:val="21"/>
                <w:lang w:bidi="ar"/>
              </w:rPr>
              <w:t>《气瓶搬运、装卸、储存和使用安全规定》</w:t>
            </w:r>
          </w:p>
        </w:tc>
        <w:tc>
          <w:tcPr>
            <w:tcW w:w="1244" w:type="pct"/>
            <w:tcBorders>
              <w:top w:val="single" w:color="auto" w:sz="4" w:space="0"/>
              <w:left w:val="single" w:color="auto" w:sz="4" w:space="0"/>
              <w:bottom w:val="single" w:color="auto" w:sz="4" w:space="0"/>
              <w:right w:val="single" w:color="auto" w:sz="12" w:space="0"/>
            </w:tcBorders>
            <w:shd w:val="clear" w:color="auto" w:fill="auto"/>
            <w:noWrap/>
            <w:vAlign w:val="center"/>
          </w:tcPr>
          <w:p>
            <w:pPr>
              <w:widowControl/>
              <w:spacing w:line="240" w:lineRule="auto"/>
              <w:ind w:firstLine="0" w:firstLineChars="0"/>
              <w:textAlignment w:val="center"/>
              <w:rPr>
                <w:rFonts w:ascii="宋体" w:hAnsi="宋体" w:cs="宋体"/>
                <w:color w:val="000000"/>
                <w:kern w:val="0"/>
                <w:sz w:val="21"/>
                <w:szCs w:val="21"/>
                <w:lang w:bidi="ar"/>
              </w:rPr>
            </w:pPr>
            <w:r>
              <w:rPr>
                <w:rFonts w:hint="eastAsia" w:ascii="宋体" w:hAnsi="宋体" w:cs="宋体"/>
                <w:color w:val="000000"/>
                <w:kern w:val="0"/>
                <w:sz w:val="21"/>
                <w:szCs w:val="21"/>
                <w:lang w:bidi="ar"/>
              </w:rPr>
              <w:t>GB/T 34525-2017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3" w:type="pct"/>
            <w:tcBorders>
              <w:top w:val="single" w:color="auto" w:sz="4" w:space="0"/>
              <w:left w:val="single" w:color="auto" w:sz="12" w:space="0"/>
              <w:bottom w:val="single" w:color="auto" w:sz="4" w:space="0"/>
              <w:right w:val="single" w:color="auto" w:sz="4" w:space="0"/>
            </w:tcBorders>
            <w:shd w:val="clear" w:color="auto" w:fill="auto"/>
            <w:vAlign w:val="center"/>
          </w:tcPr>
          <w:p>
            <w:pPr>
              <w:widowControl/>
              <w:numPr>
                <w:ilvl w:val="0"/>
                <w:numId w:val="4"/>
              </w:numPr>
              <w:tabs>
                <w:tab w:val="left" w:pos="397"/>
                <w:tab w:val="clear" w:pos="0"/>
              </w:tabs>
              <w:adjustRightInd w:val="0"/>
              <w:snapToGrid w:val="0"/>
              <w:spacing w:line="240" w:lineRule="auto"/>
              <w:ind w:firstLine="0" w:firstLineChars="0"/>
              <w:jc w:val="center"/>
              <w:textAlignment w:val="center"/>
              <w:rPr>
                <w:rFonts w:ascii="宋体" w:hAnsi="宋体" w:eastAsia="宋体" w:cs="宋体"/>
                <w:kern w:val="0"/>
                <w:sz w:val="21"/>
                <w:szCs w:val="21"/>
              </w:rPr>
            </w:pPr>
          </w:p>
        </w:tc>
        <w:tc>
          <w:tcPr>
            <w:tcW w:w="338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textAlignment w:val="center"/>
              <w:rPr>
                <w:rFonts w:ascii="宋体" w:hAnsi="宋体" w:cs="宋体"/>
                <w:color w:val="000000"/>
                <w:kern w:val="0"/>
                <w:sz w:val="21"/>
                <w:szCs w:val="21"/>
                <w:lang w:bidi="ar"/>
              </w:rPr>
            </w:pPr>
            <w:r>
              <w:rPr>
                <w:rFonts w:hint="eastAsia" w:ascii="宋体" w:hAnsi="宋体" w:cs="宋体"/>
                <w:color w:val="000000"/>
                <w:kern w:val="0"/>
                <w:sz w:val="21"/>
                <w:szCs w:val="21"/>
                <w:lang w:bidi="ar"/>
              </w:rPr>
              <w:t>《汽车铸造作业职业危害预防控制指南》</w:t>
            </w:r>
          </w:p>
        </w:tc>
        <w:tc>
          <w:tcPr>
            <w:tcW w:w="1244" w:type="pct"/>
            <w:tcBorders>
              <w:top w:val="single" w:color="auto" w:sz="4" w:space="0"/>
              <w:left w:val="single" w:color="auto" w:sz="4" w:space="0"/>
              <w:bottom w:val="single" w:color="auto" w:sz="4" w:space="0"/>
              <w:right w:val="single" w:color="auto" w:sz="12" w:space="0"/>
            </w:tcBorders>
            <w:shd w:val="clear" w:color="auto" w:fill="auto"/>
            <w:noWrap/>
            <w:vAlign w:val="center"/>
          </w:tcPr>
          <w:p>
            <w:pPr>
              <w:widowControl/>
              <w:spacing w:line="240" w:lineRule="auto"/>
              <w:ind w:firstLine="0" w:firstLineChars="0"/>
              <w:textAlignment w:val="center"/>
              <w:rPr>
                <w:rFonts w:ascii="宋体" w:hAnsi="宋体" w:cs="宋体"/>
                <w:color w:val="000000"/>
                <w:kern w:val="0"/>
                <w:sz w:val="21"/>
                <w:szCs w:val="21"/>
                <w:lang w:bidi="ar"/>
              </w:rPr>
            </w:pPr>
            <w:r>
              <w:rPr>
                <w:rFonts w:hint="eastAsia" w:ascii="宋体" w:hAnsi="宋体" w:cs="宋体"/>
                <w:color w:val="000000"/>
                <w:kern w:val="0"/>
                <w:sz w:val="21"/>
                <w:szCs w:val="21"/>
                <w:lang w:bidi="ar"/>
              </w:rPr>
              <w:t>GBZ/T 251-2014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3" w:type="pct"/>
            <w:tcBorders>
              <w:top w:val="single" w:color="auto" w:sz="4" w:space="0"/>
              <w:left w:val="single" w:color="auto" w:sz="12" w:space="0"/>
              <w:bottom w:val="single" w:color="auto" w:sz="4" w:space="0"/>
              <w:right w:val="single" w:color="auto" w:sz="4" w:space="0"/>
            </w:tcBorders>
            <w:shd w:val="clear" w:color="auto" w:fill="auto"/>
            <w:vAlign w:val="center"/>
          </w:tcPr>
          <w:p>
            <w:pPr>
              <w:widowControl/>
              <w:numPr>
                <w:ilvl w:val="0"/>
                <w:numId w:val="4"/>
              </w:numPr>
              <w:tabs>
                <w:tab w:val="left" w:pos="397"/>
                <w:tab w:val="clear" w:pos="0"/>
              </w:tabs>
              <w:adjustRightInd w:val="0"/>
              <w:snapToGrid w:val="0"/>
              <w:spacing w:line="240" w:lineRule="auto"/>
              <w:ind w:firstLine="0" w:firstLineChars="0"/>
              <w:jc w:val="center"/>
              <w:textAlignment w:val="center"/>
              <w:rPr>
                <w:rFonts w:ascii="宋体" w:hAnsi="宋体" w:eastAsia="宋体" w:cs="宋体"/>
                <w:kern w:val="0"/>
                <w:sz w:val="21"/>
                <w:szCs w:val="21"/>
              </w:rPr>
            </w:pPr>
          </w:p>
        </w:tc>
        <w:tc>
          <w:tcPr>
            <w:tcW w:w="338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《生产过程安全卫生要求总则》</w:t>
            </w:r>
          </w:p>
        </w:tc>
        <w:tc>
          <w:tcPr>
            <w:tcW w:w="1244" w:type="pct"/>
            <w:tcBorders>
              <w:top w:val="single" w:color="auto" w:sz="4" w:space="0"/>
              <w:left w:val="single" w:color="auto" w:sz="4" w:space="0"/>
              <w:bottom w:val="single" w:color="auto" w:sz="4" w:space="0"/>
              <w:right w:val="single" w:color="auto" w:sz="12"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GB/T 12801-2008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3" w:type="pct"/>
            <w:tcBorders>
              <w:top w:val="single" w:color="auto" w:sz="4" w:space="0"/>
              <w:left w:val="single" w:color="auto" w:sz="12" w:space="0"/>
              <w:bottom w:val="single" w:color="auto" w:sz="4" w:space="0"/>
              <w:right w:val="single" w:color="auto" w:sz="4" w:space="0"/>
            </w:tcBorders>
            <w:shd w:val="clear" w:color="auto" w:fill="auto"/>
            <w:vAlign w:val="center"/>
          </w:tcPr>
          <w:p>
            <w:pPr>
              <w:widowControl/>
              <w:numPr>
                <w:ilvl w:val="0"/>
                <w:numId w:val="4"/>
              </w:numPr>
              <w:tabs>
                <w:tab w:val="left" w:pos="397"/>
                <w:tab w:val="clear" w:pos="0"/>
              </w:tabs>
              <w:adjustRightInd w:val="0"/>
              <w:snapToGrid w:val="0"/>
              <w:spacing w:line="240" w:lineRule="auto"/>
              <w:ind w:firstLine="0" w:firstLineChars="0"/>
              <w:jc w:val="center"/>
              <w:textAlignment w:val="center"/>
              <w:rPr>
                <w:rFonts w:ascii="宋体" w:hAnsi="宋体" w:eastAsia="宋体" w:cs="宋体"/>
                <w:kern w:val="0"/>
                <w:sz w:val="21"/>
                <w:szCs w:val="21"/>
              </w:rPr>
            </w:pPr>
          </w:p>
        </w:tc>
        <w:tc>
          <w:tcPr>
            <w:tcW w:w="338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《生产过程危险和有害因素分类与代码》</w:t>
            </w:r>
          </w:p>
        </w:tc>
        <w:tc>
          <w:tcPr>
            <w:tcW w:w="1244" w:type="pct"/>
            <w:tcBorders>
              <w:top w:val="single" w:color="auto" w:sz="4" w:space="0"/>
              <w:left w:val="single" w:color="auto" w:sz="4" w:space="0"/>
              <w:bottom w:val="single" w:color="auto" w:sz="4" w:space="0"/>
              <w:right w:val="single" w:color="auto" w:sz="12"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GB/T 13861-2022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3" w:type="pct"/>
            <w:tcBorders>
              <w:top w:val="single" w:color="auto" w:sz="4" w:space="0"/>
              <w:left w:val="single" w:color="auto" w:sz="12" w:space="0"/>
              <w:bottom w:val="single" w:color="auto" w:sz="4" w:space="0"/>
              <w:right w:val="single" w:color="auto" w:sz="4" w:space="0"/>
            </w:tcBorders>
            <w:shd w:val="clear" w:color="auto" w:fill="auto"/>
            <w:vAlign w:val="center"/>
          </w:tcPr>
          <w:p>
            <w:pPr>
              <w:widowControl/>
              <w:numPr>
                <w:ilvl w:val="0"/>
                <w:numId w:val="4"/>
              </w:numPr>
              <w:tabs>
                <w:tab w:val="left" w:pos="397"/>
                <w:tab w:val="clear" w:pos="0"/>
              </w:tabs>
              <w:adjustRightInd w:val="0"/>
              <w:snapToGrid w:val="0"/>
              <w:spacing w:line="240" w:lineRule="auto"/>
              <w:ind w:firstLine="0" w:firstLineChars="0"/>
              <w:jc w:val="center"/>
              <w:textAlignment w:val="center"/>
              <w:rPr>
                <w:rFonts w:ascii="宋体" w:hAnsi="宋体" w:eastAsia="宋体" w:cs="宋体"/>
                <w:kern w:val="0"/>
                <w:sz w:val="21"/>
                <w:szCs w:val="21"/>
              </w:rPr>
            </w:pPr>
          </w:p>
        </w:tc>
        <w:tc>
          <w:tcPr>
            <w:tcW w:w="338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《生产经营单位生产安全事故应急预案编制导则》</w:t>
            </w:r>
          </w:p>
        </w:tc>
        <w:tc>
          <w:tcPr>
            <w:tcW w:w="1244" w:type="pct"/>
            <w:tcBorders>
              <w:top w:val="single" w:color="auto" w:sz="4" w:space="0"/>
              <w:left w:val="single" w:color="auto" w:sz="4" w:space="0"/>
              <w:bottom w:val="single" w:color="auto" w:sz="4" w:space="0"/>
              <w:right w:val="single" w:color="auto" w:sz="12"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GB/T 29639-2020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3" w:type="pct"/>
            <w:tcBorders>
              <w:top w:val="single" w:color="auto" w:sz="4" w:space="0"/>
              <w:left w:val="single" w:color="auto" w:sz="12" w:space="0"/>
              <w:bottom w:val="single" w:color="auto" w:sz="4" w:space="0"/>
              <w:right w:val="single" w:color="auto" w:sz="4" w:space="0"/>
            </w:tcBorders>
            <w:shd w:val="clear" w:color="auto" w:fill="auto"/>
            <w:vAlign w:val="center"/>
          </w:tcPr>
          <w:p>
            <w:pPr>
              <w:widowControl/>
              <w:numPr>
                <w:ilvl w:val="0"/>
                <w:numId w:val="4"/>
              </w:numPr>
              <w:tabs>
                <w:tab w:val="left" w:pos="397"/>
                <w:tab w:val="clear" w:pos="0"/>
              </w:tabs>
              <w:adjustRightInd w:val="0"/>
              <w:snapToGrid w:val="0"/>
              <w:spacing w:line="240" w:lineRule="auto"/>
              <w:ind w:firstLine="0" w:firstLineChars="0"/>
              <w:jc w:val="center"/>
              <w:textAlignment w:val="center"/>
              <w:rPr>
                <w:rFonts w:ascii="宋体" w:hAnsi="宋体" w:eastAsia="宋体" w:cs="宋体"/>
                <w:kern w:val="0"/>
                <w:sz w:val="21"/>
                <w:szCs w:val="21"/>
              </w:rPr>
            </w:pPr>
          </w:p>
        </w:tc>
        <w:tc>
          <w:tcPr>
            <w:tcW w:w="338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《生产设备安全卫生设计总则》</w:t>
            </w:r>
          </w:p>
        </w:tc>
        <w:tc>
          <w:tcPr>
            <w:tcW w:w="1244" w:type="pct"/>
            <w:tcBorders>
              <w:top w:val="single" w:color="auto" w:sz="4" w:space="0"/>
              <w:left w:val="single" w:color="auto" w:sz="4" w:space="0"/>
              <w:bottom w:val="single" w:color="auto" w:sz="4" w:space="0"/>
              <w:right w:val="single" w:color="auto" w:sz="12"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GB 5083-1999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3" w:type="pct"/>
            <w:tcBorders>
              <w:top w:val="single" w:color="auto" w:sz="4" w:space="0"/>
              <w:left w:val="single" w:color="auto" w:sz="12" w:space="0"/>
              <w:bottom w:val="single" w:color="auto" w:sz="4" w:space="0"/>
              <w:right w:val="single" w:color="auto" w:sz="4" w:space="0"/>
            </w:tcBorders>
            <w:shd w:val="clear" w:color="auto" w:fill="auto"/>
            <w:vAlign w:val="center"/>
          </w:tcPr>
          <w:p>
            <w:pPr>
              <w:widowControl/>
              <w:numPr>
                <w:ilvl w:val="0"/>
                <w:numId w:val="4"/>
              </w:numPr>
              <w:tabs>
                <w:tab w:val="left" w:pos="397"/>
                <w:tab w:val="clear" w:pos="0"/>
              </w:tabs>
              <w:adjustRightInd w:val="0"/>
              <w:snapToGrid w:val="0"/>
              <w:spacing w:line="240" w:lineRule="auto"/>
              <w:ind w:firstLine="0" w:firstLineChars="0"/>
              <w:jc w:val="center"/>
              <w:textAlignment w:val="center"/>
              <w:rPr>
                <w:rFonts w:ascii="宋体" w:hAnsi="宋体" w:eastAsia="宋体" w:cs="宋体"/>
                <w:kern w:val="0"/>
                <w:sz w:val="21"/>
                <w:szCs w:val="21"/>
              </w:rPr>
            </w:pPr>
          </w:p>
        </w:tc>
        <w:tc>
          <w:tcPr>
            <w:tcW w:w="338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lang w:bidi="ar"/>
              </w:rPr>
            </w:pPr>
            <w:r>
              <w:rPr>
                <w:rFonts w:hint="eastAsia" w:ascii="宋体" w:hAnsi="宋体" w:cs="宋体"/>
                <w:color w:val="000000"/>
                <w:kern w:val="0"/>
                <w:sz w:val="21"/>
                <w:szCs w:val="21"/>
                <w:lang w:bidi="ar"/>
              </w:rPr>
              <w:t>《室外排水设计标准》</w:t>
            </w:r>
          </w:p>
        </w:tc>
        <w:tc>
          <w:tcPr>
            <w:tcW w:w="1244" w:type="pct"/>
            <w:tcBorders>
              <w:top w:val="single" w:color="auto" w:sz="4" w:space="0"/>
              <w:left w:val="single" w:color="auto" w:sz="4" w:space="0"/>
              <w:bottom w:val="single" w:color="auto" w:sz="4" w:space="0"/>
              <w:right w:val="single" w:color="auto" w:sz="12"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lang w:bidi="ar"/>
              </w:rPr>
            </w:pPr>
            <w:r>
              <w:rPr>
                <w:rFonts w:hint="eastAsia" w:ascii="宋体" w:hAnsi="宋体" w:cs="宋体"/>
                <w:color w:val="000000"/>
                <w:kern w:val="0"/>
                <w:sz w:val="21"/>
                <w:szCs w:val="21"/>
                <w:lang w:bidi="ar"/>
              </w:rPr>
              <w:t>GB 50014-2021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3" w:type="pct"/>
            <w:tcBorders>
              <w:top w:val="single" w:color="auto" w:sz="4" w:space="0"/>
              <w:left w:val="single" w:color="auto" w:sz="12" w:space="0"/>
              <w:bottom w:val="single" w:color="auto" w:sz="4" w:space="0"/>
              <w:right w:val="single" w:color="auto" w:sz="4" w:space="0"/>
            </w:tcBorders>
            <w:shd w:val="clear" w:color="auto" w:fill="auto"/>
            <w:vAlign w:val="center"/>
          </w:tcPr>
          <w:p>
            <w:pPr>
              <w:widowControl/>
              <w:numPr>
                <w:ilvl w:val="0"/>
                <w:numId w:val="4"/>
              </w:numPr>
              <w:tabs>
                <w:tab w:val="left" w:pos="397"/>
                <w:tab w:val="clear" w:pos="0"/>
              </w:tabs>
              <w:adjustRightInd w:val="0"/>
              <w:snapToGrid w:val="0"/>
              <w:spacing w:line="240" w:lineRule="auto"/>
              <w:ind w:firstLine="0" w:firstLineChars="0"/>
              <w:jc w:val="center"/>
              <w:textAlignment w:val="center"/>
              <w:rPr>
                <w:rFonts w:ascii="宋体" w:hAnsi="宋体" w:eastAsia="宋体" w:cs="宋体"/>
                <w:kern w:val="0"/>
                <w:sz w:val="21"/>
                <w:szCs w:val="21"/>
              </w:rPr>
            </w:pPr>
          </w:p>
        </w:tc>
        <w:tc>
          <w:tcPr>
            <w:tcW w:w="338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lang w:bidi="ar"/>
              </w:rPr>
            </w:pPr>
            <w:r>
              <w:rPr>
                <w:rFonts w:hint="eastAsia" w:ascii="宋体" w:hAnsi="宋体" w:cs="宋体"/>
                <w:color w:val="000000"/>
                <w:kern w:val="0"/>
                <w:sz w:val="21"/>
                <w:szCs w:val="21"/>
                <w:lang w:bidi="ar"/>
              </w:rPr>
              <w:t>《输送设备安装工程施工及验收规范》</w:t>
            </w:r>
          </w:p>
        </w:tc>
        <w:tc>
          <w:tcPr>
            <w:tcW w:w="1244" w:type="pct"/>
            <w:tcBorders>
              <w:top w:val="single" w:color="auto" w:sz="4" w:space="0"/>
              <w:left w:val="single" w:color="auto" w:sz="4" w:space="0"/>
              <w:bottom w:val="single" w:color="auto" w:sz="4" w:space="0"/>
              <w:right w:val="single" w:color="auto" w:sz="12"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lang w:bidi="ar"/>
              </w:rPr>
            </w:pPr>
            <w:r>
              <w:rPr>
                <w:rFonts w:hint="eastAsia" w:ascii="宋体" w:hAnsi="宋体" w:cs="宋体"/>
                <w:color w:val="000000"/>
                <w:kern w:val="0"/>
                <w:sz w:val="21"/>
                <w:szCs w:val="21"/>
                <w:lang w:bidi="ar"/>
              </w:rPr>
              <w:t>GB 50270-2010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3" w:type="pct"/>
            <w:tcBorders>
              <w:top w:val="single" w:color="auto" w:sz="4" w:space="0"/>
              <w:left w:val="single" w:color="auto" w:sz="12" w:space="0"/>
              <w:bottom w:val="single" w:color="auto" w:sz="4" w:space="0"/>
              <w:right w:val="single" w:color="auto" w:sz="4" w:space="0"/>
            </w:tcBorders>
            <w:shd w:val="clear" w:color="auto" w:fill="auto"/>
            <w:vAlign w:val="center"/>
          </w:tcPr>
          <w:p>
            <w:pPr>
              <w:widowControl/>
              <w:numPr>
                <w:ilvl w:val="0"/>
                <w:numId w:val="4"/>
              </w:numPr>
              <w:tabs>
                <w:tab w:val="left" w:pos="397"/>
                <w:tab w:val="clear" w:pos="0"/>
              </w:tabs>
              <w:adjustRightInd w:val="0"/>
              <w:snapToGrid w:val="0"/>
              <w:spacing w:line="240" w:lineRule="auto"/>
              <w:ind w:firstLine="0" w:firstLineChars="0"/>
              <w:jc w:val="center"/>
              <w:textAlignment w:val="center"/>
              <w:rPr>
                <w:rFonts w:ascii="宋体" w:hAnsi="宋体" w:eastAsia="宋体" w:cs="宋体"/>
                <w:kern w:val="0"/>
                <w:sz w:val="21"/>
                <w:szCs w:val="21"/>
              </w:rPr>
            </w:pPr>
          </w:p>
        </w:tc>
        <w:tc>
          <w:tcPr>
            <w:tcW w:w="338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lang w:bidi="ar"/>
              </w:rPr>
            </w:pPr>
            <w:r>
              <w:rPr>
                <w:rFonts w:hint="eastAsia" w:ascii="宋体" w:hAnsi="宋体" w:cs="宋体"/>
                <w:color w:val="000000"/>
                <w:kern w:val="0"/>
                <w:sz w:val="21"/>
                <w:szCs w:val="21"/>
                <w:lang w:bidi="ar"/>
              </w:rPr>
              <w:t>《通用桥式起重机》</w:t>
            </w:r>
          </w:p>
        </w:tc>
        <w:tc>
          <w:tcPr>
            <w:tcW w:w="1244" w:type="pct"/>
            <w:tcBorders>
              <w:top w:val="single" w:color="auto" w:sz="4" w:space="0"/>
              <w:left w:val="single" w:color="auto" w:sz="4" w:space="0"/>
              <w:bottom w:val="single" w:color="auto" w:sz="4" w:space="0"/>
              <w:right w:val="single" w:color="auto" w:sz="12"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lang w:bidi="ar"/>
              </w:rPr>
            </w:pPr>
            <w:r>
              <w:rPr>
                <w:rFonts w:hint="eastAsia" w:ascii="宋体" w:hAnsi="宋体" w:cs="宋体"/>
                <w:color w:val="000000"/>
                <w:kern w:val="0"/>
                <w:sz w:val="21"/>
                <w:szCs w:val="21"/>
                <w:lang w:bidi="ar"/>
              </w:rPr>
              <w:t>GB/T 14405-2011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3" w:type="pct"/>
            <w:tcBorders>
              <w:top w:val="single" w:color="auto" w:sz="4" w:space="0"/>
              <w:left w:val="single" w:color="auto" w:sz="12" w:space="0"/>
              <w:bottom w:val="single" w:color="auto" w:sz="4" w:space="0"/>
              <w:right w:val="single" w:color="auto" w:sz="4" w:space="0"/>
            </w:tcBorders>
            <w:shd w:val="clear" w:color="auto" w:fill="auto"/>
            <w:vAlign w:val="center"/>
          </w:tcPr>
          <w:p>
            <w:pPr>
              <w:widowControl/>
              <w:numPr>
                <w:ilvl w:val="0"/>
                <w:numId w:val="4"/>
              </w:numPr>
              <w:tabs>
                <w:tab w:val="left" w:pos="397"/>
                <w:tab w:val="clear" w:pos="0"/>
              </w:tabs>
              <w:adjustRightInd w:val="0"/>
              <w:snapToGrid w:val="0"/>
              <w:spacing w:line="240" w:lineRule="auto"/>
              <w:ind w:firstLine="0" w:firstLineChars="0"/>
              <w:jc w:val="center"/>
              <w:textAlignment w:val="center"/>
              <w:rPr>
                <w:rFonts w:ascii="宋体" w:hAnsi="宋体" w:eastAsia="宋体" w:cs="宋体"/>
                <w:kern w:val="0"/>
                <w:sz w:val="21"/>
                <w:szCs w:val="21"/>
              </w:rPr>
            </w:pPr>
          </w:p>
        </w:tc>
        <w:tc>
          <w:tcPr>
            <w:tcW w:w="338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lang w:bidi="ar"/>
              </w:rPr>
            </w:pPr>
            <w:r>
              <w:rPr>
                <w:rFonts w:hint="eastAsia" w:ascii="宋体" w:hAnsi="宋体" w:cs="宋体"/>
                <w:color w:val="000000"/>
                <w:kern w:val="0"/>
                <w:sz w:val="21"/>
                <w:szCs w:val="21"/>
                <w:lang w:bidi="ar"/>
              </w:rPr>
              <w:t>《涂装作业安全规程 安全管理通则》</w:t>
            </w:r>
          </w:p>
        </w:tc>
        <w:tc>
          <w:tcPr>
            <w:tcW w:w="1244" w:type="pct"/>
            <w:tcBorders>
              <w:top w:val="single" w:color="auto" w:sz="4" w:space="0"/>
              <w:left w:val="single" w:color="auto" w:sz="4" w:space="0"/>
              <w:bottom w:val="single" w:color="auto" w:sz="4" w:space="0"/>
              <w:right w:val="single" w:color="auto" w:sz="12"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lang w:bidi="ar"/>
              </w:rPr>
            </w:pPr>
            <w:r>
              <w:rPr>
                <w:rFonts w:hint="eastAsia" w:ascii="宋体" w:hAnsi="宋体" w:cs="宋体"/>
                <w:color w:val="000000"/>
                <w:kern w:val="0"/>
                <w:sz w:val="21"/>
                <w:szCs w:val="21"/>
                <w:lang w:bidi="ar"/>
              </w:rPr>
              <w:t>GB 7691-2003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3" w:type="pct"/>
            <w:tcBorders>
              <w:top w:val="single" w:color="auto" w:sz="4" w:space="0"/>
              <w:left w:val="single" w:color="auto" w:sz="12" w:space="0"/>
              <w:bottom w:val="single" w:color="auto" w:sz="4" w:space="0"/>
              <w:right w:val="single" w:color="auto" w:sz="4" w:space="0"/>
            </w:tcBorders>
            <w:shd w:val="clear" w:color="auto" w:fill="auto"/>
            <w:vAlign w:val="center"/>
          </w:tcPr>
          <w:p>
            <w:pPr>
              <w:widowControl/>
              <w:numPr>
                <w:ilvl w:val="0"/>
                <w:numId w:val="4"/>
              </w:numPr>
              <w:tabs>
                <w:tab w:val="left" w:pos="397"/>
                <w:tab w:val="clear" w:pos="0"/>
              </w:tabs>
              <w:adjustRightInd w:val="0"/>
              <w:snapToGrid w:val="0"/>
              <w:spacing w:line="240" w:lineRule="auto"/>
              <w:ind w:firstLine="0" w:firstLineChars="0"/>
              <w:jc w:val="center"/>
              <w:textAlignment w:val="center"/>
              <w:rPr>
                <w:rFonts w:ascii="宋体" w:hAnsi="宋体" w:eastAsia="宋体" w:cs="宋体"/>
                <w:kern w:val="0"/>
                <w:sz w:val="21"/>
                <w:szCs w:val="21"/>
              </w:rPr>
            </w:pPr>
          </w:p>
        </w:tc>
        <w:tc>
          <w:tcPr>
            <w:tcW w:w="338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lang w:bidi="ar"/>
              </w:rPr>
            </w:pPr>
            <w:r>
              <w:rPr>
                <w:rFonts w:hint="eastAsia" w:ascii="宋体" w:hAnsi="宋体" w:cs="宋体"/>
                <w:color w:val="000000"/>
                <w:kern w:val="0"/>
                <w:sz w:val="21"/>
                <w:szCs w:val="21"/>
                <w:lang w:bidi="ar"/>
              </w:rPr>
              <w:t>《涂装作业安全规程 喷漆工艺安全及其通风净化》</w:t>
            </w:r>
          </w:p>
        </w:tc>
        <w:tc>
          <w:tcPr>
            <w:tcW w:w="1244" w:type="pct"/>
            <w:tcBorders>
              <w:top w:val="single" w:color="auto" w:sz="4" w:space="0"/>
              <w:left w:val="single" w:color="auto" w:sz="4" w:space="0"/>
              <w:bottom w:val="single" w:color="auto" w:sz="4" w:space="0"/>
              <w:right w:val="single" w:color="auto" w:sz="12"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lang w:bidi="ar"/>
              </w:rPr>
            </w:pPr>
            <w:r>
              <w:rPr>
                <w:rFonts w:hint="eastAsia" w:ascii="宋体" w:hAnsi="宋体" w:cs="宋体"/>
                <w:color w:val="000000"/>
                <w:kern w:val="0"/>
                <w:sz w:val="21"/>
                <w:szCs w:val="21"/>
                <w:lang w:bidi="ar"/>
              </w:rPr>
              <w:t>GB 6514-2008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3" w:type="pct"/>
            <w:tcBorders>
              <w:top w:val="single" w:color="auto" w:sz="4" w:space="0"/>
              <w:left w:val="single" w:color="auto" w:sz="12" w:space="0"/>
              <w:bottom w:val="single" w:color="auto" w:sz="4" w:space="0"/>
              <w:right w:val="single" w:color="auto" w:sz="4" w:space="0"/>
            </w:tcBorders>
            <w:shd w:val="clear" w:color="auto" w:fill="auto"/>
            <w:vAlign w:val="center"/>
          </w:tcPr>
          <w:p>
            <w:pPr>
              <w:widowControl/>
              <w:numPr>
                <w:ilvl w:val="0"/>
                <w:numId w:val="4"/>
              </w:numPr>
              <w:tabs>
                <w:tab w:val="left" w:pos="397"/>
                <w:tab w:val="clear" w:pos="0"/>
              </w:tabs>
              <w:adjustRightInd w:val="0"/>
              <w:snapToGrid w:val="0"/>
              <w:spacing w:line="240" w:lineRule="auto"/>
              <w:ind w:firstLine="0" w:firstLineChars="0"/>
              <w:jc w:val="center"/>
              <w:textAlignment w:val="center"/>
              <w:rPr>
                <w:rFonts w:ascii="宋体" w:hAnsi="宋体" w:eastAsia="宋体" w:cs="宋体"/>
                <w:kern w:val="0"/>
                <w:sz w:val="21"/>
                <w:szCs w:val="21"/>
              </w:rPr>
            </w:pPr>
          </w:p>
        </w:tc>
        <w:tc>
          <w:tcPr>
            <w:tcW w:w="338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textAlignment w:val="center"/>
              <w:rPr>
                <w:rFonts w:ascii="宋体" w:hAnsi="宋体" w:cs="宋体"/>
                <w:color w:val="000000"/>
                <w:kern w:val="0"/>
                <w:sz w:val="21"/>
                <w:szCs w:val="21"/>
                <w:lang w:bidi="ar"/>
              </w:rPr>
            </w:pPr>
            <w:r>
              <w:rPr>
                <w:rFonts w:hint="eastAsia" w:ascii="宋体" w:hAnsi="宋体" w:cs="宋体"/>
                <w:color w:val="000000"/>
                <w:kern w:val="0"/>
                <w:sz w:val="21"/>
                <w:szCs w:val="21"/>
                <w:lang w:bidi="ar"/>
              </w:rPr>
              <w:t>《涂装作业安全规程 粉末静电喷涂工艺安全》</w:t>
            </w:r>
          </w:p>
        </w:tc>
        <w:tc>
          <w:tcPr>
            <w:tcW w:w="1244" w:type="pct"/>
            <w:tcBorders>
              <w:top w:val="single" w:color="auto" w:sz="4" w:space="0"/>
              <w:left w:val="single" w:color="auto" w:sz="4" w:space="0"/>
              <w:bottom w:val="single" w:color="auto" w:sz="4" w:space="0"/>
              <w:right w:val="single" w:color="auto" w:sz="12" w:space="0"/>
            </w:tcBorders>
            <w:shd w:val="clear" w:color="auto" w:fill="auto"/>
            <w:noWrap/>
            <w:vAlign w:val="center"/>
          </w:tcPr>
          <w:p>
            <w:pPr>
              <w:widowControl/>
              <w:ind w:firstLine="0" w:firstLineChars="0"/>
              <w:rPr>
                <w:rFonts w:ascii="宋体" w:hAnsi="宋体" w:cs="宋体"/>
                <w:color w:val="000000"/>
                <w:kern w:val="0"/>
                <w:sz w:val="21"/>
                <w:szCs w:val="21"/>
                <w:lang w:bidi="ar"/>
              </w:rPr>
            </w:pPr>
            <w:r>
              <w:rPr>
                <w:rFonts w:hint="eastAsia" w:ascii="宋体" w:hAnsi="宋体" w:cs="宋体"/>
                <w:color w:val="000000"/>
                <w:kern w:val="0"/>
                <w:sz w:val="21"/>
                <w:szCs w:val="21"/>
                <w:lang w:bidi="ar"/>
              </w:rPr>
              <w:t xml:space="preserve">GB 15607-2008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3" w:type="pct"/>
            <w:tcBorders>
              <w:top w:val="single" w:color="auto" w:sz="4" w:space="0"/>
              <w:left w:val="single" w:color="auto" w:sz="12" w:space="0"/>
              <w:bottom w:val="single" w:color="auto" w:sz="4" w:space="0"/>
              <w:right w:val="single" w:color="auto" w:sz="4" w:space="0"/>
            </w:tcBorders>
            <w:shd w:val="clear" w:color="auto" w:fill="auto"/>
            <w:vAlign w:val="center"/>
          </w:tcPr>
          <w:p>
            <w:pPr>
              <w:widowControl/>
              <w:numPr>
                <w:ilvl w:val="0"/>
                <w:numId w:val="4"/>
              </w:numPr>
              <w:tabs>
                <w:tab w:val="left" w:pos="397"/>
                <w:tab w:val="clear" w:pos="0"/>
              </w:tabs>
              <w:adjustRightInd w:val="0"/>
              <w:snapToGrid w:val="0"/>
              <w:spacing w:line="240" w:lineRule="auto"/>
              <w:ind w:firstLine="0" w:firstLineChars="0"/>
              <w:jc w:val="center"/>
              <w:textAlignment w:val="center"/>
              <w:rPr>
                <w:rFonts w:ascii="宋体" w:hAnsi="宋体" w:eastAsia="宋体" w:cs="宋体"/>
                <w:kern w:val="0"/>
                <w:sz w:val="21"/>
                <w:szCs w:val="21"/>
              </w:rPr>
            </w:pPr>
          </w:p>
        </w:tc>
        <w:tc>
          <w:tcPr>
            <w:tcW w:w="338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《危险化学品重大危险源辨识》</w:t>
            </w:r>
          </w:p>
        </w:tc>
        <w:tc>
          <w:tcPr>
            <w:tcW w:w="1244" w:type="pct"/>
            <w:tcBorders>
              <w:top w:val="single" w:color="auto" w:sz="4" w:space="0"/>
              <w:left w:val="single" w:color="auto" w:sz="4" w:space="0"/>
              <w:bottom w:val="single" w:color="auto" w:sz="4" w:space="0"/>
              <w:right w:val="single" w:color="auto" w:sz="12"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GB 18218-2018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3" w:type="pct"/>
            <w:tcBorders>
              <w:top w:val="single" w:color="auto" w:sz="4" w:space="0"/>
              <w:left w:val="single" w:color="auto" w:sz="12" w:space="0"/>
              <w:bottom w:val="single" w:color="auto" w:sz="4" w:space="0"/>
              <w:right w:val="single" w:color="auto" w:sz="4" w:space="0"/>
            </w:tcBorders>
            <w:shd w:val="clear" w:color="auto" w:fill="auto"/>
            <w:vAlign w:val="center"/>
          </w:tcPr>
          <w:p>
            <w:pPr>
              <w:widowControl/>
              <w:numPr>
                <w:ilvl w:val="0"/>
                <w:numId w:val="4"/>
              </w:numPr>
              <w:tabs>
                <w:tab w:val="left" w:pos="397"/>
                <w:tab w:val="clear" w:pos="0"/>
              </w:tabs>
              <w:adjustRightInd w:val="0"/>
              <w:snapToGrid w:val="0"/>
              <w:spacing w:line="240" w:lineRule="auto"/>
              <w:ind w:firstLine="0" w:firstLineChars="0"/>
              <w:jc w:val="center"/>
              <w:textAlignment w:val="center"/>
              <w:rPr>
                <w:rFonts w:ascii="宋体" w:hAnsi="宋体" w:eastAsia="宋体" w:cs="宋体"/>
                <w:kern w:val="0"/>
                <w:sz w:val="21"/>
                <w:szCs w:val="21"/>
              </w:rPr>
            </w:pPr>
          </w:p>
        </w:tc>
        <w:tc>
          <w:tcPr>
            <w:tcW w:w="338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《危险货物品名表》</w:t>
            </w:r>
          </w:p>
        </w:tc>
        <w:tc>
          <w:tcPr>
            <w:tcW w:w="1244" w:type="pct"/>
            <w:tcBorders>
              <w:top w:val="single" w:color="auto" w:sz="4" w:space="0"/>
              <w:left w:val="single" w:color="auto" w:sz="4" w:space="0"/>
              <w:bottom w:val="single" w:color="auto" w:sz="4" w:space="0"/>
              <w:right w:val="single" w:color="auto" w:sz="12"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GB 12268-2012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3" w:type="pct"/>
            <w:tcBorders>
              <w:top w:val="single" w:color="auto" w:sz="4" w:space="0"/>
              <w:left w:val="single" w:color="auto" w:sz="12" w:space="0"/>
              <w:bottom w:val="single" w:color="auto" w:sz="4" w:space="0"/>
              <w:right w:val="single" w:color="auto" w:sz="4" w:space="0"/>
            </w:tcBorders>
            <w:shd w:val="clear" w:color="auto" w:fill="auto"/>
            <w:vAlign w:val="center"/>
          </w:tcPr>
          <w:p>
            <w:pPr>
              <w:widowControl/>
              <w:numPr>
                <w:ilvl w:val="0"/>
                <w:numId w:val="4"/>
              </w:numPr>
              <w:tabs>
                <w:tab w:val="left" w:pos="397"/>
                <w:tab w:val="clear" w:pos="0"/>
              </w:tabs>
              <w:adjustRightInd w:val="0"/>
              <w:snapToGrid w:val="0"/>
              <w:spacing w:line="240" w:lineRule="auto"/>
              <w:ind w:firstLine="0" w:firstLineChars="0"/>
              <w:jc w:val="center"/>
              <w:textAlignment w:val="center"/>
              <w:rPr>
                <w:rFonts w:ascii="宋体" w:hAnsi="宋体" w:eastAsia="宋体" w:cs="宋体"/>
                <w:kern w:val="0"/>
                <w:sz w:val="21"/>
                <w:szCs w:val="21"/>
              </w:rPr>
            </w:pPr>
          </w:p>
        </w:tc>
        <w:tc>
          <w:tcPr>
            <w:tcW w:w="338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《系统接地的型式及安全技术要求》</w:t>
            </w:r>
          </w:p>
        </w:tc>
        <w:tc>
          <w:tcPr>
            <w:tcW w:w="1244" w:type="pct"/>
            <w:tcBorders>
              <w:top w:val="single" w:color="auto" w:sz="4" w:space="0"/>
              <w:left w:val="single" w:color="auto" w:sz="4" w:space="0"/>
              <w:bottom w:val="single" w:color="auto" w:sz="4" w:space="0"/>
              <w:right w:val="single" w:color="auto" w:sz="12"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GB 14050-2008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3" w:type="pct"/>
            <w:tcBorders>
              <w:top w:val="single" w:color="auto" w:sz="4" w:space="0"/>
              <w:left w:val="single" w:color="auto" w:sz="12" w:space="0"/>
              <w:bottom w:val="single" w:color="auto" w:sz="4" w:space="0"/>
              <w:right w:val="single" w:color="auto" w:sz="4" w:space="0"/>
            </w:tcBorders>
            <w:shd w:val="clear" w:color="auto" w:fill="auto"/>
            <w:vAlign w:val="center"/>
          </w:tcPr>
          <w:p>
            <w:pPr>
              <w:widowControl/>
              <w:numPr>
                <w:ilvl w:val="0"/>
                <w:numId w:val="4"/>
              </w:numPr>
              <w:tabs>
                <w:tab w:val="left" w:pos="397"/>
                <w:tab w:val="clear" w:pos="0"/>
              </w:tabs>
              <w:adjustRightInd w:val="0"/>
              <w:snapToGrid w:val="0"/>
              <w:spacing w:line="240" w:lineRule="auto"/>
              <w:ind w:firstLine="0" w:firstLineChars="0"/>
              <w:jc w:val="center"/>
              <w:textAlignment w:val="center"/>
              <w:rPr>
                <w:rFonts w:ascii="宋体" w:hAnsi="宋体" w:eastAsia="宋体" w:cs="宋体"/>
                <w:kern w:val="0"/>
                <w:sz w:val="21"/>
                <w:szCs w:val="21"/>
              </w:rPr>
            </w:pPr>
          </w:p>
        </w:tc>
        <w:tc>
          <w:tcPr>
            <w:tcW w:w="338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textAlignment w:val="center"/>
              <w:rPr>
                <w:rFonts w:ascii="宋体" w:hAnsi="宋体" w:cs="宋体"/>
                <w:color w:val="000000"/>
                <w:kern w:val="0"/>
                <w:sz w:val="21"/>
                <w:szCs w:val="21"/>
                <w:lang w:bidi="ar"/>
              </w:rPr>
            </w:pPr>
            <w:r>
              <w:rPr>
                <w:rFonts w:hint="eastAsia" w:ascii="宋体" w:hAnsi="宋体" w:cs="宋体"/>
                <w:color w:val="000000"/>
                <w:kern w:val="0"/>
                <w:sz w:val="21"/>
                <w:szCs w:val="21"/>
                <w:lang w:bidi="ar"/>
              </w:rPr>
              <w:t>《消防安全标志 第1部分：标志》</w:t>
            </w:r>
          </w:p>
        </w:tc>
        <w:tc>
          <w:tcPr>
            <w:tcW w:w="1244" w:type="pct"/>
            <w:tcBorders>
              <w:top w:val="single" w:color="auto" w:sz="4" w:space="0"/>
              <w:left w:val="single" w:color="auto" w:sz="4" w:space="0"/>
              <w:bottom w:val="single" w:color="auto" w:sz="4" w:space="0"/>
              <w:right w:val="single" w:color="auto" w:sz="12" w:space="0"/>
            </w:tcBorders>
            <w:shd w:val="clear" w:color="auto" w:fill="auto"/>
            <w:noWrap/>
            <w:vAlign w:val="center"/>
          </w:tcPr>
          <w:p>
            <w:pPr>
              <w:widowControl/>
              <w:spacing w:line="240" w:lineRule="auto"/>
              <w:ind w:firstLine="0" w:firstLineChars="0"/>
              <w:textAlignment w:val="center"/>
              <w:rPr>
                <w:rFonts w:ascii="宋体" w:hAnsi="宋体" w:cs="宋体"/>
                <w:color w:val="000000"/>
                <w:kern w:val="0"/>
                <w:sz w:val="21"/>
                <w:szCs w:val="21"/>
                <w:lang w:bidi="ar"/>
              </w:rPr>
            </w:pPr>
            <w:r>
              <w:rPr>
                <w:rFonts w:hint="eastAsia" w:ascii="宋体" w:hAnsi="宋体" w:cs="宋体"/>
                <w:color w:val="000000"/>
                <w:kern w:val="0"/>
                <w:sz w:val="21"/>
                <w:szCs w:val="21"/>
                <w:lang w:bidi="ar"/>
              </w:rPr>
              <w:t>GB 13495.1-2015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3" w:type="pct"/>
            <w:tcBorders>
              <w:top w:val="single" w:color="auto" w:sz="4" w:space="0"/>
              <w:left w:val="single" w:color="auto" w:sz="12" w:space="0"/>
              <w:bottom w:val="single" w:color="auto" w:sz="4" w:space="0"/>
              <w:right w:val="single" w:color="auto" w:sz="4" w:space="0"/>
            </w:tcBorders>
            <w:shd w:val="clear" w:color="auto" w:fill="auto"/>
            <w:vAlign w:val="center"/>
          </w:tcPr>
          <w:p>
            <w:pPr>
              <w:widowControl/>
              <w:numPr>
                <w:ilvl w:val="0"/>
                <w:numId w:val="4"/>
              </w:numPr>
              <w:tabs>
                <w:tab w:val="left" w:pos="397"/>
                <w:tab w:val="clear" w:pos="0"/>
              </w:tabs>
              <w:adjustRightInd w:val="0"/>
              <w:snapToGrid w:val="0"/>
              <w:spacing w:line="240" w:lineRule="auto"/>
              <w:ind w:firstLine="0" w:firstLineChars="0"/>
              <w:jc w:val="center"/>
              <w:textAlignment w:val="center"/>
              <w:rPr>
                <w:rFonts w:ascii="宋体" w:hAnsi="宋体" w:eastAsia="宋体" w:cs="宋体"/>
                <w:kern w:val="0"/>
                <w:sz w:val="21"/>
                <w:szCs w:val="21"/>
              </w:rPr>
            </w:pPr>
          </w:p>
        </w:tc>
        <w:tc>
          <w:tcPr>
            <w:tcW w:w="338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textAlignment w:val="center"/>
              <w:rPr>
                <w:rFonts w:ascii="宋体" w:hAnsi="宋体" w:cs="宋体"/>
                <w:color w:val="000000"/>
                <w:kern w:val="0"/>
                <w:sz w:val="21"/>
                <w:szCs w:val="21"/>
                <w:lang w:bidi="ar"/>
              </w:rPr>
            </w:pPr>
            <w:r>
              <w:rPr>
                <w:rFonts w:hint="eastAsia" w:ascii="宋体" w:hAnsi="宋体" w:cs="宋体"/>
                <w:color w:val="000000"/>
                <w:kern w:val="0"/>
                <w:sz w:val="21"/>
                <w:szCs w:val="21"/>
                <w:lang w:bidi="ar"/>
              </w:rPr>
              <w:t>《消防安全标志设置要求》</w:t>
            </w:r>
          </w:p>
        </w:tc>
        <w:tc>
          <w:tcPr>
            <w:tcW w:w="1244" w:type="pct"/>
            <w:tcBorders>
              <w:top w:val="single" w:color="auto" w:sz="4" w:space="0"/>
              <w:left w:val="single" w:color="auto" w:sz="4" w:space="0"/>
              <w:bottom w:val="single" w:color="auto" w:sz="4" w:space="0"/>
              <w:right w:val="single" w:color="auto" w:sz="12" w:space="0"/>
            </w:tcBorders>
            <w:shd w:val="clear" w:color="auto" w:fill="auto"/>
            <w:noWrap/>
            <w:vAlign w:val="center"/>
          </w:tcPr>
          <w:p>
            <w:pPr>
              <w:widowControl/>
              <w:spacing w:line="240" w:lineRule="auto"/>
              <w:ind w:firstLine="0" w:firstLineChars="0"/>
              <w:textAlignment w:val="center"/>
              <w:rPr>
                <w:rFonts w:ascii="宋体" w:hAnsi="宋体" w:cs="宋体"/>
                <w:color w:val="000000"/>
                <w:kern w:val="0"/>
                <w:sz w:val="21"/>
                <w:szCs w:val="21"/>
                <w:lang w:bidi="ar"/>
              </w:rPr>
            </w:pPr>
            <w:r>
              <w:rPr>
                <w:rFonts w:hint="eastAsia" w:ascii="宋体" w:hAnsi="宋体" w:cs="宋体"/>
                <w:color w:val="000000"/>
                <w:kern w:val="0"/>
                <w:sz w:val="21"/>
                <w:szCs w:val="21"/>
                <w:lang w:bidi="ar"/>
              </w:rPr>
              <w:t>GB 15630-1995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3" w:type="pct"/>
            <w:tcBorders>
              <w:top w:val="single" w:color="auto" w:sz="4" w:space="0"/>
              <w:left w:val="single" w:color="auto" w:sz="12" w:space="0"/>
              <w:bottom w:val="single" w:color="auto" w:sz="4" w:space="0"/>
              <w:right w:val="single" w:color="auto" w:sz="4" w:space="0"/>
            </w:tcBorders>
            <w:shd w:val="clear" w:color="auto" w:fill="auto"/>
            <w:vAlign w:val="center"/>
          </w:tcPr>
          <w:p>
            <w:pPr>
              <w:widowControl/>
              <w:numPr>
                <w:ilvl w:val="0"/>
                <w:numId w:val="4"/>
              </w:numPr>
              <w:tabs>
                <w:tab w:val="left" w:pos="397"/>
                <w:tab w:val="clear" w:pos="0"/>
              </w:tabs>
              <w:adjustRightInd w:val="0"/>
              <w:snapToGrid w:val="0"/>
              <w:spacing w:line="240" w:lineRule="auto"/>
              <w:ind w:firstLine="0" w:firstLineChars="0"/>
              <w:jc w:val="center"/>
              <w:textAlignment w:val="center"/>
              <w:rPr>
                <w:rFonts w:ascii="宋体" w:hAnsi="宋体" w:eastAsia="宋体" w:cs="宋体"/>
                <w:kern w:val="0"/>
                <w:sz w:val="21"/>
                <w:szCs w:val="21"/>
              </w:rPr>
            </w:pPr>
          </w:p>
        </w:tc>
        <w:tc>
          <w:tcPr>
            <w:tcW w:w="338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textAlignment w:val="center"/>
              <w:rPr>
                <w:rFonts w:ascii="宋体" w:hAnsi="宋体" w:cs="宋体"/>
                <w:color w:val="000000"/>
                <w:kern w:val="0"/>
                <w:sz w:val="21"/>
                <w:szCs w:val="21"/>
                <w:lang w:bidi="ar"/>
              </w:rPr>
            </w:pPr>
            <w:r>
              <w:rPr>
                <w:rFonts w:hint="eastAsia" w:ascii="宋体" w:hAnsi="宋体" w:cs="宋体"/>
                <w:color w:val="000000"/>
                <w:kern w:val="0"/>
                <w:sz w:val="21"/>
                <w:szCs w:val="21"/>
                <w:lang w:bidi="ar"/>
              </w:rPr>
              <w:t>《消防应急照明和疏散指示系统》</w:t>
            </w:r>
          </w:p>
        </w:tc>
        <w:tc>
          <w:tcPr>
            <w:tcW w:w="1244" w:type="pct"/>
            <w:tcBorders>
              <w:top w:val="single" w:color="auto" w:sz="4" w:space="0"/>
              <w:left w:val="single" w:color="auto" w:sz="4" w:space="0"/>
              <w:bottom w:val="single" w:color="auto" w:sz="4" w:space="0"/>
              <w:right w:val="single" w:color="auto" w:sz="12" w:space="0"/>
            </w:tcBorders>
            <w:shd w:val="clear" w:color="auto" w:fill="auto"/>
            <w:noWrap/>
            <w:vAlign w:val="center"/>
          </w:tcPr>
          <w:p>
            <w:pPr>
              <w:widowControl/>
              <w:spacing w:line="240" w:lineRule="auto"/>
              <w:ind w:firstLine="0" w:firstLineChars="0"/>
              <w:textAlignment w:val="center"/>
              <w:rPr>
                <w:rFonts w:ascii="宋体" w:hAnsi="宋体" w:cs="宋体"/>
                <w:color w:val="000000"/>
                <w:kern w:val="0"/>
                <w:sz w:val="21"/>
                <w:szCs w:val="21"/>
                <w:lang w:bidi="ar"/>
              </w:rPr>
            </w:pPr>
            <w:r>
              <w:rPr>
                <w:rFonts w:hint="eastAsia" w:ascii="宋体" w:hAnsi="宋体" w:cs="宋体"/>
                <w:color w:val="000000"/>
                <w:kern w:val="0"/>
                <w:sz w:val="21"/>
                <w:szCs w:val="21"/>
                <w:lang w:bidi="ar"/>
              </w:rPr>
              <w:t>GB 17945-2010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3" w:type="pct"/>
            <w:tcBorders>
              <w:top w:val="single" w:color="auto" w:sz="4" w:space="0"/>
              <w:left w:val="single" w:color="auto" w:sz="12" w:space="0"/>
              <w:bottom w:val="single" w:color="auto" w:sz="4" w:space="0"/>
              <w:right w:val="single" w:color="auto" w:sz="4" w:space="0"/>
            </w:tcBorders>
            <w:shd w:val="clear" w:color="auto" w:fill="auto"/>
            <w:vAlign w:val="center"/>
          </w:tcPr>
          <w:p>
            <w:pPr>
              <w:widowControl/>
              <w:numPr>
                <w:ilvl w:val="0"/>
                <w:numId w:val="4"/>
              </w:numPr>
              <w:tabs>
                <w:tab w:val="left" w:pos="397"/>
                <w:tab w:val="clear" w:pos="0"/>
              </w:tabs>
              <w:adjustRightInd w:val="0"/>
              <w:snapToGrid w:val="0"/>
              <w:spacing w:line="240" w:lineRule="auto"/>
              <w:ind w:firstLine="0" w:firstLineChars="0"/>
              <w:jc w:val="center"/>
              <w:textAlignment w:val="center"/>
              <w:rPr>
                <w:rFonts w:ascii="宋体" w:hAnsi="宋体" w:eastAsia="宋体" w:cs="宋体"/>
                <w:kern w:val="0"/>
                <w:sz w:val="21"/>
                <w:szCs w:val="21"/>
              </w:rPr>
            </w:pPr>
          </w:p>
        </w:tc>
        <w:tc>
          <w:tcPr>
            <w:tcW w:w="338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textAlignment w:val="center"/>
              <w:rPr>
                <w:rFonts w:ascii="宋体" w:hAnsi="宋体" w:cs="宋体"/>
                <w:color w:val="000000"/>
                <w:kern w:val="0"/>
                <w:sz w:val="21"/>
                <w:szCs w:val="21"/>
                <w:lang w:bidi="ar"/>
              </w:rPr>
            </w:pPr>
            <w:r>
              <w:rPr>
                <w:rFonts w:hint="eastAsia" w:ascii="宋体" w:hAnsi="宋体" w:cs="宋体"/>
                <w:color w:val="000000"/>
                <w:kern w:val="0"/>
                <w:sz w:val="21"/>
                <w:szCs w:val="21"/>
                <w:lang w:bidi="ar"/>
              </w:rPr>
              <w:t>《易燃易爆性商品储存养护技术条件》</w:t>
            </w:r>
          </w:p>
        </w:tc>
        <w:tc>
          <w:tcPr>
            <w:tcW w:w="1244" w:type="pct"/>
            <w:tcBorders>
              <w:top w:val="single" w:color="auto" w:sz="4" w:space="0"/>
              <w:left w:val="single" w:color="auto" w:sz="4" w:space="0"/>
              <w:bottom w:val="single" w:color="auto" w:sz="4" w:space="0"/>
              <w:right w:val="single" w:color="auto" w:sz="12" w:space="0"/>
            </w:tcBorders>
            <w:shd w:val="clear" w:color="auto" w:fill="auto"/>
            <w:noWrap/>
            <w:vAlign w:val="center"/>
          </w:tcPr>
          <w:p>
            <w:pPr>
              <w:widowControl/>
              <w:spacing w:line="240" w:lineRule="auto"/>
              <w:ind w:firstLine="0" w:firstLineChars="0"/>
              <w:textAlignment w:val="center"/>
              <w:rPr>
                <w:rFonts w:ascii="宋体" w:hAnsi="宋体" w:cs="宋体"/>
                <w:color w:val="000000"/>
                <w:kern w:val="0"/>
                <w:sz w:val="21"/>
                <w:szCs w:val="21"/>
                <w:lang w:bidi="ar"/>
              </w:rPr>
            </w:pPr>
            <w:r>
              <w:rPr>
                <w:rFonts w:hint="eastAsia" w:ascii="宋体" w:hAnsi="宋体" w:cs="宋体"/>
                <w:color w:val="000000"/>
                <w:kern w:val="0"/>
                <w:sz w:val="21"/>
                <w:szCs w:val="21"/>
                <w:lang w:bidi="ar"/>
              </w:rPr>
              <w:t>GB 17914-2013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3" w:type="pct"/>
            <w:tcBorders>
              <w:top w:val="single" w:color="auto" w:sz="4" w:space="0"/>
              <w:left w:val="single" w:color="auto" w:sz="12" w:space="0"/>
              <w:bottom w:val="single" w:color="auto" w:sz="4" w:space="0"/>
              <w:right w:val="single" w:color="auto" w:sz="4" w:space="0"/>
            </w:tcBorders>
            <w:shd w:val="clear" w:color="auto" w:fill="auto"/>
            <w:vAlign w:val="center"/>
          </w:tcPr>
          <w:p>
            <w:pPr>
              <w:widowControl/>
              <w:numPr>
                <w:ilvl w:val="0"/>
                <w:numId w:val="4"/>
              </w:numPr>
              <w:tabs>
                <w:tab w:val="left" w:pos="397"/>
                <w:tab w:val="clear" w:pos="0"/>
              </w:tabs>
              <w:adjustRightInd w:val="0"/>
              <w:snapToGrid w:val="0"/>
              <w:spacing w:line="240" w:lineRule="auto"/>
              <w:ind w:firstLine="0" w:firstLineChars="0"/>
              <w:jc w:val="center"/>
              <w:textAlignment w:val="center"/>
              <w:rPr>
                <w:rFonts w:ascii="宋体" w:hAnsi="宋体" w:eastAsia="宋体" w:cs="宋体"/>
                <w:kern w:val="0"/>
                <w:sz w:val="21"/>
                <w:szCs w:val="21"/>
              </w:rPr>
            </w:pPr>
          </w:p>
        </w:tc>
        <w:tc>
          <w:tcPr>
            <w:tcW w:w="338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textAlignment w:val="center"/>
              <w:rPr>
                <w:rFonts w:ascii="宋体" w:hAnsi="宋体" w:cs="宋体"/>
                <w:color w:val="000000"/>
                <w:kern w:val="0"/>
                <w:sz w:val="21"/>
                <w:szCs w:val="21"/>
                <w:lang w:bidi="ar"/>
              </w:rPr>
            </w:pPr>
            <w:r>
              <w:rPr>
                <w:rFonts w:hint="eastAsia" w:ascii="宋体" w:hAnsi="宋体" w:cs="宋体"/>
                <w:color w:val="000000"/>
                <w:kern w:val="0"/>
                <w:sz w:val="21"/>
                <w:szCs w:val="21"/>
                <w:lang w:bidi="ar"/>
              </w:rPr>
              <w:t>《用电安全导则》</w:t>
            </w:r>
          </w:p>
        </w:tc>
        <w:tc>
          <w:tcPr>
            <w:tcW w:w="1244" w:type="pct"/>
            <w:tcBorders>
              <w:top w:val="single" w:color="auto" w:sz="4" w:space="0"/>
              <w:left w:val="single" w:color="auto" w:sz="4" w:space="0"/>
              <w:bottom w:val="single" w:color="auto" w:sz="4" w:space="0"/>
              <w:right w:val="single" w:color="auto" w:sz="12" w:space="0"/>
            </w:tcBorders>
            <w:shd w:val="clear" w:color="auto" w:fill="auto"/>
            <w:noWrap/>
            <w:vAlign w:val="center"/>
          </w:tcPr>
          <w:p>
            <w:pPr>
              <w:widowControl/>
              <w:spacing w:line="240" w:lineRule="auto"/>
              <w:ind w:firstLine="0" w:firstLineChars="0"/>
              <w:textAlignment w:val="center"/>
              <w:rPr>
                <w:rFonts w:ascii="宋体" w:hAnsi="宋体" w:cs="宋体"/>
                <w:color w:val="000000"/>
                <w:kern w:val="0"/>
                <w:sz w:val="21"/>
                <w:szCs w:val="21"/>
                <w:lang w:bidi="ar"/>
              </w:rPr>
            </w:pPr>
            <w:r>
              <w:rPr>
                <w:rFonts w:hint="eastAsia" w:ascii="宋体" w:hAnsi="宋体" w:cs="宋体"/>
                <w:color w:val="000000"/>
                <w:kern w:val="0"/>
                <w:sz w:val="21"/>
                <w:szCs w:val="21"/>
                <w:lang w:bidi="ar"/>
              </w:rPr>
              <w:t>GB/T 13869-2017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3" w:type="pct"/>
            <w:tcBorders>
              <w:top w:val="single" w:color="auto" w:sz="4" w:space="0"/>
              <w:left w:val="single" w:color="auto" w:sz="12" w:space="0"/>
              <w:bottom w:val="single" w:color="auto" w:sz="4" w:space="0"/>
              <w:right w:val="single" w:color="auto" w:sz="4" w:space="0"/>
            </w:tcBorders>
            <w:shd w:val="clear" w:color="auto" w:fill="auto"/>
            <w:vAlign w:val="center"/>
          </w:tcPr>
          <w:p>
            <w:pPr>
              <w:widowControl/>
              <w:numPr>
                <w:ilvl w:val="0"/>
                <w:numId w:val="4"/>
              </w:numPr>
              <w:tabs>
                <w:tab w:val="left" w:pos="397"/>
                <w:tab w:val="clear" w:pos="0"/>
              </w:tabs>
              <w:adjustRightInd w:val="0"/>
              <w:snapToGrid w:val="0"/>
              <w:spacing w:line="240" w:lineRule="auto"/>
              <w:ind w:firstLine="0" w:firstLineChars="0"/>
              <w:jc w:val="center"/>
              <w:textAlignment w:val="center"/>
              <w:rPr>
                <w:rFonts w:ascii="宋体" w:hAnsi="宋体" w:eastAsia="宋体" w:cs="宋体"/>
                <w:kern w:val="0"/>
                <w:sz w:val="21"/>
                <w:szCs w:val="21"/>
              </w:rPr>
            </w:pPr>
          </w:p>
        </w:tc>
        <w:tc>
          <w:tcPr>
            <w:tcW w:w="338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textAlignment w:val="center"/>
              <w:rPr>
                <w:rFonts w:ascii="宋体" w:hAnsi="宋体" w:cs="宋体"/>
                <w:color w:val="000000"/>
                <w:kern w:val="0"/>
                <w:sz w:val="21"/>
                <w:szCs w:val="21"/>
                <w:lang w:bidi="ar"/>
              </w:rPr>
            </w:pPr>
            <w:r>
              <w:rPr>
                <w:rFonts w:hint="eastAsia" w:ascii="宋体" w:hAnsi="宋体" w:cs="宋体"/>
                <w:color w:val="000000"/>
                <w:kern w:val="0"/>
                <w:sz w:val="21"/>
                <w:szCs w:val="21"/>
                <w:lang w:bidi="ar"/>
              </w:rPr>
              <w:t>《中国地震动参数区划图》</w:t>
            </w:r>
          </w:p>
        </w:tc>
        <w:tc>
          <w:tcPr>
            <w:tcW w:w="1244" w:type="pct"/>
            <w:tcBorders>
              <w:top w:val="single" w:color="auto" w:sz="4" w:space="0"/>
              <w:left w:val="single" w:color="auto" w:sz="4" w:space="0"/>
              <w:bottom w:val="single" w:color="auto" w:sz="4" w:space="0"/>
              <w:right w:val="single" w:color="auto" w:sz="12" w:space="0"/>
            </w:tcBorders>
            <w:shd w:val="clear" w:color="auto" w:fill="auto"/>
            <w:noWrap/>
            <w:vAlign w:val="center"/>
          </w:tcPr>
          <w:p>
            <w:pPr>
              <w:widowControl/>
              <w:spacing w:line="240" w:lineRule="auto"/>
              <w:ind w:firstLine="0" w:firstLineChars="0"/>
              <w:textAlignment w:val="center"/>
              <w:rPr>
                <w:rFonts w:ascii="宋体" w:hAnsi="宋体" w:cs="宋体"/>
                <w:color w:val="000000"/>
                <w:kern w:val="0"/>
                <w:sz w:val="21"/>
                <w:szCs w:val="21"/>
                <w:lang w:bidi="ar"/>
              </w:rPr>
            </w:pPr>
            <w:r>
              <w:rPr>
                <w:rFonts w:hint="eastAsia" w:ascii="宋体" w:hAnsi="宋体" w:cs="宋体"/>
                <w:color w:val="000000"/>
                <w:kern w:val="0"/>
                <w:sz w:val="21"/>
                <w:szCs w:val="21"/>
                <w:lang w:bidi="ar"/>
              </w:rPr>
              <w:t>GB 18306-2015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3" w:type="pct"/>
            <w:tcBorders>
              <w:top w:val="single" w:color="auto" w:sz="4" w:space="0"/>
              <w:left w:val="single" w:color="auto" w:sz="12" w:space="0"/>
              <w:bottom w:val="single" w:color="auto" w:sz="4" w:space="0"/>
              <w:right w:val="single" w:color="auto" w:sz="4" w:space="0"/>
            </w:tcBorders>
            <w:shd w:val="clear" w:color="auto" w:fill="auto"/>
            <w:vAlign w:val="center"/>
          </w:tcPr>
          <w:p>
            <w:pPr>
              <w:widowControl/>
              <w:numPr>
                <w:ilvl w:val="0"/>
                <w:numId w:val="4"/>
              </w:numPr>
              <w:tabs>
                <w:tab w:val="left" w:pos="397"/>
                <w:tab w:val="clear" w:pos="0"/>
              </w:tabs>
              <w:adjustRightInd w:val="0"/>
              <w:snapToGrid w:val="0"/>
              <w:spacing w:line="240" w:lineRule="auto"/>
              <w:ind w:firstLine="0" w:firstLineChars="0"/>
              <w:jc w:val="center"/>
              <w:textAlignment w:val="center"/>
              <w:rPr>
                <w:rFonts w:ascii="宋体" w:hAnsi="宋体" w:eastAsia="宋体" w:cs="宋体"/>
                <w:kern w:val="0"/>
                <w:sz w:val="21"/>
                <w:szCs w:val="21"/>
              </w:rPr>
            </w:pPr>
          </w:p>
        </w:tc>
        <w:tc>
          <w:tcPr>
            <w:tcW w:w="338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textAlignment w:val="center"/>
              <w:rPr>
                <w:rFonts w:ascii="宋体" w:hAnsi="宋体" w:cs="宋体"/>
                <w:color w:val="000000"/>
                <w:kern w:val="0"/>
                <w:sz w:val="21"/>
                <w:szCs w:val="21"/>
                <w:lang w:bidi="ar"/>
              </w:rPr>
            </w:pPr>
            <w:r>
              <w:rPr>
                <w:rFonts w:hint="eastAsia" w:ascii="宋体" w:hAnsi="宋体" w:cs="宋体"/>
                <w:color w:val="000000"/>
                <w:kern w:val="0"/>
                <w:sz w:val="21"/>
                <w:szCs w:val="21"/>
                <w:lang w:bidi="ar"/>
              </w:rPr>
              <w:t>《中频设备额定电压》</w:t>
            </w:r>
          </w:p>
        </w:tc>
        <w:tc>
          <w:tcPr>
            <w:tcW w:w="1244" w:type="pct"/>
            <w:tcBorders>
              <w:top w:val="single" w:color="auto" w:sz="4" w:space="0"/>
              <w:left w:val="single" w:color="auto" w:sz="4" w:space="0"/>
              <w:bottom w:val="single" w:color="auto" w:sz="4" w:space="0"/>
              <w:right w:val="single" w:color="auto" w:sz="12" w:space="0"/>
            </w:tcBorders>
            <w:shd w:val="clear" w:color="auto" w:fill="auto"/>
            <w:noWrap/>
            <w:vAlign w:val="center"/>
          </w:tcPr>
          <w:p>
            <w:pPr>
              <w:widowControl/>
              <w:spacing w:line="240" w:lineRule="auto"/>
              <w:ind w:firstLine="0" w:firstLineChars="0"/>
              <w:textAlignment w:val="center"/>
              <w:rPr>
                <w:rFonts w:ascii="宋体" w:hAnsi="宋体" w:cs="宋体"/>
                <w:color w:val="000000"/>
                <w:kern w:val="0"/>
                <w:sz w:val="21"/>
                <w:szCs w:val="21"/>
                <w:lang w:bidi="ar"/>
              </w:rPr>
            </w:pPr>
            <w:r>
              <w:fldChar w:fldCharType="begin"/>
            </w:r>
            <w:r>
              <w:instrText xml:space="preserve"> HYPERLINK "http://www.csres.com/detail/182518.html" \o "http://www.csres.com/detail/182518.html" </w:instrText>
            </w:r>
            <w:r>
              <w:fldChar w:fldCharType="separate"/>
            </w:r>
            <w:r>
              <w:rPr>
                <w:rFonts w:hint="eastAsia" w:ascii="宋体" w:hAnsi="宋体" w:cs="宋体"/>
                <w:color w:val="000000"/>
                <w:kern w:val="0"/>
                <w:sz w:val="21"/>
                <w:szCs w:val="21"/>
                <w:lang w:bidi="ar"/>
              </w:rPr>
              <w:t>GB/T 3926-2007</w:t>
            </w:r>
            <w:r>
              <w:rPr>
                <w:rFonts w:hint="eastAsia" w:ascii="宋体" w:hAnsi="宋体" w:cs="宋体"/>
                <w:color w:val="000000"/>
                <w:kern w:val="0"/>
                <w:sz w:val="21"/>
                <w:szCs w:val="21"/>
                <w:lang w:bidi="ar"/>
              </w:rPr>
              <w:fldChar w:fldCharType="end"/>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3" w:type="pct"/>
            <w:tcBorders>
              <w:top w:val="single" w:color="auto" w:sz="4" w:space="0"/>
              <w:left w:val="single" w:color="auto" w:sz="12" w:space="0"/>
              <w:bottom w:val="single" w:color="auto" w:sz="4" w:space="0"/>
              <w:right w:val="single" w:color="auto" w:sz="4" w:space="0"/>
            </w:tcBorders>
            <w:shd w:val="clear" w:color="auto" w:fill="auto"/>
            <w:vAlign w:val="center"/>
          </w:tcPr>
          <w:p>
            <w:pPr>
              <w:widowControl/>
              <w:numPr>
                <w:ilvl w:val="0"/>
                <w:numId w:val="4"/>
              </w:numPr>
              <w:tabs>
                <w:tab w:val="left" w:pos="397"/>
                <w:tab w:val="clear" w:pos="0"/>
              </w:tabs>
              <w:adjustRightInd w:val="0"/>
              <w:snapToGrid w:val="0"/>
              <w:spacing w:line="240" w:lineRule="auto"/>
              <w:ind w:firstLine="0" w:firstLineChars="0"/>
              <w:jc w:val="center"/>
              <w:textAlignment w:val="center"/>
              <w:rPr>
                <w:rFonts w:ascii="宋体" w:hAnsi="宋体" w:eastAsia="宋体" w:cs="宋体"/>
                <w:kern w:val="0"/>
                <w:sz w:val="21"/>
                <w:szCs w:val="21"/>
              </w:rPr>
            </w:pPr>
          </w:p>
        </w:tc>
        <w:tc>
          <w:tcPr>
            <w:tcW w:w="338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textAlignment w:val="center"/>
              <w:rPr>
                <w:rFonts w:ascii="宋体" w:hAnsi="宋体" w:cs="宋体"/>
                <w:color w:val="000000"/>
                <w:kern w:val="0"/>
                <w:sz w:val="21"/>
                <w:szCs w:val="21"/>
                <w:lang w:bidi="ar"/>
              </w:rPr>
            </w:pPr>
            <w:r>
              <w:fldChar w:fldCharType="begin"/>
            </w:r>
            <w:r>
              <w:instrText xml:space="preserve"> HYPERLINK "https://www.so.com/link?m=badaOMNs6QEQ3+mDwg7kEJz/nImA2Te6E63gIH+xumnynIS9Ffzm15ihz1Bf1dBE5rOwOj0xsjWLORPzJWDTrCWFrZ+jMIN67UMhlr749Hydo70RLA5KU1fVJ8/AebsJN" \o "https://www.so.com/link?m=badaOMNs6QEQ3+mDwg7kEJz/nImA2Te6E63gIH+xumnynIS9Ffzm15ihz1Bf1dBE5rOwOj0xsjWLORPzJWDTrCWFrZ+jMIN67UMhlr749Hydo70RLA5KU1fVJ8/AebsJN" </w:instrText>
            </w:r>
            <w:r>
              <w:fldChar w:fldCharType="separate"/>
            </w:r>
            <w:r>
              <w:rPr>
                <w:rFonts w:hint="eastAsia" w:ascii="宋体" w:hAnsi="宋体" w:cs="宋体"/>
                <w:color w:val="000000"/>
                <w:kern w:val="0"/>
                <w:sz w:val="21"/>
                <w:szCs w:val="21"/>
                <w:lang w:bidi="ar"/>
              </w:rPr>
              <w:t>《铸造防尘技术规程》</w:t>
            </w:r>
            <w:r>
              <w:rPr>
                <w:rFonts w:hint="eastAsia" w:ascii="宋体" w:hAnsi="宋体" w:cs="宋体"/>
                <w:color w:val="000000"/>
                <w:kern w:val="0"/>
                <w:sz w:val="21"/>
                <w:szCs w:val="21"/>
                <w:lang w:bidi="ar"/>
              </w:rPr>
              <w:fldChar w:fldCharType="end"/>
            </w:r>
          </w:p>
        </w:tc>
        <w:tc>
          <w:tcPr>
            <w:tcW w:w="1244" w:type="pct"/>
            <w:tcBorders>
              <w:top w:val="single" w:color="auto" w:sz="4" w:space="0"/>
              <w:left w:val="single" w:color="auto" w:sz="4" w:space="0"/>
              <w:bottom w:val="single" w:color="auto" w:sz="4" w:space="0"/>
              <w:right w:val="single" w:color="auto" w:sz="12" w:space="0"/>
            </w:tcBorders>
            <w:shd w:val="clear" w:color="auto" w:fill="auto"/>
            <w:noWrap/>
            <w:vAlign w:val="center"/>
          </w:tcPr>
          <w:p>
            <w:pPr>
              <w:widowControl/>
              <w:spacing w:line="240" w:lineRule="auto"/>
              <w:ind w:firstLine="0" w:firstLineChars="0"/>
              <w:textAlignment w:val="center"/>
              <w:rPr>
                <w:rFonts w:ascii="宋体" w:hAnsi="宋体" w:cs="宋体"/>
                <w:color w:val="000000"/>
                <w:kern w:val="0"/>
                <w:sz w:val="21"/>
                <w:szCs w:val="21"/>
                <w:lang w:bidi="ar"/>
              </w:rPr>
            </w:pPr>
            <w:r>
              <w:rPr>
                <w:rFonts w:hint="eastAsia" w:ascii="宋体" w:hAnsi="宋体" w:cs="宋体"/>
                <w:color w:val="000000"/>
                <w:kern w:val="0"/>
                <w:sz w:val="21"/>
                <w:szCs w:val="21"/>
                <w:lang w:bidi="ar"/>
              </w:rPr>
              <w:t>GB 8959-2007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3" w:type="pct"/>
            <w:tcBorders>
              <w:top w:val="single" w:color="auto" w:sz="4" w:space="0"/>
              <w:left w:val="single" w:color="auto" w:sz="12" w:space="0"/>
              <w:bottom w:val="single" w:color="auto" w:sz="4" w:space="0"/>
              <w:right w:val="single" w:color="auto" w:sz="4" w:space="0"/>
            </w:tcBorders>
            <w:shd w:val="clear" w:color="auto" w:fill="auto"/>
            <w:vAlign w:val="center"/>
          </w:tcPr>
          <w:p>
            <w:pPr>
              <w:widowControl/>
              <w:numPr>
                <w:ilvl w:val="0"/>
                <w:numId w:val="4"/>
              </w:numPr>
              <w:tabs>
                <w:tab w:val="left" w:pos="397"/>
                <w:tab w:val="clear" w:pos="0"/>
              </w:tabs>
              <w:adjustRightInd w:val="0"/>
              <w:snapToGrid w:val="0"/>
              <w:spacing w:line="240" w:lineRule="auto"/>
              <w:ind w:firstLine="0" w:firstLineChars="0"/>
              <w:jc w:val="center"/>
              <w:textAlignment w:val="center"/>
              <w:rPr>
                <w:rFonts w:ascii="宋体" w:hAnsi="宋体" w:eastAsia="宋体" w:cs="宋体"/>
                <w:kern w:val="0"/>
                <w:sz w:val="21"/>
                <w:szCs w:val="21"/>
              </w:rPr>
            </w:pPr>
          </w:p>
        </w:tc>
        <w:tc>
          <w:tcPr>
            <w:tcW w:w="338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textAlignment w:val="center"/>
              <w:rPr>
                <w:rFonts w:ascii="宋体" w:hAnsi="宋体" w:cs="宋体"/>
                <w:color w:val="000000"/>
                <w:kern w:val="0"/>
                <w:sz w:val="21"/>
                <w:szCs w:val="21"/>
                <w:lang w:bidi="ar"/>
              </w:rPr>
            </w:pPr>
            <w:r>
              <w:rPr>
                <w:rFonts w:hint="eastAsia" w:ascii="宋体" w:hAnsi="宋体" w:cs="宋体"/>
                <w:color w:val="000000"/>
                <w:kern w:val="0"/>
                <w:sz w:val="21"/>
                <w:szCs w:val="21"/>
                <w:lang w:bidi="ar"/>
              </w:rPr>
              <w:t>《供配电系统设计规范》</w:t>
            </w:r>
          </w:p>
        </w:tc>
        <w:tc>
          <w:tcPr>
            <w:tcW w:w="1244" w:type="pct"/>
            <w:tcBorders>
              <w:top w:val="single" w:color="auto" w:sz="4" w:space="0"/>
              <w:left w:val="single" w:color="auto" w:sz="4" w:space="0"/>
              <w:bottom w:val="single" w:color="auto" w:sz="4" w:space="0"/>
              <w:right w:val="single" w:color="auto" w:sz="12" w:space="0"/>
            </w:tcBorders>
            <w:shd w:val="clear" w:color="auto" w:fill="auto"/>
            <w:noWrap/>
            <w:vAlign w:val="center"/>
          </w:tcPr>
          <w:p>
            <w:pPr>
              <w:widowControl/>
              <w:spacing w:line="240" w:lineRule="auto"/>
              <w:ind w:firstLine="0" w:firstLineChars="0"/>
              <w:textAlignment w:val="center"/>
              <w:rPr>
                <w:rFonts w:ascii="宋体" w:hAnsi="宋体" w:cs="宋体"/>
                <w:color w:val="000000"/>
                <w:kern w:val="0"/>
                <w:sz w:val="21"/>
                <w:szCs w:val="21"/>
                <w:lang w:bidi="ar"/>
              </w:rPr>
            </w:pPr>
            <w:r>
              <w:rPr>
                <w:rFonts w:hint="eastAsia" w:ascii="宋体" w:hAnsi="宋体" w:cs="宋体"/>
                <w:color w:val="000000"/>
                <w:kern w:val="0"/>
                <w:sz w:val="21"/>
                <w:szCs w:val="21"/>
                <w:lang w:bidi="ar"/>
              </w:rPr>
              <w:t>GB 50052-2009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3" w:type="pct"/>
            <w:tcBorders>
              <w:top w:val="single" w:color="auto" w:sz="4" w:space="0"/>
              <w:left w:val="single" w:color="auto" w:sz="12" w:space="0"/>
              <w:bottom w:val="single" w:color="auto" w:sz="4" w:space="0"/>
              <w:right w:val="single" w:color="auto" w:sz="4" w:space="0"/>
            </w:tcBorders>
            <w:shd w:val="clear" w:color="auto" w:fill="auto"/>
            <w:vAlign w:val="center"/>
          </w:tcPr>
          <w:p>
            <w:pPr>
              <w:widowControl/>
              <w:numPr>
                <w:ilvl w:val="0"/>
                <w:numId w:val="4"/>
              </w:numPr>
              <w:tabs>
                <w:tab w:val="left" w:pos="397"/>
                <w:tab w:val="clear" w:pos="0"/>
              </w:tabs>
              <w:adjustRightInd w:val="0"/>
              <w:snapToGrid w:val="0"/>
              <w:spacing w:line="240" w:lineRule="auto"/>
              <w:ind w:firstLine="0" w:firstLineChars="0"/>
              <w:jc w:val="center"/>
              <w:textAlignment w:val="center"/>
              <w:rPr>
                <w:rFonts w:ascii="宋体" w:hAnsi="宋体" w:eastAsia="宋体" w:cs="宋体"/>
                <w:kern w:val="0"/>
                <w:sz w:val="21"/>
                <w:szCs w:val="21"/>
              </w:rPr>
            </w:pPr>
          </w:p>
        </w:tc>
        <w:tc>
          <w:tcPr>
            <w:tcW w:w="338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textAlignment w:val="center"/>
              <w:rPr>
                <w:rFonts w:ascii="宋体" w:hAnsi="宋体" w:cs="宋体"/>
                <w:color w:val="000000"/>
                <w:kern w:val="0"/>
                <w:sz w:val="21"/>
                <w:szCs w:val="21"/>
                <w:lang w:bidi="ar"/>
              </w:rPr>
            </w:pPr>
            <w:r>
              <w:rPr>
                <w:rFonts w:hint="eastAsia" w:ascii="宋体" w:hAnsi="宋体" w:cs="宋体"/>
                <w:color w:val="000000"/>
                <w:kern w:val="0"/>
                <w:sz w:val="21"/>
                <w:szCs w:val="21"/>
                <w:lang w:bidi="ar"/>
              </w:rPr>
              <w:t>《20kV及以下变电所设计规范》</w:t>
            </w:r>
          </w:p>
        </w:tc>
        <w:tc>
          <w:tcPr>
            <w:tcW w:w="1244" w:type="pct"/>
            <w:tcBorders>
              <w:top w:val="single" w:color="auto" w:sz="4" w:space="0"/>
              <w:left w:val="single" w:color="auto" w:sz="4" w:space="0"/>
              <w:bottom w:val="single" w:color="auto" w:sz="4" w:space="0"/>
              <w:right w:val="single" w:color="auto" w:sz="12" w:space="0"/>
            </w:tcBorders>
            <w:shd w:val="clear" w:color="auto" w:fill="auto"/>
            <w:noWrap/>
            <w:vAlign w:val="center"/>
          </w:tcPr>
          <w:p>
            <w:pPr>
              <w:widowControl/>
              <w:spacing w:line="240" w:lineRule="auto"/>
              <w:ind w:firstLine="0" w:firstLineChars="0"/>
              <w:textAlignment w:val="center"/>
              <w:rPr>
                <w:rFonts w:ascii="宋体" w:hAnsi="宋体" w:cs="宋体"/>
                <w:color w:val="000000"/>
                <w:kern w:val="0"/>
                <w:sz w:val="21"/>
                <w:szCs w:val="21"/>
                <w:lang w:bidi="ar"/>
              </w:rPr>
            </w:pPr>
            <w:r>
              <w:rPr>
                <w:rFonts w:hint="eastAsia" w:ascii="宋体" w:hAnsi="宋体" w:cs="宋体"/>
                <w:color w:val="000000"/>
                <w:kern w:val="0"/>
                <w:sz w:val="21"/>
                <w:szCs w:val="21"/>
                <w:lang w:bidi="ar"/>
              </w:rPr>
              <w:t>GB 50053-2013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3" w:type="pct"/>
            <w:tcBorders>
              <w:top w:val="single" w:color="auto" w:sz="4" w:space="0"/>
              <w:left w:val="single" w:color="auto" w:sz="12" w:space="0"/>
              <w:bottom w:val="single" w:color="auto" w:sz="4" w:space="0"/>
              <w:right w:val="single" w:color="auto" w:sz="4" w:space="0"/>
            </w:tcBorders>
            <w:shd w:val="clear" w:color="auto" w:fill="auto"/>
            <w:vAlign w:val="center"/>
          </w:tcPr>
          <w:p>
            <w:pPr>
              <w:widowControl/>
              <w:numPr>
                <w:ilvl w:val="0"/>
                <w:numId w:val="4"/>
              </w:numPr>
              <w:tabs>
                <w:tab w:val="left" w:pos="397"/>
                <w:tab w:val="clear" w:pos="0"/>
              </w:tabs>
              <w:adjustRightInd w:val="0"/>
              <w:snapToGrid w:val="0"/>
              <w:spacing w:line="240" w:lineRule="auto"/>
              <w:ind w:firstLine="0" w:firstLineChars="0"/>
              <w:jc w:val="center"/>
              <w:textAlignment w:val="center"/>
              <w:rPr>
                <w:rFonts w:ascii="宋体" w:hAnsi="宋体" w:eastAsia="宋体" w:cs="宋体"/>
                <w:kern w:val="0"/>
                <w:sz w:val="21"/>
                <w:szCs w:val="21"/>
              </w:rPr>
            </w:pPr>
          </w:p>
        </w:tc>
        <w:tc>
          <w:tcPr>
            <w:tcW w:w="338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《爆炸危险环境电力装置设计规范》</w:t>
            </w:r>
          </w:p>
        </w:tc>
        <w:tc>
          <w:tcPr>
            <w:tcW w:w="1244" w:type="pct"/>
            <w:tcBorders>
              <w:top w:val="single" w:color="auto" w:sz="4" w:space="0"/>
              <w:left w:val="single" w:color="auto" w:sz="4" w:space="0"/>
              <w:bottom w:val="single" w:color="auto" w:sz="4" w:space="0"/>
              <w:right w:val="single" w:color="auto" w:sz="12"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GB 50058-2014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3" w:type="pct"/>
            <w:tcBorders>
              <w:top w:val="single" w:color="auto" w:sz="4" w:space="0"/>
              <w:left w:val="single" w:color="auto" w:sz="12" w:space="0"/>
              <w:bottom w:val="single" w:color="auto" w:sz="4" w:space="0"/>
              <w:right w:val="single" w:color="auto" w:sz="4" w:space="0"/>
            </w:tcBorders>
            <w:shd w:val="clear" w:color="auto" w:fill="auto"/>
            <w:vAlign w:val="center"/>
          </w:tcPr>
          <w:p>
            <w:pPr>
              <w:widowControl/>
              <w:numPr>
                <w:ilvl w:val="0"/>
                <w:numId w:val="4"/>
              </w:numPr>
              <w:tabs>
                <w:tab w:val="left" w:pos="397"/>
                <w:tab w:val="clear" w:pos="0"/>
              </w:tabs>
              <w:adjustRightInd w:val="0"/>
              <w:snapToGrid w:val="0"/>
              <w:spacing w:line="240" w:lineRule="auto"/>
              <w:ind w:firstLine="0" w:firstLineChars="0"/>
              <w:jc w:val="center"/>
              <w:textAlignment w:val="center"/>
              <w:rPr>
                <w:rFonts w:ascii="宋体" w:hAnsi="宋体" w:eastAsia="宋体" w:cs="宋体"/>
                <w:kern w:val="0"/>
                <w:sz w:val="21"/>
                <w:szCs w:val="21"/>
              </w:rPr>
            </w:pPr>
          </w:p>
        </w:tc>
        <w:tc>
          <w:tcPr>
            <w:tcW w:w="338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《爆炸性环境 第1部分：设备 通用要求》</w:t>
            </w:r>
          </w:p>
        </w:tc>
        <w:tc>
          <w:tcPr>
            <w:tcW w:w="1244" w:type="pct"/>
            <w:tcBorders>
              <w:top w:val="single" w:color="auto" w:sz="4" w:space="0"/>
              <w:left w:val="single" w:color="auto" w:sz="4" w:space="0"/>
              <w:bottom w:val="single" w:color="auto" w:sz="4" w:space="0"/>
              <w:right w:val="single" w:color="auto" w:sz="12"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GB/T 3836.1-2021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3" w:type="pct"/>
            <w:tcBorders>
              <w:top w:val="single" w:color="auto" w:sz="4" w:space="0"/>
              <w:left w:val="single" w:color="auto" w:sz="12" w:space="0"/>
              <w:bottom w:val="single" w:color="auto" w:sz="4" w:space="0"/>
              <w:right w:val="single" w:color="auto" w:sz="4" w:space="0"/>
            </w:tcBorders>
            <w:shd w:val="clear" w:color="auto" w:fill="auto"/>
            <w:vAlign w:val="center"/>
          </w:tcPr>
          <w:p>
            <w:pPr>
              <w:widowControl/>
              <w:numPr>
                <w:ilvl w:val="0"/>
                <w:numId w:val="4"/>
              </w:numPr>
              <w:tabs>
                <w:tab w:val="left" w:pos="397"/>
                <w:tab w:val="clear" w:pos="0"/>
              </w:tabs>
              <w:adjustRightInd w:val="0"/>
              <w:snapToGrid w:val="0"/>
              <w:spacing w:line="240" w:lineRule="auto"/>
              <w:ind w:firstLine="0" w:firstLineChars="0"/>
              <w:jc w:val="center"/>
              <w:textAlignment w:val="center"/>
              <w:rPr>
                <w:rFonts w:ascii="宋体" w:hAnsi="宋体" w:eastAsia="宋体" w:cs="宋体"/>
                <w:kern w:val="0"/>
                <w:sz w:val="21"/>
                <w:szCs w:val="21"/>
              </w:rPr>
            </w:pPr>
          </w:p>
        </w:tc>
        <w:tc>
          <w:tcPr>
            <w:tcW w:w="338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《爆炸性环境 第2部分：由隔爆外壳“d”保护的设备》</w:t>
            </w:r>
          </w:p>
        </w:tc>
        <w:tc>
          <w:tcPr>
            <w:tcW w:w="1244" w:type="pct"/>
            <w:tcBorders>
              <w:top w:val="single" w:color="auto" w:sz="4" w:space="0"/>
              <w:left w:val="single" w:color="auto" w:sz="4" w:space="0"/>
              <w:bottom w:val="single" w:color="auto" w:sz="4" w:space="0"/>
              <w:right w:val="single" w:color="auto" w:sz="12"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GB/T 3836.2-2021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3" w:type="pct"/>
            <w:tcBorders>
              <w:top w:val="single" w:color="auto" w:sz="4" w:space="0"/>
              <w:left w:val="single" w:color="auto" w:sz="12" w:space="0"/>
              <w:bottom w:val="single" w:color="auto" w:sz="4" w:space="0"/>
              <w:right w:val="single" w:color="auto" w:sz="4" w:space="0"/>
            </w:tcBorders>
            <w:shd w:val="clear" w:color="auto" w:fill="auto"/>
            <w:vAlign w:val="center"/>
          </w:tcPr>
          <w:p>
            <w:pPr>
              <w:widowControl/>
              <w:numPr>
                <w:ilvl w:val="0"/>
                <w:numId w:val="4"/>
              </w:numPr>
              <w:tabs>
                <w:tab w:val="left" w:pos="397"/>
                <w:tab w:val="clear" w:pos="0"/>
              </w:tabs>
              <w:adjustRightInd w:val="0"/>
              <w:snapToGrid w:val="0"/>
              <w:spacing w:line="240" w:lineRule="auto"/>
              <w:ind w:firstLine="0" w:firstLineChars="0"/>
              <w:jc w:val="center"/>
              <w:textAlignment w:val="center"/>
              <w:rPr>
                <w:rFonts w:ascii="宋体" w:hAnsi="宋体" w:eastAsia="宋体" w:cs="宋体"/>
                <w:kern w:val="0"/>
                <w:sz w:val="21"/>
                <w:szCs w:val="21"/>
              </w:rPr>
            </w:pPr>
          </w:p>
        </w:tc>
        <w:tc>
          <w:tcPr>
            <w:tcW w:w="338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《爆炸性环境 第3部分：由增安型“e”保护的设备》</w:t>
            </w:r>
          </w:p>
        </w:tc>
        <w:tc>
          <w:tcPr>
            <w:tcW w:w="1244" w:type="pct"/>
            <w:tcBorders>
              <w:top w:val="single" w:color="auto" w:sz="4" w:space="0"/>
              <w:left w:val="single" w:color="auto" w:sz="4" w:space="0"/>
              <w:bottom w:val="single" w:color="auto" w:sz="4" w:space="0"/>
              <w:right w:val="single" w:color="auto" w:sz="12"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GB/T 3836.3-2021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3" w:type="pct"/>
            <w:tcBorders>
              <w:top w:val="single" w:color="auto" w:sz="4" w:space="0"/>
              <w:left w:val="single" w:color="auto" w:sz="12" w:space="0"/>
              <w:bottom w:val="single" w:color="auto" w:sz="4" w:space="0"/>
              <w:right w:val="single" w:color="auto" w:sz="4" w:space="0"/>
            </w:tcBorders>
            <w:shd w:val="clear" w:color="auto" w:fill="auto"/>
            <w:vAlign w:val="center"/>
          </w:tcPr>
          <w:p>
            <w:pPr>
              <w:widowControl/>
              <w:numPr>
                <w:ilvl w:val="0"/>
                <w:numId w:val="4"/>
              </w:numPr>
              <w:tabs>
                <w:tab w:val="left" w:pos="397"/>
                <w:tab w:val="clear" w:pos="0"/>
              </w:tabs>
              <w:adjustRightInd w:val="0"/>
              <w:snapToGrid w:val="0"/>
              <w:spacing w:line="240" w:lineRule="auto"/>
              <w:ind w:firstLine="0" w:firstLineChars="0"/>
              <w:jc w:val="center"/>
              <w:textAlignment w:val="center"/>
              <w:rPr>
                <w:rFonts w:ascii="宋体" w:hAnsi="宋体" w:eastAsia="宋体" w:cs="宋体"/>
                <w:kern w:val="0"/>
                <w:sz w:val="21"/>
                <w:szCs w:val="21"/>
              </w:rPr>
            </w:pPr>
          </w:p>
        </w:tc>
        <w:tc>
          <w:tcPr>
            <w:tcW w:w="338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《爆炸性环境 第4部分：由本质安全型“i”保护的设备》</w:t>
            </w:r>
          </w:p>
        </w:tc>
        <w:tc>
          <w:tcPr>
            <w:tcW w:w="1244" w:type="pct"/>
            <w:tcBorders>
              <w:top w:val="single" w:color="auto" w:sz="4" w:space="0"/>
              <w:left w:val="single" w:color="auto" w:sz="4" w:space="0"/>
              <w:bottom w:val="single" w:color="auto" w:sz="4" w:space="0"/>
              <w:right w:val="single" w:color="auto" w:sz="12"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GB/T 3836.4-2021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3" w:type="pct"/>
            <w:tcBorders>
              <w:top w:val="single" w:color="auto" w:sz="4" w:space="0"/>
              <w:left w:val="single" w:color="auto" w:sz="12" w:space="0"/>
              <w:bottom w:val="single" w:color="auto" w:sz="4" w:space="0"/>
              <w:right w:val="single" w:color="auto" w:sz="4" w:space="0"/>
            </w:tcBorders>
            <w:shd w:val="clear" w:color="auto" w:fill="auto"/>
            <w:vAlign w:val="center"/>
          </w:tcPr>
          <w:p>
            <w:pPr>
              <w:widowControl/>
              <w:numPr>
                <w:ilvl w:val="0"/>
                <w:numId w:val="4"/>
              </w:numPr>
              <w:tabs>
                <w:tab w:val="left" w:pos="397"/>
                <w:tab w:val="clear" w:pos="0"/>
              </w:tabs>
              <w:adjustRightInd w:val="0"/>
              <w:snapToGrid w:val="0"/>
              <w:spacing w:line="240" w:lineRule="auto"/>
              <w:ind w:firstLine="0" w:firstLineChars="0"/>
              <w:jc w:val="center"/>
              <w:textAlignment w:val="center"/>
              <w:rPr>
                <w:rFonts w:ascii="宋体" w:hAnsi="宋体" w:eastAsia="宋体" w:cs="宋体"/>
                <w:kern w:val="0"/>
                <w:sz w:val="21"/>
                <w:szCs w:val="21"/>
              </w:rPr>
            </w:pPr>
          </w:p>
        </w:tc>
        <w:tc>
          <w:tcPr>
            <w:tcW w:w="338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《低压配电设计规范》</w:t>
            </w:r>
          </w:p>
        </w:tc>
        <w:tc>
          <w:tcPr>
            <w:tcW w:w="1244" w:type="pct"/>
            <w:tcBorders>
              <w:top w:val="single" w:color="auto" w:sz="4" w:space="0"/>
              <w:left w:val="single" w:color="auto" w:sz="4" w:space="0"/>
              <w:bottom w:val="single" w:color="auto" w:sz="4" w:space="0"/>
              <w:right w:val="single" w:color="auto" w:sz="12"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GB 50054-2011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3" w:type="pct"/>
            <w:tcBorders>
              <w:top w:val="single" w:color="auto" w:sz="4" w:space="0"/>
              <w:left w:val="single" w:color="auto" w:sz="12" w:space="0"/>
              <w:bottom w:val="single" w:color="auto" w:sz="4" w:space="0"/>
              <w:right w:val="single" w:color="auto" w:sz="4" w:space="0"/>
            </w:tcBorders>
            <w:shd w:val="clear" w:color="auto" w:fill="auto"/>
            <w:vAlign w:val="center"/>
          </w:tcPr>
          <w:p>
            <w:pPr>
              <w:widowControl/>
              <w:numPr>
                <w:ilvl w:val="0"/>
                <w:numId w:val="4"/>
              </w:numPr>
              <w:tabs>
                <w:tab w:val="left" w:pos="397"/>
                <w:tab w:val="clear" w:pos="0"/>
              </w:tabs>
              <w:adjustRightInd w:val="0"/>
              <w:snapToGrid w:val="0"/>
              <w:spacing w:line="240" w:lineRule="auto"/>
              <w:ind w:firstLine="0" w:firstLineChars="0"/>
              <w:jc w:val="center"/>
              <w:textAlignment w:val="center"/>
              <w:rPr>
                <w:rFonts w:ascii="宋体" w:hAnsi="宋体" w:eastAsia="宋体" w:cs="宋体"/>
                <w:kern w:val="0"/>
                <w:sz w:val="21"/>
                <w:szCs w:val="21"/>
              </w:rPr>
            </w:pPr>
          </w:p>
        </w:tc>
        <w:tc>
          <w:tcPr>
            <w:tcW w:w="338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textAlignment w:val="center"/>
              <w:rPr>
                <w:rFonts w:ascii="宋体" w:hAnsi="宋体" w:cs="宋体"/>
                <w:color w:val="000000"/>
                <w:kern w:val="0"/>
                <w:sz w:val="21"/>
                <w:szCs w:val="21"/>
                <w:lang w:bidi="ar"/>
              </w:rPr>
            </w:pPr>
            <w:r>
              <w:rPr>
                <w:rFonts w:hint="eastAsia" w:ascii="宋体" w:hAnsi="宋体" w:cs="宋体"/>
                <w:color w:val="000000"/>
                <w:kern w:val="0"/>
                <w:sz w:val="21"/>
                <w:szCs w:val="21"/>
                <w:lang w:bidi="ar"/>
              </w:rPr>
              <w:t>《电力工程电缆设计标准》</w:t>
            </w:r>
          </w:p>
        </w:tc>
        <w:tc>
          <w:tcPr>
            <w:tcW w:w="1244" w:type="pct"/>
            <w:tcBorders>
              <w:top w:val="single" w:color="auto" w:sz="4" w:space="0"/>
              <w:left w:val="single" w:color="auto" w:sz="4" w:space="0"/>
              <w:bottom w:val="single" w:color="auto" w:sz="4" w:space="0"/>
              <w:right w:val="single" w:color="auto" w:sz="12" w:space="0"/>
            </w:tcBorders>
            <w:shd w:val="clear" w:color="auto" w:fill="auto"/>
            <w:noWrap/>
            <w:vAlign w:val="center"/>
          </w:tcPr>
          <w:p>
            <w:pPr>
              <w:widowControl/>
              <w:spacing w:line="240" w:lineRule="auto"/>
              <w:ind w:firstLine="0" w:firstLineChars="0"/>
              <w:textAlignment w:val="center"/>
              <w:rPr>
                <w:rFonts w:ascii="宋体" w:hAnsi="宋体" w:cs="宋体"/>
                <w:color w:val="000000"/>
                <w:kern w:val="0"/>
                <w:sz w:val="21"/>
                <w:szCs w:val="21"/>
                <w:lang w:bidi="ar"/>
              </w:rPr>
            </w:pPr>
            <w:r>
              <w:rPr>
                <w:rFonts w:hint="eastAsia" w:ascii="宋体" w:hAnsi="宋体" w:cs="宋体"/>
                <w:color w:val="000000"/>
                <w:kern w:val="0"/>
                <w:sz w:val="21"/>
                <w:szCs w:val="21"/>
                <w:lang w:bidi="ar"/>
              </w:rPr>
              <w:t>GB 50217-2018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3" w:type="pct"/>
            <w:tcBorders>
              <w:top w:val="single" w:color="auto" w:sz="4" w:space="0"/>
              <w:left w:val="single" w:color="auto" w:sz="12" w:space="0"/>
              <w:bottom w:val="single" w:color="auto" w:sz="4" w:space="0"/>
              <w:right w:val="single" w:color="auto" w:sz="4" w:space="0"/>
            </w:tcBorders>
            <w:shd w:val="clear" w:color="auto" w:fill="auto"/>
            <w:vAlign w:val="center"/>
          </w:tcPr>
          <w:p>
            <w:pPr>
              <w:widowControl/>
              <w:numPr>
                <w:ilvl w:val="0"/>
                <w:numId w:val="4"/>
              </w:numPr>
              <w:tabs>
                <w:tab w:val="left" w:pos="397"/>
                <w:tab w:val="clear" w:pos="0"/>
              </w:tabs>
              <w:adjustRightInd w:val="0"/>
              <w:snapToGrid w:val="0"/>
              <w:spacing w:line="240" w:lineRule="auto"/>
              <w:ind w:firstLine="0" w:firstLineChars="0"/>
              <w:jc w:val="center"/>
              <w:textAlignment w:val="center"/>
              <w:rPr>
                <w:rFonts w:ascii="宋体" w:hAnsi="宋体" w:eastAsia="宋体" w:cs="宋体"/>
                <w:kern w:val="0"/>
                <w:sz w:val="21"/>
                <w:szCs w:val="21"/>
              </w:rPr>
            </w:pPr>
          </w:p>
        </w:tc>
        <w:tc>
          <w:tcPr>
            <w:tcW w:w="338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textAlignment w:val="center"/>
              <w:rPr>
                <w:rFonts w:ascii="宋体" w:hAnsi="宋体" w:cs="宋体"/>
                <w:color w:val="000000"/>
                <w:kern w:val="0"/>
                <w:sz w:val="21"/>
                <w:szCs w:val="21"/>
                <w:lang w:bidi="ar"/>
              </w:rPr>
            </w:pPr>
            <w:r>
              <w:rPr>
                <w:rFonts w:hint="eastAsia" w:ascii="宋体" w:hAnsi="宋体" w:cs="宋体"/>
                <w:color w:val="000000"/>
                <w:kern w:val="0"/>
                <w:sz w:val="21"/>
                <w:szCs w:val="21"/>
                <w:lang w:bidi="ar"/>
              </w:rPr>
              <w:t>《电气设备安全设计导则》</w:t>
            </w:r>
          </w:p>
        </w:tc>
        <w:tc>
          <w:tcPr>
            <w:tcW w:w="1244" w:type="pct"/>
            <w:tcBorders>
              <w:top w:val="single" w:color="auto" w:sz="4" w:space="0"/>
              <w:left w:val="single" w:color="auto" w:sz="4" w:space="0"/>
              <w:bottom w:val="single" w:color="auto" w:sz="4" w:space="0"/>
              <w:right w:val="single" w:color="auto" w:sz="12" w:space="0"/>
            </w:tcBorders>
            <w:shd w:val="clear" w:color="auto" w:fill="auto"/>
            <w:noWrap/>
            <w:vAlign w:val="center"/>
          </w:tcPr>
          <w:p>
            <w:pPr>
              <w:widowControl/>
              <w:spacing w:line="240" w:lineRule="auto"/>
              <w:ind w:firstLine="0" w:firstLineChars="0"/>
              <w:textAlignment w:val="center"/>
              <w:rPr>
                <w:rFonts w:ascii="宋体" w:hAnsi="宋体" w:cs="宋体"/>
                <w:color w:val="000000"/>
                <w:kern w:val="0"/>
                <w:sz w:val="21"/>
                <w:szCs w:val="21"/>
                <w:lang w:bidi="ar"/>
              </w:rPr>
            </w:pPr>
            <w:r>
              <w:rPr>
                <w:rFonts w:hint="eastAsia" w:ascii="宋体" w:hAnsi="宋体" w:cs="宋体"/>
                <w:color w:val="000000"/>
                <w:kern w:val="0"/>
                <w:sz w:val="21"/>
                <w:szCs w:val="21"/>
                <w:lang w:bidi="ar"/>
              </w:rPr>
              <w:t>GB/T 25295-2010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3" w:type="pct"/>
            <w:tcBorders>
              <w:top w:val="single" w:color="auto" w:sz="4" w:space="0"/>
              <w:left w:val="single" w:color="auto" w:sz="12" w:space="0"/>
              <w:bottom w:val="single" w:color="auto" w:sz="4" w:space="0"/>
              <w:right w:val="single" w:color="auto" w:sz="4" w:space="0"/>
            </w:tcBorders>
            <w:shd w:val="clear" w:color="auto" w:fill="auto"/>
            <w:vAlign w:val="center"/>
          </w:tcPr>
          <w:p>
            <w:pPr>
              <w:widowControl/>
              <w:numPr>
                <w:ilvl w:val="0"/>
                <w:numId w:val="4"/>
              </w:numPr>
              <w:tabs>
                <w:tab w:val="left" w:pos="397"/>
                <w:tab w:val="clear" w:pos="0"/>
              </w:tabs>
              <w:adjustRightInd w:val="0"/>
              <w:snapToGrid w:val="0"/>
              <w:spacing w:line="240" w:lineRule="auto"/>
              <w:ind w:firstLine="0" w:firstLineChars="0"/>
              <w:jc w:val="center"/>
              <w:textAlignment w:val="center"/>
              <w:rPr>
                <w:rFonts w:ascii="宋体" w:hAnsi="宋体" w:eastAsia="宋体" w:cs="宋体"/>
                <w:kern w:val="0"/>
                <w:sz w:val="21"/>
                <w:szCs w:val="21"/>
              </w:rPr>
            </w:pPr>
          </w:p>
        </w:tc>
        <w:tc>
          <w:tcPr>
            <w:tcW w:w="338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textAlignment w:val="center"/>
              <w:rPr>
                <w:rFonts w:ascii="宋体" w:hAnsi="宋体" w:cs="宋体"/>
                <w:color w:val="000000"/>
                <w:kern w:val="0"/>
                <w:sz w:val="21"/>
                <w:szCs w:val="21"/>
                <w:lang w:bidi="ar"/>
              </w:rPr>
            </w:pPr>
            <w:r>
              <w:rPr>
                <w:rFonts w:hint="eastAsia" w:ascii="宋体" w:hAnsi="宋体" w:cs="宋体"/>
                <w:color w:val="000000"/>
                <w:kern w:val="0"/>
                <w:sz w:val="21"/>
                <w:szCs w:val="21"/>
                <w:lang w:bidi="ar"/>
              </w:rPr>
              <w:t>《电气装置安装工程电缆线路施工及验收规范》</w:t>
            </w:r>
          </w:p>
        </w:tc>
        <w:tc>
          <w:tcPr>
            <w:tcW w:w="1244" w:type="pct"/>
            <w:tcBorders>
              <w:top w:val="single" w:color="auto" w:sz="4" w:space="0"/>
              <w:left w:val="single" w:color="auto" w:sz="4" w:space="0"/>
              <w:bottom w:val="single" w:color="auto" w:sz="4" w:space="0"/>
              <w:right w:val="single" w:color="auto" w:sz="12" w:space="0"/>
            </w:tcBorders>
            <w:shd w:val="clear" w:color="auto" w:fill="auto"/>
            <w:noWrap/>
            <w:vAlign w:val="center"/>
          </w:tcPr>
          <w:p>
            <w:pPr>
              <w:widowControl/>
              <w:spacing w:line="240" w:lineRule="auto"/>
              <w:ind w:firstLine="0" w:firstLineChars="0"/>
              <w:textAlignment w:val="center"/>
              <w:rPr>
                <w:rFonts w:ascii="宋体" w:hAnsi="宋体" w:cs="宋体"/>
                <w:color w:val="000000"/>
                <w:kern w:val="0"/>
                <w:sz w:val="21"/>
                <w:szCs w:val="21"/>
                <w:lang w:bidi="ar"/>
              </w:rPr>
            </w:pPr>
            <w:r>
              <w:rPr>
                <w:rFonts w:hint="eastAsia" w:ascii="宋体" w:hAnsi="宋体" w:cs="宋体"/>
                <w:color w:val="000000"/>
                <w:kern w:val="0"/>
                <w:sz w:val="21"/>
                <w:szCs w:val="21"/>
                <w:lang w:bidi="ar"/>
              </w:rPr>
              <w:t>GB 50168-2018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3" w:type="pct"/>
            <w:tcBorders>
              <w:top w:val="single" w:color="auto" w:sz="4" w:space="0"/>
              <w:left w:val="single" w:color="auto" w:sz="12" w:space="0"/>
              <w:bottom w:val="single" w:color="auto" w:sz="4" w:space="0"/>
              <w:right w:val="single" w:color="auto" w:sz="4" w:space="0"/>
            </w:tcBorders>
            <w:shd w:val="clear" w:color="auto" w:fill="auto"/>
            <w:vAlign w:val="center"/>
          </w:tcPr>
          <w:p>
            <w:pPr>
              <w:widowControl/>
              <w:numPr>
                <w:ilvl w:val="0"/>
                <w:numId w:val="4"/>
              </w:numPr>
              <w:tabs>
                <w:tab w:val="left" w:pos="397"/>
                <w:tab w:val="clear" w:pos="0"/>
              </w:tabs>
              <w:adjustRightInd w:val="0"/>
              <w:snapToGrid w:val="0"/>
              <w:spacing w:line="240" w:lineRule="auto"/>
              <w:ind w:firstLine="0" w:firstLineChars="0"/>
              <w:jc w:val="center"/>
              <w:textAlignment w:val="center"/>
              <w:rPr>
                <w:rFonts w:ascii="宋体" w:hAnsi="宋体" w:eastAsia="宋体" w:cs="宋体"/>
                <w:kern w:val="0"/>
                <w:sz w:val="21"/>
                <w:szCs w:val="21"/>
              </w:rPr>
            </w:pPr>
          </w:p>
        </w:tc>
        <w:tc>
          <w:tcPr>
            <w:tcW w:w="338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textAlignment w:val="center"/>
              <w:rPr>
                <w:rFonts w:ascii="宋体" w:hAnsi="宋体" w:cs="宋体"/>
                <w:color w:val="000000"/>
                <w:kern w:val="0"/>
                <w:sz w:val="21"/>
                <w:szCs w:val="21"/>
                <w:lang w:bidi="ar"/>
              </w:rPr>
            </w:pPr>
            <w:r>
              <w:rPr>
                <w:rFonts w:hint="eastAsia" w:ascii="宋体" w:hAnsi="宋体" w:cs="宋体"/>
                <w:color w:val="000000"/>
                <w:kern w:val="0"/>
                <w:sz w:val="21"/>
                <w:szCs w:val="21"/>
                <w:lang w:bidi="ar"/>
              </w:rPr>
              <w:t>《电热和电磁处理装置的安全 第1部分：通用要求》</w:t>
            </w:r>
          </w:p>
        </w:tc>
        <w:tc>
          <w:tcPr>
            <w:tcW w:w="1244" w:type="pct"/>
            <w:tcBorders>
              <w:top w:val="single" w:color="auto" w:sz="4" w:space="0"/>
              <w:left w:val="single" w:color="auto" w:sz="4" w:space="0"/>
              <w:bottom w:val="single" w:color="auto" w:sz="4" w:space="0"/>
              <w:right w:val="single" w:color="auto" w:sz="12" w:space="0"/>
            </w:tcBorders>
            <w:shd w:val="clear" w:color="auto" w:fill="auto"/>
            <w:noWrap/>
            <w:vAlign w:val="center"/>
          </w:tcPr>
          <w:p>
            <w:pPr>
              <w:widowControl/>
              <w:spacing w:line="240" w:lineRule="auto"/>
              <w:ind w:firstLine="0" w:firstLineChars="0"/>
              <w:textAlignment w:val="center"/>
              <w:rPr>
                <w:rFonts w:ascii="宋体" w:hAnsi="宋体" w:cs="宋体"/>
                <w:color w:val="000000"/>
                <w:kern w:val="0"/>
                <w:sz w:val="21"/>
                <w:szCs w:val="21"/>
                <w:lang w:bidi="ar"/>
              </w:rPr>
            </w:pPr>
            <w:r>
              <w:fldChar w:fldCharType="begin"/>
            </w:r>
            <w:r>
              <w:instrText xml:space="preserve"> HYPERLINK "http://www.csres.com/detail/332579.html" \o "http://www.csres.com/detail/332579.html" </w:instrText>
            </w:r>
            <w:r>
              <w:fldChar w:fldCharType="separate"/>
            </w:r>
            <w:r>
              <w:rPr>
                <w:rFonts w:hint="eastAsia" w:ascii="宋体" w:hAnsi="宋体" w:cs="宋体"/>
                <w:color w:val="000000"/>
                <w:kern w:val="0"/>
                <w:sz w:val="21"/>
                <w:szCs w:val="21"/>
                <w:lang w:bidi="ar"/>
              </w:rPr>
              <w:t>GB/T 5959.1-2019</w:t>
            </w:r>
            <w:r>
              <w:rPr>
                <w:rFonts w:hint="eastAsia" w:ascii="宋体" w:hAnsi="宋体" w:cs="宋体"/>
                <w:color w:val="000000"/>
                <w:kern w:val="0"/>
                <w:sz w:val="21"/>
                <w:szCs w:val="21"/>
                <w:lang w:bidi="ar"/>
              </w:rPr>
              <w:fldChar w:fldCharType="end"/>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3" w:type="pct"/>
            <w:tcBorders>
              <w:top w:val="single" w:color="auto" w:sz="4" w:space="0"/>
              <w:left w:val="single" w:color="auto" w:sz="12" w:space="0"/>
              <w:bottom w:val="single" w:color="auto" w:sz="4" w:space="0"/>
              <w:right w:val="single" w:color="auto" w:sz="4" w:space="0"/>
            </w:tcBorders>
            <w:shd w:val="clear" w:color="auto" w:fill="auto"/>
            <w:vAlign w:val="center"/>
          </w:tcPr>
          <w:p>
            <w:pPr>
              <w:widowControl/>
              <w:numPr>
                <w:ilvl w:val="0"/>
                <w:numId w:val="4"/>
              </w:numPr>
              <w:tabs>
                <w:tab w:val="left" w:pos="397"/>
                <w:tab w:val="clear" w:pos="0"/>
              </w:tabs>
              <w:adjustRightInd w:val="0"/>
              <w:snapToGrid w:val="0"/>
              <w:spacing w:line="240" w:lineRule="auto"/>
              <w:ind w:firstLine="0" w:firstLineChars="0"/>
              <w:jc w:val="center"/>
              <w:textAlignment w:val="center"/>
              <w:rPr>
                <w:rFonts w:ascii="宋体" w:hAnsi="宋体" w:eastAsia="宋体" w:cs="宋体"/>
                <w:kern w:val="0"/>
                <w:sz w:val="21"/>
                <w:szCs w:val="21"/>
              </w:rPr>
            </w:pPr>
          </w:p>
        </w:tc>
        <w:tc>
          <w:tcPr>
            <w:tcW w:w="338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textAlignment w:val="center"/>
              <w:rPr>
                <w:rFonts w:ascii="宋体" w:hAnsi="宋体" w:cs="宋体"/>
                <w:color w:val="000000"/>
                <w:kern w:val="0"/>
                <w:sz w:val="21"/>
                <w:szCs w:val="21"/>
                <w:lang w:bidi="ar"/>
              </w:rPr>
            </w:pPr>
            <w:r>
              <w:rPr>
                <w:rFonts w:hint="eastAsia" w:ascii="宋体" w:hAnsi="宋体" w:cs="宋体"/>
                <w:color w:val="000000"/>
                <w:kern w:val="0"/>
                <w:sz w:val="21"/>
                <w:szCs w:val="21"/>
                <w:lang w:bidi="ar"/>
              </w:rPr>
              <w:t>《电热和电磁处理装置基本技术条件 第1部分：通用部分》</w:t>
            </w:r>
          </w:p>
        </w:tc>
        <w:tc>
          <w:tcPr>
            <w:tcW w:w="1244" w:type="pct"/>
            <w:tcBorders>
              <w:top w:val="single" w:color="auto" w:sz="4" w:space="0"/>
              <w:left w:val="single" w:color="auto" w:sz="4" w:space="0"/>
              <w:bottom w:val="single" w:color="auto" w:sz="4" w:space="0"/>
              <w:right w:val="single" w:color="auto" w:sz="12" w:space="0"/>
            </w:tcBorders>
            <w:shd w:val="clear" w:color="auto" w:fill="auto"/>
            <w:noWrap/>
            <w:vAlign w:val="center"/>
          </w:tcPr>
          <w:p>
            <w:pPr>
              <w:widowControl/>
              <w:spacing w:line="240" w:lineRule="auto"/>
              <w:ind w:firstLine="0" w:firstLineChars="0"/>
              <w:textAlignment w:val="center"/>
              <w:rPr>
                <w:rFonts w:ascii="宋体" w:hAnsi="宋体" w:cs="宋体"/>
                <w:color w:val="000000"/>
                <w:kern w:val="0"/>
                <w:sz w:val="21"/>
                <w:szCs w:val="21"/>
                <w:lang w:bidi="ar"/>
              </w:rPr>
            </w:pPr>
            <w:r>
              <w:rPr>
                <w:rFonts w:hint="eastAsia" w:ascii="宋体" w:hAnsi="宋体" w:cs="宋体"/>
                <w:color w:val="000000"/>
                <w:kern w:val="0"/>
                <w:sz w:val="21"/>
                <w:szCs w:val="21"/>
                <w:lang w:bidi="ar"/>
              </w:rPr>
              <w:t>GB/T 10067.1-2019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3" w:type="pct"/>
            <w:tcBorders>
              <w:top w:val="single" w:color="auto" w:sz="4" w:space="0"/>
              <w:left w:val="single" w:color="auto" w:sz="12" w:space="0"/>
              <w:bottom w:val="single" w:color="auto" w:sz="4" w:space="0"/>
              <w:right w:val="single" w:color="auto" w:sz="4" w:space="0"/>
            </w:tcBorders>
            <w:shd w:val="clear" w:color="auto" w:fill="auto"/>
            <w:vAlign w:val="center"/>
          </w:tcPr>
          <w:p>
            <w:pPr>
              <w:widowControl/>
              <w:numPr>
                <w:ilvl w:val="0"/>
                <w:numId w:val="4"/>
              </w:numPr>
              <w:tabs>
                <w:tab w:val="left" w:pos="397"/>
                <w:tab w:val="clear" w:pos="0"/>
              </w:tabs>
              <w:adjustRightInd w:val="0"/>
              <w:snapToGrid w:val="0"/>
              <w:spacing w:line="240" w:lineRule="auto"/>
              <w:ind w:firstLine="0" w:firstLineChars="0"/>
              <w:jc w:val="center"/>
              <w:textAlignment w:val="center"/>
              <w:rPr>
                <w:rFonts w:ascii="宋体" w:hAnsi="宋体" w:eastAsia="宋体" w:cs="宋体"/>
                <w:kern w:val="0"/>
                <w:sz w:val="21"/>
                <w:szCs w:val="21"/>
              </w:rPr>
            </w:pPr>
          </w:p>
        </w:tc>
        <w:tc>
          <w:tcPr>
            <w:tcW w:w="338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textAlignment w:val="center"/>
              <w:rPr>
                <w:rFonts w:ascii="宋体" w:hAnsi="宋体" w:cs="宋体"/>
                <w:color w:val="000000"/>
                <w:kern w:val="0"/>
                <w:sz w:val="21"/>
                <w:szCs w:val="21"/>
                <w:lang w:bidi="ar"/>
              </w:rPr>
            </w:pPr>
            <w:r>
              <w:rPr>
                <w:rFonts w:hint="eastAsia" w:ascii="宋体" w:hAnsi="宋体" w:cs="宋体"/>
                <w:color w:val="000000"/>
                <w:kern w:val="0"/>
                <w:sz w:val="21"/>
                <w:szCs w:val="21"/>
                <w:lang w:bidi="ar"/>
              </w:rPr>
              <w:t>《电热装置基本技术条件 第31部分：中频无心感应炉》</w:t>
            </w:r>
          </w:p>
        </w:tc>
        <w:tc>
          <w:tcPr>
            <w:tcW w:w="1244" w:type="pct"/>
            <w:tcBorders>
              <w:top w:val="single" w:color="auto" w:sz="4" w:space="0"/>
              <w:left w:val="single" w:color="auto" w:sz="4" w:space="0"/>
              <w:bottom w:val="single" w:color="auto" w:sz="4" w:space="0"/>
              <w:right w:val="single" w:color="auto" w:sz="12" w:space="0"/>
            </w:tcBorders>
            <w:shd w:val="clear" w:color="auto" w:fill="auto"/>
            <w:noWrap/>
            <w:vAlign w:val="center"/>
          </w:tcPr>
          <w:p>
            <w:pPr>
              <w:widowControl/>
              <w:spacing w:line="240" w:lineRule="auto"/>
              <w:ind w:firstLine="0" w:firstLineChars="0"/>
              <w:textAlignment w:val="center"/>
              <w:rPr>
                <w:rFonts w:ascii="宋体" w:hAnsi="宋体" w:cs="宋体"/>
                <w:color w:val="000000"/>
                <w:kern w:val="0"/>
                <w:sz w:val="21"/>
                <w:szCs w:val="21"/>
                <w:lang w:bidi="ar"/>
              </w:rPr>
            </w:pPr>
            <w:r>
              <w:fldChar w:fldCharType="begin"/>
            </w:r>
            <w:r>
              <w:instrText xml:space="preserve"> HYPERLINK "http://www.csres.com/detail/233973.html" \o "http://www.csres.com/detail/233973.html" </w:instrText>
            </w:r>
            <w:r>
              <w:fldChar w:fldCharType="separate"/>
            </w:r>
            <w:r>
              <w:rPr>
                <w:rFonts w:hint="eastAsia" w:ascii="宋体" w:hAnsi="宋体" w:cs="宋体"/>
                <w:color w:val="000000"/>
                <w:kern w:val="0"/>
                <w:sz w:val="21"/>
                <w:szCs w:val="21"/>
                <w:lang w:bidi="ar"/>
              </w:rPr>
              <w:t>GB/T 10067.31-2013</w:t>
            </w:r>
            <w:r>
              <w:rPr>
                <w:rFonts w:hint="eastAsia" w:ascii="宋体" w:hAnsi="宋体" w:cs="宋体"/>
                <w:color w:val="000000"/>
                <w:kern w:val="0"/>
                <w:sz w:val="21"/>
                <w:szCs w:val="21"/>
                <w:lang w:bidi="ar"/>
              </w:rPr>
              <w:fldChar w:fldCharType="end"/>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3" w:type="pct"/>
            <w:tcBorders>
              <w:top w:val="single" w:color="auto" w:sz="4" w:space="0"/>
              <w:left w:val="single" w:color="auto" w:sz="12" w:space="0"/>
              <w:bottom w:val="single" w:color="auto" w:sz="4" w:space="0"/>
              <w:right w:val="single" w:color="auto" w:sz="4" w:space="0"/>
            </w:tcBorders>
            <w:shd w:val="clear" w:color="auto" w:fill="auto"/>
            <w:vAlign w:val="center"/>
          </w:tcPr>
          <w:p>
            <w:pPr>
              <w:widowControl/>
              <w:numPr>
                <w:ilvl w:val="0"/>
                <w:numId w:val="4"/>
              </w:numPr>
              <w:tabs>
                <w:tab w:val="left" w:pos="397"/>
                <w:tab w:val="clear" w:pos="0"/>
              </w:tabs>
              <w:adjustRightInd w:val="0"/>
              <w:snapToGrid w:val="0"/>
              <w:spacing w:line="240" w:lineRule="auto"/>
              <w:ind w:firstLine="0" w:firstLineChars="0"/>
              <w:jc w:val="center"/>
              <w:textAlignment w:val="center"/>
              <w:rPr>
                <w:rFonts w:ascii="宋体" w:hAnsi="宋体" w:eastAsia="宋体" w:cs="宋体"/>
                <w:kern w:val="0"/>
                <w:sz w:val="21"/>
                <w:szCs w:val="21"/>
              </w:rPr>
            </w:pPr>
          </w:p>
        </w:tc>
        <w:tc>
          <w:tcPr>
            <w:tcW w:w="338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textAlignment w:val="center"/>
              <w:rPr>
                <w:rFonts w:ascii="宋体" w:hAnsi="宋体" w:cs="宋体"/>
                <w:color w:val="000000"/>
                <w:kern w:val="0"/>
                <w:sz w:val="21"/>
                <w:szCs w:val="21"/>
                <w:lang w:bidi="ar"/>
              </w:rPr>
            </w:pPr>
            <w:r>
              <w:rPr>
                <w:rFonts w:hint="eastAsia" w:ascii="宋体" w:hAnsi="宋体" w:cs="宋体"/>
                <w:color w:val="000000"/>
                <w:kern w:val="0"/>
                <w:sz w:val="21"/>
                <w:szCs w:val="21"/>
                <w:lang w:bidi="ar"/>
              </w:rPr>
              <w:t>《电热装置基本技术条件 第32部分：电压型变频多台中频无心感应炉成套装置》</w:t>
            </w:r>
          </w:p>
        </w:tc>
        <w:tc>
          <w:tcPr>
            <w:tcW w:w="1244" w:type="pct"/>
            <w:tcBorders>
              <w:top w:val="single" w:color="auto" w:sz="4" w:space="0"/>
              <w:left w:val="single" w:color="auto" w:sz="4" w:space="0"/>
              <w:bottom w:val="single" w:color="auto" w:sz="4" w:space="0"/>
              <w:right w:val="single" w:color="auto" w:sz="12" w:space="0"/>
            </w:tcBorders>
            <w:shd w:val="clear" w:color="auto" w:fill="auto"/>
            <w:noWrap/>
            <w:vAlign w:val="center"/>
          </w:tcPr>
          <w:p>
            <w:pPr>
              <w:widowControl/>
              <w:spacing w:line="240" w:lineRule="auto"/>
              <w:ind w:firstLine="0" w:firstLineChars="0"/>
              <w:textAlignment w:val="center"/>
              <w:rPr>
                <w:rFonts w:ascii="宋体" w:hAnsi="宋体" w:cs="宋体"/>
                <w:color w:val="000000"/>
                <w:kern w:val="0"/>
                <w:sz w:val="21"/>
                <w:szCs w:val="21"/>
                <w:lang w:bidi="ar"/>
              </w:rPr>
            </w:pPr>
            <w:r>
              <w:fldChar w:fldCharType="begin"/>
            </w:r>
            <w:r>
              <w:instrText xml:space="preserve"> HYPERLINK "http://www.csres.com/detail/233974.html" \o "http://www.csres.com/detail/233974.html" </w:instrText>
            </w:r>
            <w:r>
              <w:fldChar w:fldCharType="separate"/>
            </w:r>
            <w:r>
              <w:rPr>
                <w:rFonts w:hint="eastAsia" w:ascii="宋体" w:hAnsi="宋体" w:cs="宋体"/>
                <w:color w:val="000000"/>
                <w:kern w:val="0"/>
                <w:sz w:val="21"/>
                <w:szCs w:val="21"/>
                <w:lang w:bidi="ar"/>
              </w:rPr>
              <w:t>GB/T 10067.32-2013</w:t>
            </w:r>
            <w:r>
              <w:rPr>
                <w:rFonts w:hint="eastAsia" w:ascii="宋体" w:hAnsi="宋体" w:cs="宋体"/>
                <w:color w:val="000000"/>
                <w:kern w:val="0"/>
                <w:sz w:val="21"/>
                <w:szCs w:val="21"/>
                <w:lang w:bidi="ar"/>
              </w:rPr>
              <w:fldChar w:fldCharType="end"/>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3" w:type="pct"/>
            <w:tcBorders>
              <w:top w:val="single" w:color="auto" w:sz="4" w:space="0"/>
              <w:left w:val="single" w:color="auto" w:sz="12" w:space="0"/>
              <w:bottom w:val="single" w:color="auto" w:sz="4" w:space="0"/>
              <w:right w:val="single" w:color="auto" w:sz="4" w:space="0"/>
            </w:tcBorders>
            <w:shd w:val="clear" w:color="auto" w:fill="auto"/>
            <w:vAlign w:val="center"/>
          </w:tcPr>
          <w:p>
            <w:pPr>
              <w:widowControl/>
              <w:numPr>
                <w:ilvl w:val="0"/>
                <w:numId w:val="4"/>
              </w:numPr>
              <w:tabs>
                <w:tab w:val="left" w:pos="397"/>
                <w:tab w:val="clear" w:pos="0"/>
              </w:tabs>
              <w:adjustRightInd w:val="0"/>
              <w:snapToGrid w:val="0"/>
              <w:spacing w:line="240" w:lineRule="auto"/>
              <w:ind w:firstLine="0" w:firstLineChars="0"/>
              <w:jc w:val="center"/>
              <w:textAlignment w:val="center"/>
              <w:rPr>
                <w:rFonts w:ascii="宋体" w:hAnsi="宋体" w:eastAsia="宋体" w:cs="宋体"/>
                <w:kern w:val="0"/>
                <w:sz w:val="21"/>
                <w:szCs w:val="21"/>
              </w:rPr>
            </w:pPr>
          </w:p>
        </w:tc>
        <w:tc>
          <w:tcPr>
            <w:tcW w:w="338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textAlignment w:val="center"/>
              <w:rPr>
                <w:rFonts w:ascii="宋体" w:hAnsi="宋体" w:cs="宋体"/>
                <w:color w:val="000000"/>
                <w:kern w:val="0"/>
                <w:sz w:val="21"/>
                <w:szCs w:val="21"/>
                <w:lang w:bidi="ar"/>
              </w:rPr>
            </w:pPr>
            <w:r>
              <w:rPr>
                <w:rFonts w:hint="eastAsia" w:ascii="宋体" w:hAnsi="宋体" w:cs="宋体"/>
                <w:color w:val="000000"/>
                <w:kern w:val="0"/>
                <w:sz w:val="21"/>
                <w:szCs w:val="21"/>
                <w:lang w:bidi="ar"/>
              </w:rPr>
              <w:t>《电热装置基本技术条件 第3部分：感应电热装置》</w:t>
            </w:r>
          </w:p>
        </w:tc>
        <w:tc>
          <w:tcPr>
            <w:tcW w:w="1244" w:type="pct"/>
            <w:tcBorders>
              <w:top w:val="single" w:color="auto" w:sz="4" w:space="0"/>
              <w:left w:val="single" w:color="auto" w:sz="4" w:space="0"/>
              <w:bottom w:val="single" w:color="auto" w:sz="4" w:space="0"/>
              <w:right w:val="single" w:color="auto" w:sz="12" w:space="0"/>
            </w:tcBorders>
            <w:shd w:val="clear" w:color="auto" w:fill="auto"/>
            <w:noWrap/>
            <w:vAlign w:val="center"/>
          </w:tcPr>
          <w:p>
            <w:pPr>
              <w:widowControl/>
              <w:spacing w:line="240" w:lineRule="auto"/>
              <w:ind w:firstLine="0" w:firstLineChars="0"/>
              <w:textAlignment w:val="center"/>
              <w:rPr>
                <w:rFonts w:ascii="宋体" w:hAnsi="宋体" w:cs="宋体"/>
                <w:color w:val="000000"/>
                <w:kern w:val="0"/>
                <w:sz w:val="21"/>
                <w:szCs w:val="21"/>
                <w:lang w:bidi="ar"/>
              </w:rPr>
            </w:pPr>
            <w:r>
              <w:fldChar w:fldCharType="begin"/>
            </w:r>
            <w:r>
              <w:instrText xml:space="preserve"> HYPERLINK "http://www.csres.com/detail/274756.html" \o "http://www.csres.com/detail/274756.html" </w:instrText>
            </w:r>
            <w:r>
              <w:fldChar w:fldCharType="separate"/>
            </w:r>
            <w:r>
              <w:rPr>
                <w:rFonts w:hint="eastAsia" w:ascii="宋体" w:hAnsi="宋体" w:cs="宋体"/>
                <w:color w:val="000000"/>
                <w:kern w:val="0"/>
                <w:sz w:val="21"/>
                <w:szCs w:val="21"/>
                <w:lang w:bidi="ar"/>
              </w:rPr>
              <w:t>GB/T 10067.3-2015</w:t>
            </w:r>
            <w:r>
              <w:rPr>
                <w:rFonts w:hint="eastAsia" w:ascii="宋体" w:hAnsi="宋体" w:cs="宋体"/>
                <w:color w:val="000000"/>
                <w:kern w:val="0"/>
                <w:sz w:val="21"/>
                <w:szCs w:val="21"/>
                <w:lang w:bidi="ar"/>
              </w:rPr>
              <w:fldChar w:fldCharType="end"/>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3" w:type="pct"/>
            <w:tcBorders>
              <w:top w:val="single" w:color="auto" w:sz="4" w:space="0"/>
              <w:left w:val="single" w:color="auto" w:sz="12" w:space="0"/>
              <w:bottom w:val="single" w:color="auto" w:sz="4" w:space="0"/>
              <w:right w:val="single" w:color="auto" w:sz="4" w:space="0"/>
            </w:tcBorders>
            <w:shd w:val="clear" w:color="auto" w:fill="auto"/>
            <w:vAlign w:val="center"/>
          </w:tcPr>
          <w:p>
            <w:pPr>
              <w:widowControl/>
              <w:numPr>
                <w:ilvl w:val="0"/>
                <w:numId w:val="4"/>
              </w:numPr>
              <w:tabs>
                <w:tab w:val="left" w:pos="397"/>
                <w:tab w:val="clear" w:pos="0"/>
              </w:tabs>
              <w:adjustRightInd w:val="0"/>
              <w:snapToGrid w:val="0"/>
              <w:spacing w:line="240" w:lineRule="auto"/>
              <w:ind w:firstLine="0" w:firstLineChars="0"/>
              <w:jc w:val="center"/>
              <w:textAlignment w:val="center"/>
              <w:rPr>
                <w:rFonts w:ascii="宋体" w:hAnsi="宋体" w:eastAsia="宋体" w:cs="宋体"/>
                <w:kern w:val="0"/>
                <w:sz w:val="21"/>
                <w:szCs w:val="21"/>
              </w:rPr>
            </w:pPr>
          </w:p>
        </w:tc>
        <w:tc>
          <w:tcPr>
            <w:tcW w:w="338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textAlignment w:val="center"/>
              <w:rPr>
                <w:rFonts w:ascii="宋体" w:hAnsi="宋体" w:cs="宋体"/>
                <w:color w:val="000000"/>
                <w:kern w:val="0"/>
                <w:sz w:val="21"/>
                <w:szCs w:val="21"/>
                <w:lang w:bidi="ar"/>
              </w:rPr>
            </w:pPr>
            <w:r>
              <w:rPr>
                <w:rFonts w:hint="eastAsia" w:ascii="宋体" w:hAnsi="宋体" w:cs="宋体"/>
                <w:color w:val="000000"/>
                <w:kern w:val="0"/>
                <w:sz w:val="21"/>
                <w:szCs w:val="21"/>
                <w:lang w:bidi="ar"/>
              </w:rPr>
              <w:t>《工业企业设计卫生标准》</w:t>
            </w:r>
          </w:p>
        </w:tc>
        <w:tc>
          <w:tcPr>
            <w:tcW w:w="1244" w:type="pct"/>
            <w:tcBorders>
              <w:top w:val="single" w:color="auto" w:sz="4" w:space="0"/>
              <w:left w:val="single" w:color="auto" w:sz="4" w:space="0"/>
              <w:bottom w:val="single" w:color="auto" w:sz="4" w:space="0"/>
              <w:right w:val="single" w:color="auto" w:sz="12" w:space="0"/>
            </w:tcBorders>
            <w:shd w:val="clear" w:color="auto" w:fill="auto"/>
            <w:noWrap/>
            <w:vAlign w:val="center"/>
          </w:tcPr>
          <w:p>
            <w:pPr>
              <w:widowControl/>
              <w:spacing w:line="240" w:lineRule="auto"/>
              <w:ind w:firstLine="0" w:firstLineChars="0"/>
              <w:textAlignment w:val="center"/>
              <w:rPr>
                <w:rFonts w:ascii="宋体" w:hAnsi="宋体" w:cs="宋体"/>
                <w:color w:val="000000"/>
                <w:kern w:val="0"/>
                <w:sz w:val="21"/>
                <w:szCs w:val="21"/>
                <w:lang w:bidi="ar"/>
              </w:rPr>
            </w:pPr>
            <w:r>
              <w:rPr>
                <w:rFonts w:hint="eastAsia" w:ascii="宋体" w:hAnsi="宋体" w:cs="宋体"/>
                <w:color w:val="000000"/>
                <w:kern w:val="0"/>
                <w:sz w:val="21"/>
                <w:szCs w:val="21"/>
                <w:lang w:bidi="ar"/>
              </w:rPr>
              <w:t>GBZ 1-2010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3" w:type="pct"/>
            <w:tcBorders>
              <w:top w:val="single" w:color="auto" w:sz="4" w:space="0"/>
              <w:left w:val="single" w:color="auto" w:sz="12" w:space="0"/>
              <w:bottom w:val="single" w:color="auto" w:sz="4" w:space="0"/>
              <w:right w:val="single" w:color="auto" w:sz="4" w:space="0"/>
            </w:tcBorders>
            <w:shd w:val="clear" w:color="auto" w:fill="auto"/>
            <w:vAlign w:val="center"/>
          </w:tcPr>
          <w:p>
            <w:pPr>
              <w:widowControl/>
              <w:numPr>
                <w:ilvl w:val="0"/>
                <w:numId w:val="4"/>
              </w:numPr>
              <w:tabs>
                <w:tab w:val="left" w:pos="397"/>
                <w:tab w:val="clear" w:pos="0"/>
              </w:tabs>
              <w:adjustRightInd w:val="0"/>
              <w:snapToGrid w:val="0"/>
              <w:spacing w:line="240" w:lineRule="auto"/>
              <w:ind w:firstLine="0" w:firstLineChars="0"/>
              <w:jc w:val="center"/>
              <w:textAlignment w:val="center"/>
              <w:rPr>
                <w:rFonts w:ascii="宋体" w:hAnsi="宋体" w:eastAsia="宋体" w:cs="宋体"/>
                <w:kern w:val="0"/>
                <w:sz w:val="21"/>
                <w:szCs w:val="21"/>
              </w:rPr>
            </w:pPr>
          </w:p>
        </w:tc>
        <w:tc>
          <w:tcPr>
            <w:tcW w:w="338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textAlignment w:val="center"/>
              <w:rPr>
                <w:rFonts w:ascii="宋体" w:hAnsi="宋体" w:cs="宋体"/>
                <w:sz w:val="21"/>
                <w:szCs w:val="21"/>
              </w:rPr>
            </w:pPr>
            <w:r>
              <w:rPr>
                <w:rFonts w:hint="eastAsia" w:ascii="宋体" w:hAnsi="宋体" w:cs="宋体"/>
                <w:color w:val="000000"/>
                <w:kern w:val="0"/>
                <w:sz w:val="21"/>
                <w:szCs w:val="21"/>
                <w:lang w:bidi="ar"/>
              </w:rPr>
              <w:t>《工作场所有害因素职业接触限值第1部分：化学有害因素》</w:t>
            </w:r>
          </w:p>
        </w:tc>
        <w:tc>
          <w:tcPr>
            <w:tcW w:w="1244" w:type="pct"/>
            <w:tcBorders>
              <w:top w:val="single" w:color="auto" w:sz="4" w:space="0"/>
              <w:left w:val="single" w:color="auto" w:sz="4" w:space="0"/>
              <w:bottom w:val="single" w:color="auto" w:sz="4" w:space="0"/>
              <w:right w:val="single" w:color="auto" w:sz="12"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GBZ 2.1-2019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3" w:type="pct"/>
            <w:tcBorders>
              <w:top w:val="single" w:color="auto" w:sz="4" w:space="0"/>
              <w:left w:val="single" w:color="auto" w:sz="12" w:space="0"/>
              <w:bottom w:val="single" w:color="auto" w:sz="4" w:space="0"/>
              <w:right w:val="single" w:color="auto" w:sz="4" w:space="0"/>
            </w:tcBorders>
            <w:shd w:val="clear" w:color="auto" w:fill="auto"/>
            <w:vAlign w:val="center"/>
          </w:tcPr>
          <w:p>
            <w:pPr>
              <w:widowControl/>
              <w:numPr>
                <w:ilvl w:val="0"/>
                <w:numId w:val="4"/>
              </w:numPr>
              <w:tabs>
                <w:tab w:val="left" w:pos="397"/>
                <w:tab w:val="clear" w:pos="0"/>
              </w:tabs>
              <w:adjustRightInd w:val="0"/>
              <w:snapToGrid w:val="0"/>
              <w:spacing w:line="240" w:lineRule="auto"/>
              <w:ind w:firstLine="0" w:firstLineChars="0"/>
              <w:jc w:val="center"/>
              <w:textAlignment w:val="center"/>
              <w:rPr>
                <w:rFonts w:ascii="宋体" w:hAnsi="宋体" w:eastAsia="宋体" w:cs="宋体"/>
                <w:kern w:val="0"/>
                <w:sz w:val="21"/>
                <w:szCs w:val="21"/>
              </w:rPr>
            </w:pPr>
          </w:p>
        </w:tc>
        <w:tc>
          <w:tcPr>
            <w:tcW w:w="338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textAlignment w:val="center"/>
              <w:rPr>
                <w:rFonts w:ascii="宋体" w:hAnsi="宋体" w:cs="宋体"/>
                <w:sz w:val="21"/>
                <w:szCs w:val="21"/>
              </w:rPr>
            </w:pPr>
            <w:r>
              <w:rPr>
                <w:rFonts w:hint="eastAsia" w:ascii="宋体" w:hAnsi="宋体" w:cs="宋体"/>
                <w:color w:val="000000"/>
                <w:kern w:val="0"/>
                <w:sz w:val="21"/>
                <w:szCs w:val="21"/>
                <w:lang w:bidi="ar"/>
              </w:rPr>
              <w:t>《工作场所有害因素职业接触限值第2部分：物理因素》</w:t>
            </w:r>
          </w:p>
        </w:tc>
        <w:tc>
          <w:tcPr>
            <w:tcW w:w="1244" w:type="pct"/>
            <w:tcBorders>
              <w:top w:val="single" w:color="auto" w:sz="4" w:space="0"/>
              <w:left w:val="single" w:color="auto" w:sz="4" w:space="0"/>
              <w:bottom w:val="single" w:color="auto" w:sz="4" w:space="0"/>
              <w:right w:val="single" w:color="auto" w:sz="12"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GBZ 2.2-2007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3" w:type="pct"/>
            <w:tcBorders>
              <w:top w:val="single" w:color="auto" w:sz="4" w:space="0"/>
              <w:left w:val="single" w:color="auto" w:sz="12" w:space="0"/>
              <w:bottom w:val="single" w:color="auto" w:sz="4" w:space="0"/>
              <w:right w:val="single" w:color="auto" w:sz="4" w:space="0"/>
            </w:tcBorders>
            <w:shd w:val="clear" w:color="auto" w:fill="auto"/>
            <w:vAlign w:val="center"/>
          </w:tcPr>
          <w:p>
            <w:pPr>
              <w:widowControl/>
              <w:numPr>
                <w:ilvl w:val="0"/>
                <w:numId w:val="4"/>
              </w:numPr>
              <w:tabs>
                <w:tab w:val="left" w:pos="397"/>
                <w:tab w:val="clear" w:pos="0"/>
              </w:tabs>
              <w:adjustRightInd w:val="0"/>
              <w:snapToGrid w:val="0"/>
              <w:spacing w:line="240" w:lineRule="auto"/>
              <w:ind w:firstLine="0" w:firstLineChars="0"/>
              <w:jc w:val="center"/>
              <w:textAlignment w:val="center"/>
              <w:rPr>
                <w:rFonts w:ascii="宋体" w:hAnsi="宋体" w:eastAsia="宋体" w:cs="宋体"/>
                <w:kern w:val="0"/>
                <w:sz w:val="21"/>
                <w:szCs w:val="21"/>
              </w:rPr>
            </w:pPr>
          </w:p>
        </w:tc>
        <w:tc>
          <w:tcPr>
            <w:tcW w:w="338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《职业性接触毒物危害程度分级》</w:t>
            </w:r>
          </w:p>
        </w:tc>
        <w:tc>
          <w:tcPr>
            <w:tcW w:w="1244" w:type="pct"/>
            <w:tcBorders>
              <w:top w:val="single" w:color="auto" w:sz="4" w:space="0"/>
              <w:left w:val="single" w:color="auto" w:sz="4" w:space="0"/>
              <w:bottom w:val="single" w:color="auto" w:sz="4" w:space="0"/>
              <w:right w:val="single" w:color="auto" w:sz="12"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GBZ/T 230-2010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3" w:type="pct"/>
            <w:tcBorders>
              <w:top w:val="single" w:color="auto" w:sz="4" w:space="0"/>
              <w:left w:val="single" w:color="auto" w:sz="12" w:space="0"/>
              <w:bottom w:val="single" w:color="auto" w:sz="4" w:space="0"/>
              <w:right w:val="single" w:color="auto" w:sz="4" w:space="0"/>
            </w:tcBorders>
            <w:shd w:val="clear" w:color="auto" w:fill="auto"/>
            <w:vAlign w:val="center"/>
          </w:tcPr>
          <w:p>
            <w:pPr>
              <w:widowControl/>
              <w:numPr>
                <w:ilvl w:val="0"/>
                <w:numId w:val="4"/>
              </w:numPr>
              <w:tabs>
                <w:tab w:val="left" w:pos="397"/>
                <w:tab w:val="clear" w:pos="0"/>
              </w:tabs>
              <w:adjustRightInd w:val="0"/>
              <w:snapToGrid w:val="0"/>
              <w:spacing w:line="240" w:lineRule="auto"/>
              <w:ind w:firstLine="0" w:firstLineChars="0"/>
              <w:jc w:val="center"/>
              <w:textAlignment w:val="center"/>
              <w:rPr>
                <w:rFonts w:ascii="宋体" w:hAnsi="宋体" w:eastAsia="宋体" w:cs="宋体"/>
                <w:kern w:val="0"/>
                <w:sz w:val="21"/>
                <w:szCs w:val="21"/>
              </w:rPr>
            </w:pPr>
          </w:p>
        </w:tc>
        <w:tc>
          <w:tcPr>
            <w:tcW w:w="338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《电动单梁起重机》</w:t>
            </w:r>
          </w:p>
        </w:tc>
        <w:tc>
          <w:tcPr>
            <w:tcW w:w="1244" w:type="pct"/>
            <w:tcBorders>
              <w:top w:val="single" w:color="auto" w:sz="4" w:space="0"/>
              <w:left w:val="single" w:color="auto" w:sz="4" w:space="0"/>
              <w:bottom w:val="single" w:color="auto" w:sz="4" w:space="0"/>
              <w:right w:val="single" w:color="auto" w:sz="12"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JB/T 1306-2008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3" w:type="pct"/>
            <w:tcBorders>
              <w:top w:val="single" w:color="auto" w:sz="4" w:space="0"/>
              <w:left w:val="single" w:color="auto" w:sz="12" w:space="0"/>
              <w:bottom w:val="single" w:color="auto" w:sz="4" w:space="0"/>
              <w:right w:val="single" w:color="auto" w:sz="4" w:space="0"/>
            </w:tcBorders>
            <w:shd w:val="clear" w:color="auto" w:fill="auto"/>
            <w:vAlign w:val="center"/>
          </w:tcPr>
          <w:p>
            <w:pPr>
              <w:widowControl/>
              <w:numPr>
                <w:ilvl w:val="0"/>
                <w:numId w:val="4"/>
              </w:numPr>
              <w:tabs>
                <w:tab w:val="left" w:pos="397"/>
                <w:tab w:val="clear" w:pos="0"/>
              </w:tabs>
              <w:adjustRightInd w:val="0"/>
              <w:snapToGrid w:val="0"/>
              <w:spacing w:line="240" w:lineRule="auto"/>
              <w:ind w:firstLine="0" w:firstLineChars="0"/>
              <w:jc w:val="center"/>
              <w:textAlignment w:val="center"/>
              <w:rPr>
                <w:rFonts w:ascii="宋体" w:hAnsi="宋体" w:eastAsia="宋体" w:cs="宋体"/>
                <w:bCs w:val="0"/>
                <w:kern w:val="0"/>
                <w:sz w:val="21"/>
                <w:szCs w:val="21"/>
              </w:rPr>
            </w:pPr>
          </w:p>
        </w:tc>
        <w:tc>
          <w:tcPr>
            <w:tcW w:w="338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textAlignment w:val="center"/>
              <w:rPr>
                <w:rFonts w:ascii="宋体" w:hAnsi="宋体" w:cs="宋体"/>
                <w:bCs/>
                <w:kern w:val="0"/>
                <w:sz w:val="21"/>
                <w:szCs w:val="21"/>
              </w:rPr>
            </w:pPr>
            <w:r>
              <w:rPr>
                <w:rFonts w:hint="eastAsia" w:ascii="宋体" w:hAnsi="宋体" w:cs="宋体"/>
                <w:color w:val="000000"/>
                <w:kern w:val="0"/>
                <w:sz w:val="21"/>
                <w:szCs w:val="21"/>
                <w:lang w:bidi="ar"/>
              </w:rPr>
              <w:t>《气瓶安全技术规程》</w:t>
            </w:r>
          </w:p>
        </w:tc>
        <w:tc>
          <w:tcPr>
            <w:tcW w:w="1244" w:type="pct"/>
            <w:tcBorders>
              <w:top w:val="single" w:color="auto" w:sz="4" w:space="0"/>
              <w:left w:val="single" w:color="auto" w:sz="4" w:space="0"/>
              <w:bottom w:val="single" w:color="auto" w:sz="4" w:space="0"/>
              <w:right w:val="single" w:color="auto" w:sz="12"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TSG 23-2021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3" w:type="pct"/>
            <w:tcBorders>
              <w:top w:val="single" w:color="auto" w:sz="4" w:space="0"/>
              <w:left w:val="single" w:color="auto" w:sz="12" w:space="0"/>
              <w:bottom w:val="single" w:color="auto" w:sz="4" w:space="0"/>
              <w:right w:val="single" w:color="auto" w:sz="4" w:space="0"/>
            </w:tcBorders>
            <w:shd w:val="clear" w:color="auto" w:fill="auto"/>
            <w:vAlign w:val="center"/>
          </w:tcPr>
          <w:p>
            <w:pPr>
              <w:widowControl/>
              <w:numPr>
                <w:ilvl w:val="0"/>
                <w:numId w:val="4"/>
              </w:numPr>
              <w:tabs>
                <w:tab w:val="left" w:pos="397"/>
                <w:tab w:val="clear" w:pos="0"/>
              </w:tabs>
              <w:adjustRightInd w:val="0"/>
              <w:snapToGrid w:val="0"/>
              <w:spacing w:line="240" w:lineRule="auto"/>
              <w:ind w:firstLine="0" w:firstLineChars="0"/>
              <w:jc w:val="center"/>
              <w:textAlignment w:val="center"/>
              <w:rPr>
                <w:rFonts w:ascii="宋体" w:hAnsi="宋体" w:eastAsia="宋体" w:cs="宋体"/>
                <w:bCs w:val="0"/>
                <w:kern w:val="0"/>
                <w:sz w:val="21"/>
                <w:szCs w:val="21"/>
              </w:rPr>
            </w:pPr>
          </w:p>
        </w:tc>
        <w:tc>
          <w:tcPr>
            <w:tcW w:w="338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textAlignment w:val="center"/>
              <w:rPr>
                <w:rFonts w:ascii="宋体" w:hAnsi="宋体" w:cs="宋体"/>
                <w:bCs/>
                <w:kern w:val="0"/>
                <w:sz w:val="21"/>
                <w:szCs w:val="21"/>
              </w:rPr>
            </w:pPr>
            <w:r>
              <w:rPr>
                <w:rFonts w:hint="eastAsia" w:ascii="宋体" w:hAnsi="宋体" w:cs="宋体"/>
                <w:color w:val="000000"/>
                <w:kern w:val="0"/>
                <w:sz w:val="21"/>
                <w:szCs w:val="21"/>
                <w:lang w:bidi="ar"/>
              </w:rPr>
              <w:t>《危险场所电气防爆安全规范》</w:t>
            </w:r>
          </w:p>
        </w:tc>
        <w:tc>
          <w:tcPr>
            <w:tcW w:w="1244" w:type="pct"/>
            <w:tcBorders>
              <w:top w:val="single" w:color="auto" w:sz="4" w:space="0"/>
              <w:left w:val="single" w:color="auto" w:sz="4" w:space="0"/>
              <w:bottom w:val="single" w:color="auto" w:sz="4" w:space="0"/>
              <w:right w:val="single" w:color="auto" w:sz="12"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AQ 3009-2007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3" w:type="pct"/>
            <w:tcBorders>
              <w:top w:val="single" w:color="auto" w:sz="4" w:space="0"/>
              <w:left w:val="single" w:color="auto" w:sz="12" w:space="0"/>
              <w:bottom w:val="single" w:color="auto" w:sz="4" w:space="0"/>
              <w:right w:val="single" w:color="auto" w:sz="4" w:space="0"/>
            </w:tcBorders>
            <w:shd w:val="clear" w:color="auto" w:fill="auto"/>
            <w:vAlign w:val="center"/>
          </w:tcPr>
          <w:p>
            <w:pPr>
              <w:widowControl/>
              <w:numPr>
                <w:ilvl w:val="0"/>
                <w:numId w:val="4"/>
              </w:numPr>
              <w:tabs>
                <w:tab w:val="left" w:pos="397"/>
                <w:tab w:val="clear" w:pos="0"/>
              </w:tabs>
              <w:adjustRightInd w:val="0"/>
              <w:snapToGrid w:val="0"/>
              <w:spacing w:line="240" w:lineRule="auto"/>
              <w:ind w:firstLine="0" w:firstLineChars="0"/>
              <w:jc w:val="center"/>
              <w:textAlignment w:val="center"/>
              <w:rPr>
                <w:rFonts w:ascii="宋体" w:hAnsi="宋体" w:eastAsia="宋体" w:cs="宋体"/>
                <w:bCs w:val="0"/>
                <w:kern w:val="0"/>
                <w:position w:val="0"/>
                <w:sz w:val="21"/>
                <w:szCs w:val="21"/>
              </w:rPr>
            </w:pPr>
          </w:p>
        </w:tc>
        <w:tc>
          <w:tcPr>
            <w:tcW w:w="338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textAlignment w:val="center"/>
              <w:rPr>
                <w:rFonts w:ascii="宋体" w:hAnsi="宋体" w:cs="宋体"/>
                <w:bCs/>
                <w:kern w:val="0"/>
                <w:position w:val="-24"/>
                <w:sz w:val="21"/>
                <w:szCs w:val="21"/>
              </w:rPr>
            </w:pPr>
            <w:r>
              <w:rPr>
                <w:rFonts w:hint="eastAsia" w:ascii="宋体" w:hAnsi="宋体" w:cs="宋体"/>
                <w:color w:val="000000"/>
                <w:kern w:val="0"/>
                <w:sz w:val="21"/>
                <w:szCs w:val="21"/>
                <w:lang w:bidi="ar"/>
              </w:rPr>
              <w:t>《粉尘爆炸危险场所除尘系统安全技术规范》</w:t>
            </w:r>
          </w:p>
        </w:tc>
        <w:tc>
          <w:tcPr>
            <w:tcW w:w="1244" w:type="pct"/>
            <w:tcBorders>
              <w:top w:val="single" w:color="auto" w:sz="4" w:space="0"/>
              <w:left w:val="single" w:color="auto" w:sz="4" w:space="0"/>
              <w:bottom w:val="single" w:color="auto" w:sz="4" w:space="0"/>
              <w:right w:val="single" w:color="auto" w:sz="12" w:space="0"/>
            </w:tcBorders>
            <w:shd w:val="clear" w:color="auto" w:fill="auto"/>
            <w:noWrap/>
            <w:vAlign w:val="center"/>
          </w:tcPr>
          <w:p>
            <w:pPr>
              <w:widowControl/>
              <w:spacing w:line="240" w:lineRule="auto"/>
              <w:ind w:firstLine="0" w:firstLineChars="0"/>
              <w:textAlignment w:val="center"/>
              <w:rPr>
                <w:rFonts w:ascii="宋体" w:hAnsi="宋体" w:cs="宋体"/>
                <w:bCs/>
                <w:kern w:val="0"/>
                <w:position w:val="-24"/>
                <w:sz w:val="21"/>
                <w:szCs w:val="21"/>
              </w:rPr>
            </w:pPr>
            <w:r>
              <w:rPr>
                <w:rFonts w:hint="eastAsia" w:ascii="宋体" w:hAnsi="宋体" w:cs="宋体"/>
                <w:color w:val="000000"/>
                <w:kern w:val="0"/>
                <w:sz w:val="21"/>
                <w:szCs w:val="21"/>
                <w:lang w:bidi="ar"/>
              </w:rPr>
              <w:t>AQ 4273-2016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3" w:type="pct"/>
            <w:tcBorders>
              <w:top w:val="single" w:color="auto" w:sz="4" w:space="0"/>
              <w:left w:val="single" w:color="auto" w:sz="12" w:space="0"/>
              <w:bottom w:val="single" w:color="auto" w:sz="4" w:space="0"/>
              <w:right w:val="single" w:color="auto" w:sz="4" w:space="0"/>
            </w:tcBorders>
            <w:shd w:val="clear" w:color="auto" w:fill="auto"/>
            <w:vAlign w:val="center"/>
          </w:tcPr>
          <w:p>
            <w:pPr>
              <w:widowControl/>
              <w:numPr>
                <w:ilvl w:val="0"/>
                <w:numId w:val="4"/>
              </w:numPr>
              <w:tabs>
                <w:tab w:val="left" w:pos="397"/>
                <w:tab w:val="clear" w:pos="0"/>
              </w:tabs>
              <w:adjustRightInd w:val="0"/>
              <w:snapToGrid w:val="0"/>
              <w:spacing w:line="240" w:lineRule="auto"/>
              <w:ind w:firstLine="0" w:firstLineChars="0"/>
              <w:jc w:val="center"/>
              <w:textAlignment w:val="center"/>
              <w:rPr>
                <w:rFonts w:ascii="宋体" w:hAnsi="宋体" w:eastAsia="宋体" w:cs="宋体"/>
                <w:bCs w:val="0"/>
                <w:kern w:val="0"/>
                <w:position w:val="0"/>
                <w:sz w:val="21"/>
                <w:szCs w:val="21"/>
              </w:rPr>
            </w:pPr>
          </w:p>
        </w:tc>
        <w:tc>
          <w:tcPr>
            <w:tcW w:w="338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《高温熔融金属吊运安全规程》</w:t>
            </w:r>
          </w:p>
        </w:tc>
        <w:tc>
          <w:tcPr>
            <w:tcW w:w="1244" w:type="pct"/>
            <w:tcBorders>
              <w:top w:val="single" w:color="auto" w:sz="4" w:space="0"/>
              <w:left w:val="single" w:color="auto" w:sz="4" w:space="0"/>
              <w:bottom w:val="single" w:color="auto" w:sz="4" w:space="0"/>
              <w:right w:val="single" w:color="auto" w:sz="12"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AQ 7011-2018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3" w:type="pct"/>
            <w:tcBorders>
              <w:top w:val="single" w:color="auto" w:sz="4" w:space="0"/>
              <w:left w:val="single" w:color="auto" w:sz="12" w:space="0"/>
              <w:bottom w:val="single" w:color="auto" w:sz="4" w:space="0"/>
              <w:right w:val="single" w:color="auto" w:sz="4" w:space="0"/>
            </w:tcBorders>
            <w:shd w:val="clear" w:color="auto" w:fill="auto"/>
            <w:vAlign w:val="center"/>
          </w:tcPr>
          <w:p>
            <w:pPr>
              <w:widowControl/>
              <w:numPr>
                <w:ilvl w:val="0"/>
                <w:numId w:val="4"/>
              </w:numPr>
              <w:tabs>
                <w:tab w:val="left" w:pos="397"/>
                <w:tab w:val="clear" w:pos="0"/>
              </w:tabs>
              <w:adjustRightInd w:val="0"/>
              <w:snapToGrid w:val="0"/>
              <w:spacing w:line="240" w:lineRule="auto"/>
              <w:ind w:firstLine="0" w:firstLineChars="0"/>
              <w:jc w:val="center"/>
              <w:textAlignment w:val="center"/>
              <w:rPr>
                <w:rFonts w:ascii="宋体" w:hAnsi="宋体" w:eastAsia="宋体" w:cs="宋体"/>
                <w:bCs w:val="0"/>
                <w:kern w:val="0"/>
                <w:position w:val="0"/>
                <w:sz w:val="21"/>
                <w:szCs w:val="21"/>
              </w:rPr>
            </w:pPr>
          </w:p>
        </w:tc>
        <w:tc>
          <w:tcPr>
            <w:tcW w:w="338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textAlignment w:val="center"/>
              <w:rPr>
                <w:rFonts w:ascii="宋体" w:hAnsi="宋体" w:cs="宋体"/>
                <w:bCs/>
                <w:kern w:val="0"/>
                <w:position w:val="-24"/>
                <w:sz w:val="21"/>
                <w:szCs w:val="21"/>
              </w:rPr>
            </w:pPr>
            <w:r>
              <w:rPr>
                <w:rFonts w:hint="eastAsia" w:ascii="宋体" w:hAnsi="宋体" w:cs="宋体"/>
                <w:color w:val="000000"/>
                <w:kern w:val="0"/>
                <w:sz w:val="21"/>
                <w:szCs w:val="21"/>
                <w:lang w:bidi="ar"/>
              </w:rPr>
              <w:t>《安全评价通则》</w:t>
            </w:r>
          </w:p>
        </w:tc>
        <w:tc>
          <w:tcPr>
            <w:tcW w:w="1244" w:type="pct"/>
            <w:tcBorders>
              <w:top w:val="single" w:color="auto" w:sz="4" w:space="0"/>
              <w:left w:val="single" w:color="auto" w:sz="4" w:space="0"/>
              <w:bottom w:val="single" w:color="auto" w:sz="4" w:space="0"/>
              <w:right w:val="single" w:color="auto" w:sz="12"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AQ 8001-2007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3" w:type="pct"/>
            <w:tcBorders>
              <w:top w:val="single" w:color="auto" w:sz="4" w:space="0"/>
              <w:left w:val="single" w:color="auto" w:sz="12" w:space="0"/>
              <w:bottom w:val="single" w:color="auto" w:sz="4" w:space="0"/>
              <w:right w:val="single" w:color="auto" w:sz="4" w:space="0"/>
            </w:tcBorders>
            <w:shd w:val="clear" w:color="auto" w:fill="auto"/>
            <w:vAlign w:val="center"/>
          </w:tcPr>
          <w:p>
            <w:pPr>
              <w:widowControl/>
              <w:numPr>
                <w:ilvl w:val="0"/>
                <w:numId w:val="4"/>
              </w:numPr>
              <w:tabs>
                <w:tab w:val="left" w:pos="397"/>
                <w:tab w:val="clear" w:pos="0"/>
              </w:tabs>
              <w:adjustRightInd w:val="0"/>
              <w:snapToGrid w:val="0"/>
              <w:spacing w:line="240" w:lineRule="auto"/>
              <w:ind w:firstLine="0" w:firstLineChars="0"/>
              <w:jc w:val="center"/>
              <w:textAlignment w:val="center"/>
              <w:rPr>
                <w:rFonts w:ascii="宋体" w:hAnsi="宋体" w:eastAsia="宋体" w:cs="宋体"/>
                <w:bCs w:val="0"/>
                <w:kern w:val="0"/>
                <w:position w:val="0"/>
                <w:sz w:val="21"/>
                <w:szCs w:val="21"/>
              </w:rPr>
            </w:pPr>
          </w:p>
        </w:tc>
        <w:tc>
          <w:tcPr>
            <w:tcW w:w="338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textAlignment w:val="center"/>
              <w:rPr>
                <w:rFonts w:ascii="宋体" w:hAnsi="宋体" w:cs="宋体"/>
                <w:bCs/>
                <w:kern w:val="0"/>
                <w:sz w:val="21"/>
                <w:szCs w:val="21"/>
                <w:lang w:bidi="ar"/>
              </w:rPr>
            </w:pPr>
            <w:r>
              <w:rPr>
                <w:rFonts w:hint="eastAsia" w:ascii="宋体" w:hAnsi="宋体" w:cs="宋体"/>
                <w:color w:val="000000"/>
                <w:kern w:val="0"/>
                <w:sz w:val="21"/>
                <w:szCs w:val="21"/>
                <w:lang w:bidi="ar"/>
              </w:rPr>
              <w:t>《安全验收评价导则》</w:t>
            </w:r>
          </w:p>
        </w:tc>
        <w:tc>
          <w:tcPr>
            <w:tcW w:w="1244" w:type="pct"/>
            <w:tcBorders>
              <w:top w:val="single" w:color="auto" w:sz="4" w:space="0"/>
              <w:left w:val="single" w:color="auto" w:sz="4" w:space="0"/>
              <w:bottom w:val="single" w:color="auto" w:sz="4" w:space="0"/>
              <w:right w:val="single" w:color="auto" w:sz="12"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AQ 8003-2007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3" w:type="pct"/>
            <w:tcBorders>
              <w:top w:val="single" w:color="auto" w:sz="4" w:space="0"/>
              <w:left w:val="single" w:color="auto" w:sz="12" w:space="0"/>
              <w:bottom w:val="single" w:color="auto" w:sz="4" w:space="0"/>
              <w:right w:val="single" w:color="auto" w:sz="4" w:space="0"/>
            </w:tcBorders>
            <w:shd w:val="clear" w:color="auto" w:fill="auto"/>
            <w:vAlign w:val="center"/>
          </w:tcPr>
          <w:p>
            <w:pPr>
              <w:widowControl/>
              <w:numPr>
                <w:ilvl w:val="0"/>
                <w:numId w:val="4"/>
              </w:numPr>
              <w:tabs>
                <w:tab w:val="left" w:pos="397"/>
                <w:tab w:val="clear" w:pos="0"/>
              </w:tabs>
              <w:adjustRightInd w:val="0"/>
              <w:snapToGrid w:val="0"/>
              <w:spacing w:line="240" w:lineRule="auto"/>
              <w:ind w:firstLine="0" w:firstLineChars="0"/>
              <w:jc w:val="center"/>
              <w:textAlignment w:val="center"/>
              <w:rPr>
                <w:rFonts w:ascii="宋体" w:hAnsi="宋体" w:eastAsia="宋体" w:cs="宋体"/>
                <w:kern w:val="0"/>
                <w:sz w:val="21"/>
                <w:szCs w:val="21"/>
                <w:lang w:bidi="ar"/>
              </w:rPr>
            </w:pPr>
          </w:p>
        </w:tc>
        <w:tc>
          <w:tcPr>
            <w:tcW w:w="338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lang w:bidi="ar"/>
              </w:rPr>
            </w:pPr>
            <w:r>
              <w:rPr>
                <w:rFonts w:hint="eastAsia" w:ascii="宋体" w:hAnsi="宋体" w:cs="宋体"/>
                <w:color w:val="000000"/>
                <w:kern w:val="0"/>
                <w:sz w:val="21"/>
                <w:szCs w:val="21"/>
                <w:lang w:bidi="ar"/>
              </w:rPr>
              <w:t>《生产安全事故应急演练基本规范》</w:t>
            </w:r>
          </w:p>
        </w:tc>
        <w:tc>
          <w:tcPr>
            <w:tcW w:w="1244" w:type="pct"/>
            <w:tcBorders>
              <w:top w:val="single" w:color="auto" w:sz="4" w:space="0"/>
              <w:left w:val="single" w:color="auto" w:sz="4" w:space="0"/>
              <w:bottom w:val="single" w:color="auto" w:sz="4" w:space="0"/>
              <w:right w:val="single" w:color="auto" w:sz="12"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lang w:bidi="ar"/>
              </w:rPr>
            </w:pPr>
            <w:r>
              <w:rPr>
                <w:rFonts w:hint="eastAsia" w:ascii="宋体" w:hAnsi="宋体" w:cs="宋体"/>
                <w:color w:val="000000"/>
                <w:kern w:val="0"/>
                <w:sz w:val="21"/>
                <w:szCs w:val="21"/>
                <w:lang w:bidi="ar"/>
              </w:rPr>
              <w:t>AQ/T 9007-2019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3" w:type="pct"/>
            <w:tcBorders>
              <w:top w:val="single" w:color="auto" w:sz="4" w:space="0"/>
              <w:left w:val="single" w:color="auto" w:sz="12" w:space="0"/>
              <w:bottom w:val="single" w:color="auto" w:sz="4" w:space="0"/>
              <w:right w:val="single" w:color="auto" w:sz="4" w:space="0"/>
            </w:tcBorders>
            <w:shd w:val="clear" w:color="auto" w:fill="auto"/>
            <w:vAlign w:val="center"/>
          </w:tcPr>
          <w:p>
            <w:pPr>
              <w:widowControl/>
              <w:numPr>
                <w:ilvl w:val="0"/>
                <w:numId w:val="4"/>
              </w:numPr>
              <w:tabs>
                <w:tab w:val="left" w:pos="397"/>
                <w:tab w:val="clear" w:pos="0"/>
              </w:tabs>
              <w:adjustRightInd w:val="0"/>
              <w:snapToGrid w:val="0"/>
              <w:spacing w:line="240" w:lineRule="auto"/>
              <w:ind w:firstLine="0" w:firstLineChars="0"/>
              <w:jc w:val="center"/>
              <w:textAlignment w:val="center"/>
              <w:rPr>
                <w:rFonts w:ascii="宋体" w:hAnsi="宋体" w:eastAsia="宋体" w:cs="宋体"/>
                <w:bCs w:val="0"/>
                <w:kern w:val="0"/>
                <w:position w:val="0"/>
                <w:sz w:val="21"/>
                <w:szCs w:val="21"/>
              </w:rPr>
            </w:pPr>
          </w:p>
        </w:tc>
        <w:tc>
          <w:tcPr>
            <w:tcW w:w="338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textAlignment w:val="center"/>
              <w:rPr>
                <w:rFonts w:ascii="宋体" w:hAnsi="宋体" w:cs="宋体"/>
                <w:bCs/>
                <w:kern w:val="0"/>
                <w:sz w:val="21"/>
                <w:szCs w:val="21"/>
                <w:lang w:bidi="ar"/>
              </w:rPr>
            </w:pPr>
            <w:r>
              <w:rPr>
                <w:rFonts w:hint="eastAsia" w:ascii="宋体" w:hAnsi="宋体" w:cs="宋体"/>
                <w:color w:val="000000"/>
                <w:kern w:val="0"/>
                <w:sz w:val="21"/>
                <w:szCs w:val="21"/>
                <w:lang w:bidi="ar"/>
              </w:rPr>
              <w:t>《生产安全事故应急演练评估规范》</w:t>
            </w:r>
          </w:p>
        </w:tc>
        <w:tc>
          <w:tcPr>
            <w:tcW w:w="1244" w:type="pct"/>
            <w:tcBorders>
              <w:top w:val="single" w:color="auto" w:sz="4" w:space="0"/>
              <w:left w:val="single" w:color="auto" w:sz="4" w:space="0"/>
              <w:bottom w:val="single" w:color="auto" w:sz="4" w:space="0"/>
              <w:right w:val="single" w:color="auto" w:sz="12"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AQ/T 9009-2015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3" w:type="pct"/>
            <w:tcBorders>
              <w:top w:val="single" w:color="auto" w:sz="4" w:space="0"/>
              <w:left w:val="single" w:color="auto" w:sz="12" w:space="0"/>
              <w:bottom w:val="single" w:color="auto" w:sz="4" w:space="0"/>
              <w:right w:val="single" w:color="auto" w:sz="4" w:space="0"/>
            </w:tcBorders>
            <w:shd w:val="clear" w:color="auto" w:fill="auto"/>
            <w:vAlign w:val="center"/>
          </w:tcPr>
          <w:p>
            <w:pPr>
              <w:widowControl/>
              <w:numPr>
                <w:ilvl w:val="0"/>
                <w:numId w:val="4"/>
              </w:numPr>
              <w:tabs>
                <w:tab w:val="left" w:pos="397"/>
                <w:tab w:val="clear" w:pos="0"/>
              </w:tabs>
              <w:adjustRightInd w:val="0"/>
              <w:snapToGrid w:val="0"/>
              <w:spacing w:line="240" w:lineRule="auto"/>
              <w:ind w:firstLine="0" w:firstLineChars="0"/>
              <w:jc w:val="center"/>
              <w:textAlignment w:val="center"/>
              <w:rPr>
                <w:rFonts w:ascii="宋体" w:hAnsi="宋体" w:eastAsia="宋体" w:cs="宋体"/>
                <w:bCs w:val="0"/>
                <w:kern w:val="0"/>
                <w:position w:val="0"/>
                <w:sz w:val="21"/>
                <w:szCs w:val="21"/>
              </w:rPr>
            </w:pPr>
          </w:p>
        </w:tc>
        <w:tc>
          <w:tcPr>
            <w:tcW w:w="338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textAlignment w:val="center"/>
              <w:rPr>
                <w:rFonts w:ascii="宋体" w:hAnsi="宋体" w:cs="宋体"/>
                <w:bCs/>
                <w:kern w:val="0"/>
                <w:sz w:val="21"/>
                <w:szCs w:val="21"/>
                <w:lang w:bidi="ar"/>
              </w:rPr>
            </w:pPr>
            <w:r>
              <w:rPr>
                <w:rFonts w:hint="eastAsia" w:ascii="宋体" w:hAnsi="宋体" w:cs="宋体"/>
                <w:color w:val="000000"/>
                <w:kern w:val="0"/>
                <w:sz w:val="21"/>
                <w:szCs w:val="21"/>
                <w:lang w:bidi="ar"/>
              </w:rPr>
              <w:t>《生产经营单位生产安全事故应急预案评估指南》</w:t>
            </w:r>
          </w:p>
        </w:tc>
        <w:tc>
          <w:tcPr>
            <w:tcW w:w="1244" w:type="pct"/>
            <w:tcBorders>
              <w:top w:val="single" w:color="auto" w:sz="4" w:space="0"/>
              <w:left w:val="single" w:color="auto" w:sz="4" w:space="0"/>
              <w:bottom w:val="single" w:color="auto" w:sz="4" w:space="0"/>
              <w:right w:val="single" w:color="auto" w:sz="12"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AQ／T 9011-2019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3" w:type="pct"/>
            <w:tcBorders>
              <w:top w:val="single" w:color="auto" w:sz="4" w:space="0"/>
              <w:left w:val="single" w:color="auto" w:sz="12" w:space="0"/>
              <w:bottom w:val="single" w:color="auto" w:sz="4" w:space="0"/>
              <w:right w:val="single" w:color="auto" w:sz="4" w:space="0"/>
            </w:tcBorders>
            <w:shd w:val="clear" w:color="auto" w:fill="auto"/>
            <w:vAlign w:val="center"/>
          </w:tcPr>
          <w:p>
            <w:pPr>
              <w:widowControl/>
              <w:numPr>
                <w:ilvl w:val="0"/>
                <w:numId w:val="4"/>
              </w:numPr>
              <w:tabs>
                <w:tab w:val="left" w:pos="397"/>
                <w:tab w:val="clear" w:pos="0"/>
              </w:tabs>
              <w:adjustRightInd w:val="0"/>
              <w:snapToGrid w:val="0"/>
              <w:spacing w:line="240" w:lineRule="auto"/>
              <w:ind w:firstLine="0" w:firstLineChars="0"/>
              <w:jc w:val="center"/>
              <w:textAlignment w:val="center"/>
              <w:rPr>
                <w:rFonts w:ascii="宋体" w:hAnsi="宋体" w:eastAsia="宋体" w:cs="宋体"/>
                <w:bCs w:val="0"/>
                <w:kern w:val="0"/>
                <w:position w:val="0"/>
                <w:sz w:val="21"/>
                <w:szCs w:val="21"/>
              </w:rPr>
            </w:pPr>
          </w:p>
        </w:tc>
        <w:tc>
          <w:tcPr>
            <w:tcW w:w="338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textAlignment w:val="center"/>
              <w:rPr>
                <w:rFonts w:ascii="宋体" w:hAnsi="宋体" w:cs="宋体"/>
                <w:bCs/>
                <w:kern w:val="0"/>
                <w:sz w:val="21"/>
                <w:szCs w:val="21"/>
                <w:lang w:bidi="ar"/>
              </w:rPr>
            </w:pPr>
            <w:r>
              <w:rPr>
                <w:rFonts w:hint="eastAsia" w:ascii="宋体" w:hAnsi="宋体" w:cs="宋体"/>
                <w:color w:val="000000"/>
                <w:kern w:val="0"/>
                <w:sz w:val="21"/>
                <w:szCs w:val="21"/>
                <w:lang w:bidi="ar"/>
              </w:rPr>
              <w:t>《仓储场所消防安全管理通则》</w:t>
            </w:r>
          </w:p>
        </w:tc>
        <w:tc>
          <w:tcPr>
            <w:tcW w:w="1244" w:type="pct"/>
            <w:tcBorders>
              <w:top w:val="single" w:color="auto" w:sz="4" w:space="0"/>
              <w:left w:val="single" w:color="auto" w:sz="4" w:space="0"/>
              <w:bottom w:val="single" w:color="auto" w:sz="4" w:space="0"/>
              <w:right w:val="single" w:color="auto" w:sz="12" w:space="0"/>
            </w:tcBorders>
            <w:shd w:val="clear" w:color="auto" w:fill="auto"/>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1"/>
                <w:szCs w:val="21"/>
                <w:lang w:bidi="ar"/>
              </w:rPr>
              <w:t>GA 1131-2014</w:t>
            </w:r>
          </w:p>
        </w:tc>
      </w:tr>
    </w:tbl>
    <w:p>
      <w:pPr>
        <w:pStyle w:val="6"/>
        <w:spacing w:before="156" w:after="156"/>
        <w:ind w:left="720" w:hanging="720"/>
      </w:pPr>
      <w:bookmarkStart w:id="9" w:name="_Toc8019"/>
      <w:r>
        <w:rPr>
          <w:rFonts w:hint="eastAsia"/>
        </w:rPr>
        <w:t>建设项目依据的批准文件或相关合法证明文件</w:t>
      </w:r>
      <w:bookmarkEnd w:id="9"/>
    </w:p>
    <w:p>
      <w:pPr>
        <w:numPr>
          <w:ilvl w:val="0"/>
          <w:numId w:val="5"/>
        </w:numPr>
        <w:ind w:firstLine="560"/>
        <w:rPr>
          <w:rFonts w:ascii="宋体" w:hAnsi="宋体" w:cs="宋体"/>
        </w:rPr>
      </w:pPr>
      <w:r>
        <w:rPr>
          <w:rFonts w:hint="eastAsia" w:ascii="宋体" w:hAnsi="宋体" w:cs="宋体"/>
        </w:rPr>
        <w:t>《大姚县人民政府关于云南大姚机械配件厂退城入园整体技改搬迁项目修建性详细规划的批复》（大政复〔2017〕72号），大姚县人民政府，</w:t>
      </w:r>
      <w:r>
        <w:rPr>
          <w:rFonts w:hint="eastAsia" w:ascii="宋体" w:hAnsi="宋体" w:cs="宋体"/>
          <w:szCs w:val="28"/>
        </w:rPr>
        <w:t>2017年9月23日</w:t>
      </w:r>
      <w:r>
        <w:rPr>
          <w:rFonts w:hint="eastAsia" w:ascii="宋体" w:hAnsi="宋体" w:cs="宋体"/>
        </w:rPr>
        <w:t>；</w:t>
      </w:r>
    </w:p>
    <w:p>
      <w:pPr>
        <w:numPr>
          <w:ilvl w:val="0"/>
          <w:numId w:val="5"/>
        </w:numPr>
        <w:ind w:firstLine="560"/>
        <w:rPr>
          <w:rFonts w:ascii="宋体" w:hAnsi="宋体" w:cs="宋体"/>
        </w:rPr>
      </w:pPr>
      <w:r>
        <w:rPr>
          <w:rFonts w:hint="eastAsia"/>
        </w:rPr>
        <w:t>《投资项目备案证》，项目序</w:t>
      </w:r>
      <w:r>
        <w:rPr>
          <w:rFonts w:hint="eastAsia" w:ascii="宋体" w:hAnsi="宋体" w:cs="宋体"/>
          <w:szCs w:val="28"/>
        </w:rPr>
        <w:t>号5323262018010110，项目代码2018-532326-36-03-017420，大姚县发展和改革委员会，2018年1月17日；</w:t>
      </w:r>
    </w:p>
    <w:p>
      <w:pPr>
        <w:numPr>
          <w:ilvl w:val="0"/>
          <w:numId w:val="5"/>
        </w:numPr>
        <w:ind w:firstLine="560"/>
        <w:rPr>
          <w:rFonts w:ascii="宋体" w:hAnsi="宋体" w:cs="宋体"/>
        </w:rPr>
      </w:pPr>
      <w:r>
        <w:rPr>
          <w:rFonts w:hint="eastAsia" w:ascii="宋体" w:hAnsi="宋体" w:cs="宋体"/>
        </w:rPr>
        <w:t>《建设用地规划许可证》（地字第大姚村镇201800004号），</w:t>
      </w:r>
      <w:r>
        <w:rPr>
          <w:rFonts w:hint="eastAsia" w:ascii="宋体" w:hAnsi="宋体" w:cs="宋体"/>
          <w:szCs w:val="28"/>
        </w:rPr>
        <w:t>大姚县住房和城乡建设局，2018年1月22日</w:t>
      </w:r>
      <w:r>
        <w:rPr>
          <w:rFonts w:hint="eastAsia" w:ascii="宋体" w:hAnsi="宋体" w:cs="宋体"/>
        </w:rPr>
        <w:t>；</w:t>
      </w:r>
    </w:p>
    <w:p>
      <w:pPr>
        <w:numPr>
          <w:ilvl w:val="0"/>
          <w:numId w:val="5"/>
        </w:numPr>
        <w:ind w:firstLine="560"/>
        <w:rPr>
          <w:rFonts w:ascii="宋体" w:hAnsi="宋体" w:cs="宋体"/>
        </w:rPr>
      </w:pPr>
      <w:r>
        <w:rPr>
          <w:rFonts w:hint="eastAsia" w:ascii="宋体" w:hAnsi="宋体" w:cs="宋体"/>
        </w:rPr>
        <w:t>《建设工程规划许可证》（建字第大姚村镇201800008号），</w:t>
      </w:r>
      <w:r>
        <w:rPr>
          <w:rFonts w:hint="eastAsia" w:ascii="宋体" w:hAnsi="宋体" w:cs="宋体"/>
          <w:szCs w:val="28"/>
        </w:rPr>
        <w:t>大姚县住房和城乡建设局，2018年1月25日</w:t>
      </w:r>
      <w:r>
        <w:rPr>
          <w:rFonts w:hint="eastAsia" w:ascii="宋体" w:hAnsi="宋体" w:cs="宋体"/>
        </w:rPr>
        <w:t>；</w:t>
      </w:r>
    </w:p>
    <w:p>
      <w:pPr>
        <w:numPr>
          <w:ilvl w:val="0"/>
          <w:numId w:val="5"/>
        </w:numPr>
        <w:ind w:firstLine="560"/>
        <w:rPr>
          <w:rFonts w:ascii="宋体" w:hAnsi="宋体" w:cs="宋体"/>
        </w:rPr>
      </w:pPr>
      <w:r>
        <w:rPr>
          <w:rFonts w:hint="eastAsia" w:ascii="宋体" w:hAnsi="宋体" w:cs="宋体"/>
        </w:rPr>
        <w:t>《楚雄州环境保护局准予行政许可决定书》(楚环许准〔2018〕3号)，楚雄州环境保护局，2018年2月9日；</w:t>
      </w:r>
    </w:p>
    <w:p>
      <w:pPr>
        <w:numPr>
          <w:ilvl w:val="0"/>
          <w:numId w:val="5"/>
        </w:numPr>
        <w:ind w:firstLine="560"/>
        <w:rPr>
          <w:rFonts w:ascii="宋体" w:hAnsi="宋体" w:cs="宋体"/>
        </w:rPr>
      </w:pPr>
      <w:r>
        <w:rPr>
          <w:rFonts w:hint="eastAsia" w:ascii="宋体" w:hAnsi="宋体" w:cs="宋体"/>
        </w:rPr>
        <w:t>《安全生产条件和设施综合分析报告审查意见书》；</w:t>
      </w:r>
    </w:p>
    <w:p>
      <w:pPr>
        <w:numPr>
          <w:ilvl w:val="0"/>
          <w:numId w:val="5"/>
        </w:numPr>
        <w:ind w:firstLine="560"/>
        <w:rPr>
          <w:rFonts w:ascii="宋体" w:hAnsi="宋体" w:cs="宋体"/>
        </w:rPr>
      </w:pPr>
      <w:r>
        <w:rPr>
          <w:rFonts w:hint="eastAsia" w:ascii="宋体" w:hAnsi="宋体" w:cs="宋体"/>
        </w:rPr>
        <w:t>《安全设施设计审查意见书》。</w:t>
      </w:r>
    </w:p>
    <w:p>
      <w:pPr>
        <w:pStyle w:val="6"/>
        <w:spacing w:before="156" w:after="156"/>
        <w:ind w:left="720" w:hanging="720"/>
      </w:pPr>
      <w:bookmarkStart w:id="10" w:name="_Toc15284"/>
      <w:r>
        <w:rPr>
          <w:rFonts w:hint="eastAsia"/>
        </w:rPr>
        <w:t>建设项目技术资料</w:t>
      </w:r>
      <w:bookmarkEnd w:id="10"/>
    </w:p>
    <w:p>
      <w:pPr>
        <w:numPr>
          <w:ilvl w:val="0"/>
          <w:numId w:val="6"/>
        </w:numPr>
        <w:snapToGrid w:val="0"/>
        <w:ind w:firstLine="560"/>
        <w:rPr>
          <w:rFonts w:ascii="宋体" w:hAnsi="宋体" w:cs="宋体"/>
          <w:szCs w:val="28"/>
        </w:rPr>
      </w:pPr>
      <w:r>
        <w:rPr>
          <w:rFonts w:hint="eastAsia" w:ascii="宋体" w:hAnsi="宋体" w:cs="宋体"/>
        </w:rPr>
        <w:t>《云南大姚机械配件厂退城入园整体技改搬迁项目</w:t>
      </w:r>
      <w:r>
        <w:rPr>
          <w:rFonts w:hint="eastAsia" w:ascii="宋体" w:hAnsi="宋体" w:cs="宋体"/>
          <w:szCs w:val="28"/>
        </w:rPr>
        <w:t>可行性研究报告》</w:t>
      </w:r>
    </w:p>
    <w:p>
      <w:pPr>
        <w:numPr>
          <w:ilvl w:val="0"/>
          <w:numId w:val="6"/>
        </w:numPr>
        <w:snapToGrid w:val="0"/>
        <w:ind w:firstLine="560"/>
        <w:rPr>
          <w:rFonts w:ascii="宋体" w:hAnsi="宋体" w:cs="宋体"/>
        </w:rPr>
      </w:pPr>
      <w:r>
        <w:rPr>
          <w:rFonts w:hint="eastAsia" w:ascii="宋体" w:hAnsi="宋体" w:cs="宋体"/>
        </w:rPr>
        <w:t>《云南大姚祥华工业制造股份公司云南大姚机械配件厂退城入园整体技改搬迁项目安全生产条件和设施综合分析报告》</w:t>
      </w:r>
      <w:r>
        <w:rPr>
          <w:rFonts w:hint="eastAsia"/>
          <w:szCs w:val="28"/>
        </w:rPr>
        <w:t>（贵州荣基安全科技有限责任公司，2020年7月）</w:t>
      </w:r>
      <w:r>
        <w:rPr>
          <w:rFonts w:hint="eastAsia" w:ascii="宋体" w:hAnsi="宋体" w:cs="宋体"/>
        </w:rPr>
        <w:t>；</w:t>
      </w:r>
    </w:p>
    <w:p>
      <w:pPr>
        <w:numPr>
          <w:ilvl w:val="0"/>
          <w:numId w:val="6"/>
        </w:numPr>
        <w:snapToGrid w:val="0"/>
        <w:ind w:firstLine="560"/>
        <w:rPr>
          <w:rFonts w:ascii="宋体" w:hAnsi="宋体" w:cs="宋体"/>
        </w:rPr>
      </w:pPr>
      <w:r>
        <w:rPr>
          <w:rFonts w:hint="eastAsia" w:ascii="宋体" w:hAnsi="宋体" w:cs="宋体"/>
        </w:rPr>
        <w:t>《云南大姚祥华工业制造股份公司云南大姚机械配件厂退城入园整体技改搬迁项目安全设施设计》（辽宁海慧工程技术有限公司，2021年5月）；</w:t>
      </w:r>
    </w:p>
    <w:p>
      <w:pPr>
        <w:numPr>
          <w:ilvl w:val="0"/>
          <w:numId w:val="6"/>
        </w:numPr>
        <w:snapToGrid w:val="0"/>
        <w:ind w:firstLine="560"/>
        <w:rPr>
          <w:rFonts w:ascii="宋体" w:hAnsi="宋体" w:cs="宋体"/>
        </w:rPr>
      </w:pPr>
      <w:r>
        <w:rPr>
          <w:rFonts w:hint="eastAsia" w:ascii="宋体" w:hAnsi="宋体" w:cs="宋体"/>
        </w:rPr>
        <w:t>建设项目施工图设计资料；</w:t>
      </w:r>
    </w:p>
    <w:p>
      <w:pPr>
        <w:numPr>
          <w:ilvl w:val="0"/>
          <w:numId w:val="6"/>
        </w:numPr>
        <w:snapToGrid w:val="0"/>
        <w:ind w:firstLine="560"/>
        <w:rPr>
          <w:rFonts w:ascii="宋体" w:hAnsi="宋体" w:cs="宋体"/>
        </w:rPr>
      </w:pPr>
      <w:r>
        <w:rPr>
          <w:rFonts w:hint="eastAsia" w:ascii="宋体" w:hAnsi="宋体" w:cs="宋体"/>
        </w:rPr>
        <w:t>《岩土勘察详细报告》；</w:t>
      </w:r>
    </w:p>
    <w:p>
      <w:pPr>
        <w:numPr>
          <w:ilvl w:val="0"/>
          <w:numId w:val="6"/>
        </w:numPr>
        <w:snapToGrid w:val="0"/>
        <w:ind w:firstLine="560"/>
      </w:pPr>
      <w:r>
        <w:rPr>
          <w:rFonts w:hint="eastAsia"/>
        </w:rPr>
        <w:t>《工程竣工验收报告》；</w:t>
      </w:r>
    </w:p>
    <w:p>
      <w:pPr>
        <w:numPr>
          <w:ilvl w:val="0"/>
          <w:numId w:val="6"/>
        </w:numPr>
        <w:snapToGrid w:val="0"/>
        <w:ind w:firstLine="560"/>
      </w:pPr>
      <w:r>
        <w:rPr>
          <w:rFonts w:hint="eastAsia"/>
        </w:rPr>
        <w:t>建设项目施工记录（含隐蔽工程施工记录及中间验收记录）、竣工报告及竣工图；</w:t>
      </w:r>
    </w:p>
    <w:p>
      <w:pPr>
        <w:numPr>
          <w:ilvl w:val="0"/>
          <w:numId w:val="6"/>
        </w:numPr>
        <w:snapToGrid w:val="0"/>
        <w:ind w:firstLine="560"/>
        <w:rPr>
          <w:rFonts w:ascii="宋体" w:hAnsi="宋体" w:cs="宋体"/>
        </w:rPr>
      </w:pPr>
      <w:r>
        <w:rPr>
          <w:rFonts w:hint="eastAsia"/>
        </w:rPr>
        <w:t>建设项目施工监理记录和施工监理报告；</w:t>
      </w:r>
    </w:p>
    <w:p>
      <w:pPr>
        <w:numPr>
          <w:ilvl w:val="0"/>
          <w:numId w:val="6"/>
        </w:numPr>
        <w:snapToGrid w:val="0"/>
        <w:ind w:firstLine="560"/>
      </w:pPr>
      <w:r>
        <w:rPr>
          <w:rFonts w:hint="eastAsia"/>
        </w:rPr>
        <w:t>消防验收意见书；</w:t>
      </w:r>
    </w:p>
    <w:p>
      <w:pPr>
        <w:numPr>
          <w:ilvl w:val="0"/>
          <w:numId w:val="6"/>
        </w:numPr>
        <w:snapToGrid w:val="0"/>
        <w:ind w:firstLine="560"/>
      </w:pPr>
      <w:r>
        <w:rPr>
          <w:rFonts w:hint="eastAsia"/>
        </w:rPr>
        <w:t>接地电阻检验检测报告；</w:t>
      </w:r>
    </w:p>
    <w:p>
      <w:pPr>
        <w:numPr>
          <w:ilvl w:val="0"/>
          <w:numId w:val="6"/>
        </w:numPr>
        <w:snapToGrid w:val="0"/>
        <w:ind w:firstLine="560"/>
      </w:pPr>
      <w:r>
        <w:rPr>
          <w:rFonts w:hint="eastAsia"/>
        </w:rPr>
        <w:t>试运行报告；</w:t>
      </w:r>
    </w:p>
    <w:p>
      <w:pPr>
        <w:numPr>
          <w:ilvl w:val="0"/>
          <w:numId w:val="6"/>
        </w:numPr>
        <w:snapToGrid w:val="0"/>
        <w:ind w:firstLine="560"/>
      </w:pPr>
      <w:r>
        <w:rPr>
          <w:rFonts w:hint="eastAsia"/>
        </w:rPr>
        <w:t>总平面布置图。</w:t>
      </w:r>
    </w:p>
    <w:p>
      <w:pPr>
        <w:pStyle w:val="6"/>
        <w:adjustRightInd w:val="0"/>
        <w:snapToGrid w:val="0"/>
        <w:spacing w:before="156" w:after="156"/>
      </w:pPr>
      <w:bookmarkStart w:id="11" w:name="_Toc16761"/>
      <w:r>
        <w:rPr>
          <w:rFonts w:hint="eastAsia"/>
        </w:rPr>
        <w:t>其他评价依据</w:t>
      </w:r>
      <w:bookmarkEnd w:id="11"/>
    </w:p>
    <w:p>
      <w:pPr>
        <w:numPr>
          <w:ilvl w:val="0"/>
          <w:numId w:val="7"/>
        </w:numPr>
        <w:ind w:firstLine="560"/>
        <w:rPr>
          <w:rFonts w:ascii="宋体" w:hAnsi="宋体"/>
          <w:color w:val="000000" w:themeColor="text1"/>
          <w:szCs w:val="28"/>
          <w14:textFill>
            <w14:solidFill>
              <w14:schemeClr w14:val="tx1"/>
            </w14:solidFill>
          </w14:textFill>
        </w:rPr>
      </w:pPr>
      <w:r>
        <w:rPr>
          <w:rFonts w:ascii="宋体" w:hAnsi="宋体"/>
          <w:color w:val="000000" w:themeColor="text1"/>
          <w:szCs w:val="28"/>
          <w14:textFill>
            <w14:solidFill>
              <w14:schemeClr w14:val="tx1"/>
            </w14:solidFill>
          </w14:textFill>
        </w:rPr>
        <w:t>安全评价委托书、材料真实性承诺书</w:t>
      </w:r>
      <w:r>
        <w:rPr>
          <w:rFonts w:hint="eastAsia" w:ascii="宋体" w:hAnsi="宋体"/>
          <w:color w:val="000000" w:themeColor="text1"/>
          <w:szCs w:val="28"/>
          <w14:textFill>
            <w14:solidFill>
              <w14:schemeClr w14:val="tx1"/>
            </w14:solidFill>
          </w14:textFill>
        </w:rPr>
        <w:t>；</w:t>
      </w:r>
    </w:p>
    <w:p>
      <w:pPr>
        <w:numPr>
          <w:ilvl w:val="0"/>
          <w:numId w:val="7"/>
        </w:numPr>
        <w:ind w:firstLine="560"/>
        <w:rPr>
          <w:rFonts w:ascii="宋体" w:hAnsi="宋体"/>
          <w:color w:val="000000" w:themeColor="text1"/>
          <w:szCs w:val="28"/>
          <w14:textFill>
            <w14:solidFill>
              <w14:schemeClr w14:val="tx1"/>
            </w14:solidFill>
          </w14:textFill>
        </w:rPr>
      </w:pPr>
      <w:r>
        <w:rPr>
          <w:rFonts w:hint="eastAsia" w:ascii="宋体" w:hAnsi="宋体"/>
          <w:color w:val="000000" w:themeColor="text1"/>
          <w:szCs w:val="28"/>
          <w14:textFill>
            <w14:solidFill>
              <w14:schemeClr w14:val="tx1"/>
            </w14:solidFill>
          </w14:textFill>
        </w:rPr>
        <w:t>《营业执照》（统一社会信用代码：91532326MA6MXWCJ75）；</w:t>
      </w:r>
    </w:p>
    <w:p>
      <w:pPr>
        <w:numPr>
          <w:ilvl w:val="0"/>
          <w:numId w:val="7"/>
        </w:numPr>
        <w:ind w:firstLine="560"/>
        <w:rPr>
          <w:rFonts w:ascii="宋体" w:hAnsi="宋体"/>
          <w:color w:val="000000" w:themeColor="text1"/>
          <w:szCs w:val="28"/>
          <w14:textFill>
            <w14:solidFill>
              <w14:schemeClr w14:val="tx1"/>
            </w14:solidFill>
          </w14:textFill>
        </w:rPr>
      </w:pPr>
      <w:r>
        <w:rPr>
          <w:rFonts w:hint="eastAsia" w:ascii="宋体" w:hAnsi="宋体"/>
          <w:color w:val="000000" w:themeColor="text1"/>
          <w:szCs w:val="28"/>
          <w14:textFill>
            <w14:solidFill>
              <w14:schemeClr w14:val="tx1"/>
            </w14:solidFill>
          </w14:textFill>
        </w:rPr>
        <w:t>不动产权证书；</w:t>
      </w:r>
    </w:p>
    <w:p>
      <w:pPr>
        <w:numPr>
          <w:ilvl w:val="0"/>
          <w:numId w:val="7"/>
        </w:numPr>
        <w:ind w:firstLine="560"/>
        <w:rPr>
          <w:rFonts w:ascii="宋体" w:hAnsi="宋体"/>
          <w:color w:val="000000" w:themeColor="text1"/>
          <w:szCs w:val="28"/>
          <w14:textFill>
            <w14:solidFill>
              <w14:schemeClr w14:val="tx1"/>
            </w14:solidFill>
          </w14:textFill>
        </w:rPr>
      </w:pPr>
      <w:r>
        <w:rPr>
          <w:rFonts w:ascii="宋体" w:hAnsi="宋体"/>
          <w:color w:val="000000" w:themeColor="text1"/>
          <w:szCs w:val="28"/>
          <w14:textFill>
            <w14:solidFill>
              <w14:schemeClr w14:val="tx1"/>
            </w14:solidFill>
          </w14:textFill>
        </w:rPr>
        <w:t>安全</w:t>
      </w:r>
      <w:r>
        <w:rPr>
          <w:rFonts w:hint="eastAsia" w:ascii="宋体" w:hAnsi="宋体"/>
          <w:color w:val="000000" w:themeColor="text1"/>
          <w:szCs w:val="28"/>
          <w14:textFill>
            <w14:solidFill>
              <w14:schemeClr w14:val="tx1"/>
            </w14:solidFill>
          </w14:textFill>
        </w:rPr>
        <w:t>生产条件和设施综合分析报告；</w:t>
      </w:r>
    </w:p>
    <w:p>
      <w:pPr>
        <w:numPr>
          <w:ilvl w:val="0"/>
          <w:numId w:val="7"/>
        </w:numPr>
        <w:ind w:firstLine="560"/>
        <w:rPr>
          <w:rFonts w:ascii="宋体" w:hAnsi="宋体"/>
          <w:color w:val="000000" w:themeColor="text1"/>
          <w:szCs w:val="28"/>
          <w14:textFill>
            <w14:solidFill>
              <w14:schemeClr w14:val="tx1"/>
            </w14:solidFill>
          </w14:textFill>
        </w:rPr>
      </w:pPr>
      <w:r>
        <w:rPr>
          <w:rFonts w:ascii="宋体" w:hAnsi="宋体"/>
          <w:color w:val="000000" w:themeColor="text1"/>
          <w:szCs w:val="28"/>
          <w14:textFill>
            <w14:solidFill>
              <w14:schemeClr w14:val="tx1"/>
            </w14:solidFill>
          </w14:textFill>
        </w:rPr>
        <w:t>安全</w:t>
      </w:r>
      <w:r>
        <w:rPr>
          <w:rFonts w:hint="eastAsia" w:ascii="宋体" w:hAnsi="宋体"/>
          <w:color w:val="000000" w:themeColor="text1"/>
          <w:szCs w:val="28"/>
          <w14:textFill>
            <w14:solidFill>
              <w14:schemeClr w14:val="tx1"/>
            </w14:solidFill>
          </w14:textFill>
        </w:rPr>
        <w:t>设施设计；</w:t>
      </w:r>
    </w:p>
    <w:p>
      <w:pPr>
        <w:numPr>
          <w:ilvl w:val="0"/>
          <w:numId w:val="7"/>
        </w:numPr>
        <w:ind w:firstLine="560"/>
        <w:rPr>
          <w:rFonts w:ascii="宋体" w:hAnsi="宋体"/>
          <w:color w:val="000000" w:themeColor="text1"/>
          <w:szCs w:val="28"/>
          <w14:textFill>
            <w14:solidFill>
              <w14:schemeClr w14:val="tx1"/>
            </w14:solidFill>
          </w14:textFill>
        </w:rPr>
      </w:pPr>
      <w:r>
        <w:rPr>
          <w:rFonts w:hint="eastAsia" w:ascii="宋体" w:hAnsi="宋体"/>
          <w:color w:val="000000" w:themeColor="text1"/>
          <w:szCs w:val="28"/>
          <w14:textFill>
            <w14:solidFill>
              <w14:schemeClr w14:val="tx1"/>
            </w14:solidFill>
          </w14:textFill>
        </w:rPr>
        <w:t>监理</w:t>
      </w:r>
      <w:r>
        <w:rPr>
          <w:rFonts w:hint="eastAsia" w:ascii="宋体" w:hAnsi="宋体"/>
          <w:color w:val="000000" w:themeColor="text1"/>
          <w:szCs w:val="28"/>
          <w:lang w:val="en-US" w:eastAsia="zh-CN"/>
          <w14:textFill>
            <w14:solidFill>
              <w14:schemeClr w14:val="tx1"/>
            </w14:solidFill>
          </w14:textFill>
        </w:rPr>
        <w:t>报告；</w:t>
      </w:r>
    </w:p>
    <w:p>
      <w:pPr>
        <w:numPr>
          <w:ilvl w:val="0"/>
          <w:numId w:val="7"/>
        </w:numPr>
        <w:ind w:firstLine="560"/>
        <w:rPr>
          <w:rFonts w:ascii="宋体" w:hAnsi="宋体"/>
          <w:color w:val="000000" w:themeColor="text1"/>
          <w:szCs w:val="28"/>
          <w14:textFill>
            <w14:solidFill>
              <w14:schemeClr w14:val="tx1"/>
            </w14:solidFill>
          </w14:textFill>
        </w:rPr>
      </w:pPr>
      <w:r>
        <w:rPr>
          <w:rFonts w:hint="eastAsia" w:ascii="宋体" w:hAnsi="宋体"/>
          <w:color w:val="000000" w:themeColor="text1"/>
          <w:szCs w:val="28"/>
          <w:lang w:val="en-US" w:eastAsia="zh-CN"/>
          <w14:textFill>
            <w14:solidFill>
              <w14:schemeClr w14:val="tx1"/>
            </w14:solidFill>
          </w14:textFill>
        </w:rPr>
        <w:t>竣工报告</w:t>
      </w:r>
    </w:p>
    <w:p>
      <w:pPr>
        <w:numPr>
          <w:ilvl w:val="0"/>
          <w:numId w:val="7"/>
        </w:numPr>
        <w:ind w:firstLine="560"/>
        <w:rPr>
          <w:rFonts w:ascii="宋体" w:hAnsi="宋体"/>
          <w:color w:val="000000" w:themeColor="text1"/>
          <w:szCs w:val="28"/>
          <w14:textFill>
            <w14:solidFill>
              <w14:schemeClr w14:val="tx1"/>
            </w14:solidFill>
          </w14:textFill>
        </w:rPr>
      </w:pPr>
      <w:r>
        <w:rPr>
          <w:rFonts w:hint="eastAsia" w:ascii="宋体" w:hAnsi="宋体"/>
          <w:color w:val="000000" w:themeColor="text1"/>
          <w:szCs w:val="28"/>
          <w14:textFill>
            <w14:solidFill>
              <w14:schemeClr w14:val="tx1"/>
            </w14:solidFill>
          </w14:textFill>
        </w:rPr>
        <w:t>其它企业提供的评价相关资料。</w:t>
      </w:r>
    </w:p>
    <w:p>
      <w:pPr>
        <w:pStyle w:val="5"/>
        <w:spacing w:before="156" w:after="156"/>
      </w:pPr>
      <w:bookmarkStart w:id="12" w:name="_Toc16228"/>
      <w:bookmarkStart w:id="13" w:name="_Toc105675957"/>
      <w:bookmarkStart w:id="14" w:name="_Toc105730322"/>
      <w:bookmarkStart w:id="15" w:name="_Toc105674759"/>
      <w:bookmarkStart w:id="16" w:name="_Toc105675477"/>
      <w:r>
        <w:rPr>
          <w:rFonts w:hint="eastAsia"/>
        </w:rPr>
        <w:t>评价原则</w:t>
      </w:r>
      <w:bookmarkEnd w:id="12"/>
    </w:p>
    <w:p>
      <w:pPr>
        <w:ind w:firstLine="560"/>
      </w:pPr>
      <w:r>
        <w:t>昭通市鼎安科技有限公司在对该项目进行安全验收评价工作中，始终坚持以下原则：</w:t>
      </w:r>
    </w:p>
    <w:p>
      <w:pPr>
        <w:numPr>
          <w:ilvl w:val="0"/>
          <w:numId w:val="8"/>
        </w:numPr>
        <w:ind w:firstLine="560"/>
        <w:rPr>
          <w:rFonts w:ascii="宋体" w:hAnsi="宋体"/>
          <w:color w:val="000000" w:themeColor="text1"/>
          <w:szCs w:val="28"/>
          <w14:textFill>
            <w14:solidFill>
              <w14:schemeClr w14:val="tx1"/>
            </w14:solidFill>
          </w14:textFill>
        </w:rPr>
      </w:pPr>
      <w:r>
        <w:rPr>
          <w:rFonts w:hint="eastAsia" w:ascii="宋体" w:hAnsi="宋体"/>
          <w:color w:val="000000" w:themeColor="text1"/>
          <w:szCs w:val="28"/>
          <w14:textFill>
            <w14:solidFill>
              <w14:schemeClr w14:val="tx1"/>
            </w14:solidFill>
          </w14:textFill>
        </w:rPr>
        <w:t>严格执行国家现行有关法律法规、标准、规章和规范的要求，对该企业进行科学、客观、公正、独立的安全评价；</w:t>
      </w:r>
    </w:p>
    <w:p>
      <w:pPr>
        <w:numPr>
          <w:ilvl w:val="0"/>
          <w:numId w:val="8"/>
        </w:numPr>
        <w:ind w:firstLine="560"/>
        <w:rPr>
          <w:rFonts w:ascii="宋体" w:hAnsi="宋体"/>
          <w:color w:val="000000" w:themeColor="text1"/>
          <w:szCs w:val="28"/>
          <w14:textFill>
            <w14:solidFill>
              <w14:schemeClr w14:val="tx1"/>
            </w14:solidFill>
          </w14:textFill>
        </w:rPr>
      </w:pPr>
      <w:r>
        <w:rPr>
          <w:rFonts w:hint="eastAsia" w:ascii="宋体" w:hAnsi="宋体"/>
          <w:color w:val="000000" w:themeColor="text1"/>
          <w:szCs w:val="28"/>
          <w14:textFill>
            <w14:solidFill>
              <w14:schemeClr w14:val="tx1"/>
            </w14:solidFill>
          </w14:textFill>
        </w:rPr>
        <w:t>采用可靠、适用的评价技术和评价方法对项目进行定性、定量评价，遵循针对性、技术可行性、经济合理性、可操作性的原则，提出消除或减弱危险、有害因素的技术和管理对策措施建议；</w:t>
      </w:r>
    </w:p>
    <w:p>
      <w:pPr>
        <w:numPr>
          <w:ilvl w:val="0"/>
          <w:numId w:val="8"/>
        </w:numPr>
        <w:ind w:firstLine="560"/>
        <w:rPr>
          <w:rFonts w:ascii="宋体" w:hAnsi="宋体"/>
          <w:color w:val="000000" w:themeColor="text1"/>
          <w:szCs w:val="28"/>
          <w14:textFill>
            <w14:solidFill>
              <w14:schemeClr w14:val="tx1"/>
            </w14:solidFill>
          </w14:textFill>
        </w:rPr>
      </w:pPr>
      <w:r>
        <w:rPr>
          <w:rFonts w:hint="eastAsia" w:ascii="宋体" w:hAnsi="宋体"/>
          <w:color w:val="000000" w:themeColor="text1"/>
          <w:szCs w:val="28"/>
          <w14:textFill>
            <w14:solidFill>
              <w14:schemeClr w14:val="tx1"/>
            </w14:solidFill>
          </w14:textFill>
        </w:rPr>
        <w:t>真实、准确地作出评价结论，并对在当时条件下做出的安全评价结果承担法律责任；</w:t>
      </w:r>
    </w:p>
    <w:p>
      <w:pPr>
        <w:numPr>
          <w:ilvl w:val="0"/>
          <w:numId w:val="8"/>
        </w:numPr>
        <w:ind w:firstLine="560"/>
        <w:rPr>
          <w:rFonts w:ascii="宋体" w:hAnsi="宋体"/>
          <w:color w:val="000000" w:themeColor="text1"/>
          <w:szCs w:val="28"/>
          <w14:textFill>
            <w14:solidFill>
              <w14:schemeClr w14:val="tx1"/>
            </w14:solidFill>
          </w14:textFill>
        </w:rPr>
      </w:pPr>
      <w:r>
        <w:rPr>
          <w:rFonts w:hint="eastAsia" w:ascii="宋体" w:hAnsi="宋体"/>
          <w:color w:val="000000" w:themeColor="text1"/>
          <w:szCs w:val="28"/>
          <w14:textFill>
            <w14:solidFill>
              <w14:schemeClr w14:val="tx1"/>
            </w14:solidFill>
          </w14:textFill>
        </w:rPr>
        <w:t>遵纪守法、恪守职业道德、诚实守信，对被评价对象的技术和商业秘密保密。</w:t>
      </w:r>
      <w:bookmarkEnd w:id="13"/>
      <w:bookmarkEnd w:id="14"/>
      <w:bookmarkEnd w:id="15"/>
      <w:bookmarkEnd w:id="16"/>
    </w:p>
    <w:p>
      <w:pPr>
        <w:pStyle w:val="5"/>
        <w:spacing w:before="156" w:after="156"/>
      </w:pPr>
      <w:bookmarkStart w:id="17" w:name="_Toc30756"/>
      <w:r>
        <w:rPr>
          <w:rFonts w:hint="eastAsia"/>
        </w:rPr>
        <w:t>评价程序</w:t>
      </w:r>
      <w:bookmarkEnd w:id="17"/>
    </w:p>
    <w:p>
      <w:pPr>
        <w:adjustRightInd w:val="0"/>
        <w:snapToGrid w:val="0"/>
        <w:ind w:firstLine="560"/>
      </w:pPr>
      <w:r>
        <w:rPr>
          <w:rFonts w:hint="eastAsia"/>
        </w:rPr>
        <w:t>该项目的安全验收评价工作程序按照《安全评价通则》（AQ8001-2007）、《安全验收评价导则》（AQ8003-2007）的要求。</w:t>
      </w:r>
      <w:r>
        <w:t>评价报告文字应简洁、准确，可同时采用图表和照片，以使评价过程和结论清楚、明确，利于阅读和审查。安全验收评价程序图见图1</w:t>
      </w:r>
      <w:r>
        <w:rPr>
          <w:rFonts w:hint="eastAsia"/>
        </w:rPr>
        <w:t>.5</w:t>
      </w:r>
      <w:r>
        <w:t>-1。</w:t>
      </w:r>
    </w:p>
    <w:p>
      <w:pPr>
        <w:pStyle w:val="2"/>
        <w:ind w:firstLine="0" w:firstLineChars="0"/>
        <w:jc w:val="center"/>
        <w:rPr>
          <w:b/>
          <w:bCs/>
          <w:sz w:val="24"/>
          <w:szCs w:val="21"/>
        </w:rPr>
      </w:pPr>
      <w:r>
        <w:drawing>
          <wp:anchor distT="0" distB="0" distL="114935" distR="114935" simplePos="0" relativeHeight="251684864" behindDoc="0" locked="0" layoutInCell="1" allowOverlap="0">
            <wp:simplePos x="0" y="0"/>
            <wp:positionH relativeFrom="margin">
              <wp:posOffset>1090295</wp:posOffset>
            </wp:positionH>
            <wp:positionV relativeFrom="paragraph">
              <wp:posOffset>205740</wp:posOffset>
            </wp:positionV>
            <wp:extent cx="2849880" cy="4701540"/>
            <wp:effectExtent l="0" t="0" r="0" b="7620"/>
            <wp:wrapTopAndBottom/>
            <wp:docPr id="1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4"/>
                    <pic:cNvPicPr>
                      <a:picLocks noChangeAspect="1"/>
                    </pic:cNvPicPr>
                  </pic:nvPicPr>
                  <pic:blipFill>
                    <a:blip r:embed="rId20"/>
                    <a:stretch>
                      <a:fillRect/>
                    </a:stretch>
                  </pic:blipFill>
                  <pic:spPr>
                    <a:xfrm>
                      <a:off x="0" y="0"/>
                      <a:ext cx="2849880" cy="4701540"/>
                    </a:xfrm>
                    <a:prstGeom prst="rect">
                      <a:avLst/>
                    </a:prstGeom>
                    <a:noFill/>
                    <a:ln>
                      <a:noFill/>
                    </a:ln>
                  </pic:spPr>
                </pic:pic>
              </a:graphicData>
            </a:graphic>
          </wp:anchor>
        </w:drawing>
      </w:r>
      <w:r>
        <w:rPr>
          <w:rFonts w:hint="eastAsia"/>
          <w:b/>
          <w:bCs/>
          <w:sz w:val="24"/>
          <w:szCs w:val="21"/>
        </w:rPr>
        <w:t xml:space="preserve">图 </w:t>
      </w:r>
      <w:r>
        <w:rPr>
          <w:rFonts w:hint="eastAsia"/>
          <w:b/>
          <w:bCs/>
          <w:sz w:val="24"/>
          <w:szCs w:val="21"/>
        </w:rPr>
        <w:fldChar w:fldCharType="begin"/>
      </w:r>
      <w:r>
        <w:rPr>
          <w:rFonts w:hint="eastAsia"/>
          <w:b/>
          <w:bCs/>
          <w:sz w:val="24"/>
          <w:szCs w:val="21"/>
        </w:rPr>
        <w:instrText xml:space="preserve"> STYLEREF 2 \s </w:instrText>
      </w:r>
      <w:r>
        <w:rPr>
          <w:rFonts w:hint="eastAsia"/>
          <w:b/>
          <w:bCs/>
          <w:sz w:val="24"/>
          <w:szCs w:val="21"/>
        </w:rPr>
        <w:fldChar w:fldCharType="separate"/>
      </w:r>
      <w:r>
        <w:rPr>
          <w:rFonts w:hint="eastAsia"/>
          <w:b/>
          <w:bCs/>
          <w:sz w:val="24"/>
          <w:szCs w:val="21"/>
        </w:rPr>
        <w:t>1.5</w:t>
      </w:r>
      <w:r>
        <w:rPr>
          <w:rFonts w:hint="eastAsia"/>
          <w:b/>
          <w:bCs/>
          <w:sz w:val="24"/>
          <w:szCs w:val="21"/>
        </w:rPr>
        <w:fldChar w:fldCharType="end"/>
      </w:r>
      <w:r>
        <w:rPr>
          <w:rFonts w:hint="eastAsia"/>
          <w:b/>
          <w:bCs/>
          <w:sz w:val="24"/>
          <w:szCs w:val="21"/>
        </w:rPr>
        <w:t>-</w:t>
      </w:r>
      <w:r>
        <w:rPr>
          <w:rFonts w:hint="eastAsia"/>
          <w:b/>
          <w:bCs/>
          <w:sz w:val="24"/>
          <w:szCs w:val="21"/>
        </w:rPr>
        <w:fldChar w:fldCharType="begin"/>
      </w:r>
      <w:r>
        <w:rPr>
          <w:rFonts w:hint="eastAsia"/>
          <w:b/>
          <w:bCs/>
          <w:sz w:val="24"/>
          <w:szCs w:val="21"/>
        </w:rPr>
        <w:instrText xml:space="preserve"> SEQ 图 \* ARABIC \s 2 </w:instrText>
      </w:r>
      <w:r>
        <w:rPr>
          <w:rFonts w:hint="eastAsia"/>
          <w:b/>
          <w:bCs/>
          <w:sz w:val="24"/>
          <w:szCs w:val="21"/>
        </w:rPr>
        <w:fldChar w:fldCharType="separate"/>
      </w:r>
      <w:r>
        <w:rPr>
          <w:rFonts w:hint="eastAsia"/>
          <w:b/>
          <w:bCs/>
          <w:sz w:val="24"/>
          <w:szCs w:val="21"/>
        </w:rPr>
        <w:t>1</w:t>
      </w:r>
      <w:r>
        <w:rPr>
          <w:rFonts w:hint="eastAsia"/>
          <w:b/>
          <w:bCs/>
          <w:sz w:val="24"/>
          <w:szCs w:val="21"/>
        </w:rPr>
        <w:fldChar w:fldCharType="end"/>
      </w:r>
      <w:r>
        <w:rPr>
          <w:rFonts w:hint="eastAsia"/>
          <w:b/>
          <w:bCs/>
          <w:sz w:val="24"/>
          <w:szCs w:val="21"/>
        </w:rPr>
        <w:t>安全评价程序图</w:t>
      </w:r>
    </w:p>
    <w:p>
      <w:pPr>
        <w:ind w:firstLine="560"/>
        <w:rPr>
          <w:rFonts w:ascii="宋体" w:hAnsi="宋体"/>
        </w:rPr>
      </w:pPr>
      <w:r>
        <w:rPr>
          <w:rFonts w:ascii="宋体" w:hAnsi="宋体"/>
        </w:rPr>
        <w:t>安全评价程序包括：准备阶段；危险、有害因素识别与分析；划分安全评价单元；选择安全评价方法；定性、定量评价；提出安全对策措施及建议；做出安全评价结论；编制安全评价报告，本次评价工作大体分为三个阶段：</w:t>
      </w:r>
    </w:p>
    <w:p>
      <w:pPr>
        <w:ind w:firstLine="560"/>
        <w:rPr>
          <w:rFonts w:ascii="宋体" w:hAnsi="宋体"/>
          <w:snapToGrid w:val="0"/>
          <w:color w:val="000000" w:themeColor="text1"/>
          <w:kern w:val="0"/>
          <w:szCs w:val="28"/>
          <w14:textFill>
            <w14:solidFill>
              <w14:schemeClr w14:val="tx1"/>
            </w14:solidFill>
          </w14:textFill>
        </w:rPr>
      </w:pPr>
      <w:r>
        <w:rPr>
          <w:rFonts w:ascii="宋体" w:hAnsi="宋体"/>
        </w:rPr>
        <w:t>第一阶段为前期准备阶段：</w:t>
      </w:r>
      <w:r>
        <w:rPr>
          <w:rFonts w:hint="eastAsia" w:ascii="宋体" w:hAnsi="宋体"/>
        </w:rPr>
        <w:t>2023年2月1日，与</w:t>
      </w:r>
      <w:r>
        <w:rPr>
          <w:rFonts w:hint="eastAsia" w:ascii="宋体" w:hAnsi="宋体" w:cs="宋体"/>
          <w:szCs w:val="28"/>
        </w:rPr>
        <w:t>云南大姚祥华工业制造股份公司</w:t>
      </w:r>
      <w:r>
        <w:rPr>
          <w:rFonts w:ascii="宋体" w:hAnsi="宋体"/>
        </w:rPr>
        <w:t>签订了安全评价协议、委托书、业务约定书和承诺函。签订委托书后，我</w:t>
      </w:r>
      <w:r>
        <w:rPr>
          <w:rFonts w:hint="eastAsia" w:ascii="宋体" w:hAnsi="宋体"/>
        </w:rPr>
        <w:t>公</w:t>
      </w:r>
      <w:r>
        <w:rPr>
          <w:rFonts w:ascii="宋体" w:hAnsi="宋体"/>
        </w:rPr>
        <w:t>司组织各专业的技术人员和专家组成的评价项目组，拟定项目现场调研计划，进</w:t>
      </w:r>
      <w:r>
        <w:rPr>
          <w:rFonts w:ascii="宋体" w:hAnsi="宋体"/>
          <w:snapToGrid w:val="0"/>
          <w:color w:val="000000" w:themeColor="text1"/>
          <w:kern w:val="0"/>
          <w:szCs w:val="28"/>
          <w14:textFill>
            <w14:solidFill>
              <w14:schemeClr w14:val="tx1"/>
            </w14:solidFill>
          </w14:textFill>
        </w:rPr>
        <w:t>行资料收集，包括相关</w:t>
      </w:r>
      <w:r>
        <w:rPr>
          <w:rFonts w:hint="eastAsia" w:ascii="宋体" w:hAnsi="宋体"/>
          <w:snapToGrid w:val="0"/>
          <w:color w:val="000000" w:themeColor="text1"/>
          <w:kern w:val="0"/>
          <w:szCs w:val="28"/>
          <w14:textFill>
            <w14:solidFill>
              <w14:schemeClr w14:val="tx1"/>
            </w14:solidFill>
          </w14:textFill>
        </w:rPr>
        <w:t>法律法规</w:t>
      </w:r>
      <w:r>
        <w:rPr>
          <w:rFonts w:ascii="宋体" w:hAnsi="宋体"/>
          <w:snapToGrid w:val="0"/>
          <w:color w:val="000000" w:themeColor="text1"/>
          <w:kern w:val="0"/>
          <w:szCs w:val="28"/>
          <w14:textFill>
            <w14:solidFill>
              <w14:schemeClr w14:val="tx1"/>
            </w14:solidFill>
          </w14:textFill>
        </w:rPr>
        <w:t>、标准、规章、规范、同类行业相关资料以及事故案例；初步的分析和危险有害因素识别，选择评价方法，编制工作计划。</w:t>
      </w:r>
    </w:p>
    <w:p>
      <w:pPr>
        <w:ind w:firstLine="560"/>
      </w:pPr>
      <w:r>
        <w:t>第二阶段为现场调研阶段</w:t>
      </w:r>
      <w:r>
        <w:rPr>
          <w:rFonts w:ascii="宋体" w:hAnsi="宋体"/>
        </w:rPr>
        <w:t>：202</w:t>
      </w:r>
      <w:r>
        <w:rPr>
          <w:rFonts w:hint="eastAsia" w:ascii="宋体" w:hAnsi="宋体"/>
        </w:rPr>
        <w:t>3</w:t>
      </w:r>
      <w:r>
        <w:rPr>
          <w:rFonts w:ascii="宋体" w:hAnsi="宋体"/>
        </w:rPr>
        <w:t>年</w:t>
      </w:r>
      <w:r>
        <w:rPr>
          <w:rFonts w:hint="eastAsia" w:ascii="宋体" w:hAnsi="宋体"/>
        </w:rPr>
        <w:t>2</w:t>
      </w:r>
      <w:r>
        <w:rPr>
          <w:rFonts w:ascii="宋体" w:hAnsi="宋体"/>
        </w:rPr>
        <w:t>月</w:t>
      </w:r>
      <w:r>
        <w:rPr>
          <w:rFonts w:hint="eastAsia" w:ascii="宋体" w:hAnsi="宋体"/>
        </w:rPr>
        <w:t>7</w:t>
      </w:r>
      <w:r>
        <w:t>日评价组进场对该项目周边环境和</w:t>
      </w:r>
      <w:r>
        <w:rPr>
          <w:rFonts w:hint="eastAsia"/>
        </w:rPr>
        <w:t>基建</w:t>
      </w:r>
      <w:r>
        <w:t>工程进行现场勘验、实测、现场调查，并收集相关评价资料。</w:t>
      </w:r>
    </w:p>
    <w:p>
      <w:pPr>
        <w:pStyle w:val="20"/>
        <w:ind w:firstLine="560"/>
      </w:pPr>
      <w:r>
        <w:t>第三阶段为实施评价阶段：根据前期准备及现场获得的资料、数据，辨识与分析危险、有害因素，并确定其危险程度。合理划分评价单元，选择评价方法，进行定性、定量评价和分析，提出相应的对策措施和建议。项目组将收集到的各种资料、数据进行汇总，综合分析后提出结论与建议，完成安全验收评价报告书的编制。</w:t>
      </w:r>
    </w:p>
    <w:p>
      <w:pPr>
        <w:pStyle w:val="5"/>
        <w:spacing w:before="156" w:after="156"/>
      </w:pPr>
      <w:bookmarkStart w:id="18" w:name="_Toc5650"/>
      <w:bookmarkStart w:id="19" w:name="_Toc13659"/>
      <w:bookmarkStart w:id="20" w:name="_Toc29693"/>
      <w:bookmarkStart w:id="21" w:name="_Toc21969"/>
      <w:r>
        <w:rPr>
          <w:rFonts w:hint="eastAsia"/>
        </w:rPr>
        <w:t>评价报告使用权声明</w:t>
      </w:r>
      <w:bookmarkEnd w:id="18"/>
      <w:bookmarkEnd w:id="19"/>
      <w:bookmarkEnd w:id="20"/>
      <w:bookmarkEnd w:id="21"/>
    </w:p>
    <w:p>
      <w:pPr>
        <w:ind w:firstLine="560"/>
      </w:pPr>
      <w:r>
        <w:rPr>
          <w:rFonts w:hint="eastAsia"/>
        </w:rPr>
        <w:t>本评价报告是受</w:t>
      </w:r>
      <w:r>
        <w:rPr>
          <w:rFonts w:hint="eastAsia" w:ascii="宋体" w:hAnsi="宋体" w:cs="宋体"/>
          <w:szCs w:val="28"/>
        </w:rPr>
        <w:t>云南大姚祥华工业制造股份公司</w:t>
      </w:r>
      <w:r>
        <w:rPr>
          <w:rFonts w:hint="eastAsia"/>
        </w:rPr>
        <w:t>委托而编制的，专属委托方使用。除按规定上报各级应急部门外，昭通市鼎安科技有限公司不会将本评价报告内容向其他任何单位和个人提供，也不会将本评价报告的全部或部分内容在媒体上或以其他形式公开发表（安全评价技术研究成果除外）。</w:t>
      </w:r>
    </w:p>
    <w:p>
      <w:pPr>
        <w:pStyle w:val="5"/>
        <w:spacing w:before="156" w:after="156"/>
      </w:pPr>
      <w:bookmarkStart w:id="22" w:name="_Toc1715"/>
      <w:r>
        <w:rPr>
          <w:rFonts w:hint="eastAsia"/>
        </w:rPr>
        <w:t>评价基准日</w:t>
      </w:r>
      <w:bookmarkEnd w:id="22"/>
    </w:p>
    <w:p>
      <w:pPr>
        <w:ind w:firstLine="560"/>
        <w:sectPr>
          <w:footerReference r:id="rId13" w:type="default"/>
          <w:pgSz w:w="11906" w:h="16838"/>
          <w:pgMar w:top="1440" w:right="1800" w:bottom="1440" w:left="1800" w:header="851" w:footer="992" w:gutter="0"/>
          <w:pgNumType w:start="1"/>
          <w:cols w:space="425" w:num="1"/>
          <w:docGrid w:type="lines" w:linePitch="312" w:charSpace="0"/>
        </w:sectPr>
      </w:pPr>
      <w:r>
        <w:rPr>
          <w:rFonts w:hint="eastAsia"/>
        </w:rPr>
        <w:t>项目组于2023年10月9日再次到现场进行踏勘，本次评价基准日：2023年10月9日。</w:t>
      </w:r>
    </w:p>
    <w:p>
      <w:pPr>
        <w:pStyle w:val="4"/>
        <w:keepNext/>
        <w:keepLines/>
        <w:pageBreakBefore w:val="0"/>
        <w:widowControl w:val="0"/>
        <w:kinsoku/>
        <w:wordWrap/>
        <w:overflowPunct/>
        <w:topLinePunct w:val="0"/>
        <w:autoSpaceDE/>
        <w:autoSpaceDN/>
        <w:bidi w:val="0"/>
        <w:adjustRightInd/>
        <w:snapToGrid w:val="0"/>
        <w:spacing w:before="312" w:after="312"/>
        <w:ind w:left="0"/>
        <w:jc w:val="center"/>
        <w:textAlignment w:val="auto"/>
      </w:pPr>
      <w:bookmarkStart w:id="23" w:name="_Toc12605"/>
      <w:r>
        <w:rPr>
          <w:rFonts w:hint="eastAsia"/>
        </w:rPr>
        <w:t>建设项目概况</w:t>
      </w:r>
      <w:bookmarkEnd w:id="23"/>
    </w:p>
    <w:p>
      <w:pPr>
        <w:pStyle w:val="5"/>
        <w:spacing w:before="156" w:after="156"/>
        <w:ind w:left="575" w:hanging="575"/>
      </w:pPr>
      <w:bookmarkStart w:id="24" w:name="_Toc26937"/>
      <w:r>
        <w:rPr>
          <w:rFonts w:hint="eastAsia"/>
        </w:rPr>
        <w:t>建设单位基本情况</w:t>
      </w:r>
      <w:bookmarkEnd w:id="24"/>
    </w:p>
    <w:p>
      <w:pPr>
        <w:ind w:firstLine="560"/>
      </w:pPr>
      <w:r>
        <w:rPr>
          <w:rFonts w:hint="eastAsia" w:ascii="宋体" w:hAnsi="宋体" w:cs="宋体"/>
          <w:szCs w:val="28"/>
        </w:rPr>
        <w:t>云南大姚祥华工业制造股份公司成立于2018年01月09日，注册地位于云南省楚雄彝族自治州大姚县金碧镇工业园区南山坝工业片区，法定代表人为王振洪。建设单位</w:t>
      </w:r>
      <w:r>
        <w:rPr>
          <w:rFonts w:hint="eastAsia" w:ascii="宋体" w:hAnsi="宋体" w:cs="宋体"/>
        </w:rPr>
        <w:t>营业执照</w:t>
      </w:r>
      <w:r>
        <w:rPr>
          <w:rFonts w:hint="eastAsia" w:ascii="宋体" w:hAnsi="宋体" w:cs="宋体"/>
          <w:szCs w:val="28"/>
        </w:rPr>
        <w:t>如下：</w:t>
      </w:r>
    </w:p>
    <w:p>
      <w:pPr>
        <w:pStyle w:val="14"/>
        <w:spacing w:before="156" w:after="156"/>
        <w:ind w:firstLine="482" w:firstLineChars="200"/>
      </w:pPr>
      <w:r>
        <w:t xml:space="preserve">表 </w:t>
      </w:r>
      <w:r>
        <w:fldChar w:fldCharType="begin"/>
      </w:r>
      <w:r>
        <w:instrText xml:space="preserve"> STYLEREF 2 \s </w:instrText>
      </w:r>
      <w:r>
        <w:fldChar w:fldCharType="separate"/>
      </w:r>
      <w:r>
        <w:t>2.1</w:t>
      </w:r>
      <w:r>
        <w:fldChar w:fldCharType="end"/>
      </w:r>
      <w:r>
        <w:rPr>
          <w:rFonts w:hint="eastAsia"/>
        </w:rPr>
        <w:t>-</w:t>
      </w:r>
      <w:r>
        <w:fldChar w:fldCharType="begin"/>
      </w:r>
      <w:r>
        <w:instrText xml:space="preserve"> SEQ 表 \* ARABIC \s 2 </w:instrText>
      </w:r>
      <w:r>
        <w:fldChar w:fldCharType="separate"/>
      </w:r>
      <w:r>
        <w:t>1</w:t>
      </w:r>
      <w:r>
        <w:fldChar w:fldCharType="end"/>
      </w:r>
      <w:r>
        <w:rPr>
          <w:rFonts w:hint="eastAsia" w:ascii="宋体" w:hAnsi="宋体" w:cs="宋体"/>
        </w:rPr>
        <w:t>建设单位营业执照信息</w:t>
      </w:r>
    </w:p>
    <w:tbl>
      <w:tblPr>
        <w:tblStyle w:val="29"/>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15" w:type="dxa"/>
          <w:left w:w="15" w:type="dxa"/>
          <w:bottom w:w="15" w:type="dxa"/>
          <w:right w:w="15" w:type="dxa"/>
        </w:tblCellMar>
      </w:tblPr>
      <w:tblGrid>
        <w:gridCol w:w="1536"/>
        <w:gridCol w:w="2770"/>
        <w:gridCol w:w="1540"/>
        <w:gridCol w:w="269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5" w:type="dxa"/>
            <w:left w:w="15" w:type="dxa"/>
            <w:bottom w:w="15" w:type="dxa"/>
            <w:right w:w="15" w:type="dxa"/>
          </w:tblCellMar>
        </w:tblPrEx>
        <w:trPr>
          <w:jc w:val="center"/>
        </w:trPr>
        <w:tc>
          <w:tcPr>
            <w:tcW w:w="899" w:type="pct"/>
            <w:shd w:val="clear" w:color="auto" w:fill="FFFFFF"/>
            <w:tcMar>
              <w:top w:w="120" w:type="dxa"/>
              <w:left w:w="120" w:type="dxa"/>
              <w:bottom w:w="120" w:type="dxa"/>
              <w:right w:w="120" w:type="dxa"/>
            </w:tcMar>
            <w:vAlign w:val="center"/>
          </w:tcPr>
          <w:p>
            <w:pPr>
              <w:widowControl/>
              <w:snapToGrid w:val="0"/>
              <w:spacing w:line="240" w:lineRule="auto"/>
              <w:ind w:firstLine="0" w:firstLineChars="0"/>
              <w:jc w:val="center"/>
              <w:rPr>
                <w:rFonts w:ascii="宋体" w:hAnsi="宋体" w:cs="宋体"/>
                <w:b/>
                <w:bCs/>
                <w:sz w:val="21"/>
                <w:szCs w:val="21"/>
              </w:rPr>
            </w:pPr>
            <w:r>
              <w:rPr>
                <w:rFonts w:hint="eastAsia" w:ascii="宋体" w:hAnsi="宋体" w:cs="宋体"/>
                <w:b/>
                <w:bCs/>
                <w:kern w:val="0"/>
                <w:sz w:val="21"/>
                <w:szCs w:val="21"/>
                <w:lang w:bidi="ar"/>
              </w:rPr>
              <w:t>法定代表人</w:t>
            </w:r>
          </w:p>
        </w:tc>
        <w:tc>
          <w:tcPr>
            <w:tcW w:w="1621" w:type="pct"/>
            <w:shd w:val="clear" w:color="auto" w:fill="FFFFFF"/>
            <w:tcMar>
              <w:top w:w="120" w:type="dxa"/>
              <w:left w:w="120" w:type="dxa"/>
              <w:bottom w:w="120" w:type="dxa"/>
              <w:right w:w="120" w:type="dxa"/>
            </w:tcMar>
            <w:vAlign w:val="center"/>
          </w:tcPr>
          <w:p>
            <w:pPr>
              <w:widowControl/>
              <w:wordWrap w:val="0"/>
              <w:snapToGrid w:val="0"/>
              <w:spacing w:line="240" w:lineRule="auto"/>
              <w:ind w:firstLine="0" w:firstLineChars="0"/>
              <w:jc w:val="center"/>
              <w:rPr>
                <w:rFonts w:ascii="宋体" w:hAnsi="宋体" w:cs="宋体"/>
                <w:sz w:val="21"/>
                <w:szCs w:val="21"/>
              </w:rPr>
            </w:pPr>
            <w:r>
              <w:fldChar w:fldCharType="begin"/>
            </w:r>
            <w:r>
              <w:instrText xml:space="preserve"> HYPERLINK "https://aiqicha.baidu.com/person?personId=5f4dae53b83741421d62c6f5aa9a3547" \t "https://aiqicha.baidu.com/_blank" </w:instrText>
            </w:r>
            <w:r>
              <w:fldChar w:fldCharType="separate"/>
            </w:r>
            <w:r>
              <w:rPr>
                <w:rStyle w:val="35"/>
                <w:rFonts w:hint="eastAsia" w:ascii="宋体" w:hAnsi="宋体" w:cs="宋体"/>
                <w:color w:val="auto"/>
                <w:sz w:val="21"/>
                <w:szCs w:val="21"/>
                <w:u w:val="none"/>
              </w:rPr>
              <w:t>王振洪</w:t>
            </w:r>
            <w:r>
              <w:rPr>
                <w:rStyle w:val="35"/>
                <w:rFonts w:hint="eastAsia" w:ascii="宋体" w:hAnsi="宋体" w:cs="宋体"/>
                <w:color w:val="auto"/>
                <w:sz w:val="21"/>
                <w:szCs w:val="21"/>
                <w:u w:val="none"/>
              </w:rPr>
              <w:fldChar w:fldCharType="end"/>
            </w:r>
          </w:p>
        </w:tc>
        <w:tc>
          <w:tcPr>
            <w:tcW w:w="901" w:type="pct"/>
            <w:shd w:val="clear" w:color="auto" w:fill="FFFFFF"/>
            <w:tcMar>
              <w:top w:w="120" w:type="dxa"/>
              <w:left w:w="120" w:type="dxa"/>
              <w:bottom w:w="120" w:type="dxa"/>
              <w:right w:w="120" w:type="dxa"/>
            </w:tcMar>
            <w:vAlign w:val="center"/>
          </w:tcPr>
          <w:p>
            <w:pPr>
              <w:widowControl/>
              <w:snapToGrid w:val="0"/>
              <w:spacing w:line="240" w:lineRule="auto"/>
              <w:ind w:firstLine="0" w:firstLineChars="0"/>
              <w:jc w:val="center"/>
              <w:rPr>
                <w:rFonts w:ascii="宋体" w:hAnsi="宋体" w:cs="宋体"/>
                <w:b/>
                <w:bCs/>
                <w:sz w:val="21"/>
                <w:szCs w:val="21"/>
              </w:rPr>
            </w:pPr>
            <w:r>
              <w:rPr>
                <w:rFonts w:hint="eastAsia" w:ascii="宋体" w:hAnsi="宋体" w:cs="宋体"/>
                <w:b/>
                <w:bCs/>
                <w:kern w:val="0"/>
                <w:sz w:val="21"/>
                <w:szCs w:val="21"/>
                <w:lang w:bidi="ar"/>
              </w:rPr>
              <w:t>经营状态</w:t>
            </w:r>
          </w:p>
        </w:tc>
        <w:tc>
          <w:tcPr>
            <w:tcW w:w="1577" w:type="pct"/>
            <w:shd w:val="clear" w:color="auto" w:fill="FFFFFF"/>
            <w:tcMar>
              <w:top w:w="120" w:type="dxa"/>
              <w:left w:w="120" w:type="dxa"/>
              <w:bottom w:w="120" w:type="dxa"/>
              <w:right w:w="120" w:type="dxa"/>
            </w:tcMar>
            <w:vAlign w:val="center"/>
          </w:tcPr>
          <w:p>
            <w:pPr>
              <w:widowControl/>
              <w:snapToGrid w:val="0"/>
              <w:spacing w:line="240" w:lineRule="auto"/>
              <w:ind w:firstLine="0" w:firstLineChars="0"/>
              <w:jc w:val="center"/>
              <w:rPr>
                <w:rFonts w:ascii="宋体" w:hAnsi="宋体" w:cs="宋体"/>
                <w:sz w:val="21"/>
                <w:szCs w:val="21"/>
              </w:rPr>
            </w:pPr>
            <w:r>
              <w:rPr>
                <w:rFonts w:hint="eastAsia" w:ascii="宋体" w:hAnsi="宋体" w:cs="宋体"/>
                <w:kern w:val="0"/>
                <w:sz w:val="21"/>
                <w:szCs w:val="21"/>
                <w:lang w:bidi="ar"/>
              </w:rPr>
              <w:t>开业</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5" w:type="dxa"/>
            <w:left w:w="15" w:type="dxa"/>
            <w:bottom w:w="15" w:type="dxa"/>
            <w:right w:w="15" w:type="dxa"/>
          </w:tblCellMar>
        </w:tblPrEx>
        <w:trPr>
          <w:trHeight w:val="570" w:hRule="atLeast"/>
          <w:jc w:val="center"/>
        </w:trPr>
        <w:tc>
          <w:tcPr>
            <w:tcW w:w="899" w:type="pct"/>
            <w:shd w:val="clear" w:color="auto" w:fill="FFFFFF"/>
            <w:tcMar>
              <w:top w:w="120" w:type="dxa"/>
              <w:left w:w="120" w:type="dxa"/>
              <w:bottom w:w="120" w:type="dxa"/>
              <w:right w:w="120" w:type="dxa"/>
            </w:tcMar>
            <w:vAlign w:val="center"/>
          </w:tcPr>
          <w:p>
            <w:pPr>
              <w:widowControl/>
              <w:snapToGrid w:val="0"/>
              <w:spacing w:line="240" w:lineRule="auto"/>
              <w:ind w:firstLine="0" w:firstLineChars="0"/>
              <w:jc w:val="center"/>
              <w:rPr>
                <w:rFonts w:ascii="宋体" w:hAnsi="宋体" w:cs="宋体"/>
                <w:b/>
                <w:bCs/>
                <w:sz w:val="21"/>
                <w:szCs w:val="21"/>
              </w:rPr>
            </w:pPr>
            <w:r>
              <w:rPr>
                <w:rFonts w:hint="eastAsia" w:ascii="宋体" w:hAnsi="宋体" w:cs="宋体"/>
                <w:b/>
                <w:bCs/>
                <w:kern w:val="0"/>
                <w:sz w:val="21"/>
                <w:szCs w:val="21"/>
                <w:lang w:bidi="ar"/>
              </w:rPr>
              <w:t>成立日期</w:t>
            </w:r>
          </w:p>
        </w:tc>
        <w:tc>
          <w:tcPr>
            <w:tcW w:w="1621" w:type="pct"/>
            <w:shd w:val="clear" w:color="auto" w:fill="FFFFFF"/>
            <w:tcMar>
              <w:top w:w="120" w:type="dxa"/>
              <w:left w:w="120" w:type="dxa"/>
              <w:bottom w:w="120" w:type="dxa"/>
              <w:right w:w="120" w:type="dxa"/>
            </w:tcMar>
            <w:vAlign w:val="center"/>
          </w:tcPr>
          <w:p>
            <w:pPr>
              <w:widowControl/>
              <w:snapToGrid w:val="0"/>
              <w:spacing w:line="240" w:lineRule="auto"/>
              <w:ind w:firstLine="0" w:firstLineChars="0"/>
              <w:jc w:val="center"/>
              <w:rPr>
                <w:rFonts w:ascii="宋体" w:hAnsi="宋体" w:cs="宋体"/>
                <w:sz w:val="21"/>
                <w:szCs w:val="21"/>
              </w:rPr>
            </w:pPr>
            <w:r>
              <w:rPr>
                <w:rFonts w:hint="eastAsia" w:ascii="宋体" w:hAnsi="宋体" w:cs="宋体"/>
                <w:kern w:val="0"/>
                <w:sz w:val="21"/>
                <w:szCs w:val="21"/>
                <w:lang w:bidi="ar"/>
              </w:rPr>
              <w:t>2018-01-09</w:t>
            </w:r>
          </w:p>
        </w:tc>
        <w:tc>
          <w:tcPr>
            <w:tcW w:w="901" w:type="pct"/>
            <w:shd w:val="clear" w:color="auto" w:fill="FFFFFF"/>
            <w:tcMar>
              <w:top w:w="120" w:type="dxa"/>
              <w:left w:w="120" w:type="dxa"/>
              <w:bottom w:w="120" w:type="dxa"/>
              <w:right w:w="120" w:type="dxa"/>
            </w:tcMar>
            <w:vAlign w:val="center"/>
          </w:tcPr>
          <w:p>
            <w:pPr>
              <w:widowControl/>
              <w:snapToGrid w:val="0"/>
              <w:spacing w:line="240" w:lineRule="auto"/>
              <w:ind w:firstLine="0" w:firstLineChars="0"/>
              <w:jc w:val="center"/>
              <w:rPr>
                <w:rFonts w:ascii="宋体" w:hAnsi="宋体" w:cs="宋体"/>
                <w:b/>
                <w:bCs/>
                <w:sz w:val="21"/>
                <w:szCs w:val="21"/>
              </w:rPr>
            </w:pPr>
            <w:r>
              <w:rPr>
                <w:rFonts w:hint="eastAsia" w:ascii="宋体" w:hAnsi="宋体" w:cs="宋体"/>
                <w:b/>
                <w:bCs/>
                <w:kern w:val="0"/>
                <w:sz w:val="21"/>
                <w:szCs w:val="21"/>
                <w:lang w:bidi="ar"/>
              </w:rPr>
              <w:t>行政区划</w:t>
            </w:r>
          </w:p>
        </w:tc>
        <w:tc>
          <w:tcPr>
            <w:tcW w:w="1577" w:type="pct"/>
            <w:shd w:val="clear" w:color="auto" w:fill="FFFFFF"/>
            <w:tcMar>
              <w:top w:w="120" w:type="dxa"/>
              <w:left w:w="120" w:type="dxa"/>
              <w:bottom w:w="120" w:type="dxa"/>
              <w:right w:w="120" w:type="dxa"/>
            </w:tcMar>
            <w:vAlign w:val="center"/>
          </w:tcPr>
          <w:p>
            <w:pPr>
              <w:widowControl/>
              <w:snapToGrid w:val="0"/>
              <w:spacing w:line="240" w:lineRule="auto"/>
              <w:ind w:firstLine="0" w:firstLineChars="0"/>
              <w:jc w:val="center"/>
              <w:rPr>
                <w:rFonts w:ascii="宋体" w:hAnsi="宋体" w:cs="宋体"/>
                <w:sz w:val="21"/>
                <w:szCs w:val="21"/>
              </w:rPr>
            </w:pPr>
            <w:r>
              <w:rPr>
                <w:rFonts w:hint="eastAsia" w:ascii="宋体" w:hAnsi="宋体" w:cs="宋体"/>
                <w:kern w:val="0"/>
                <w:sz w:val="21"/>
                <w:szCs w:val="21"/>
                <w:lang w:bidi="ar"/>
              </w:rPr>
              <w:t>云南省楚雄彝族自治州大姚县</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5" w:type="dxa"/>
            <w:left w:w="15" w:type="dxa"/>
            <w:bottom w:w="15" w:type="dxa"/>
            <w:right w:w="15" w:type="dxa"/>
          </w:tblCellMar>
        </w:tblPrEx>
        <w:trPr>
          <w:jc w:val="center"/>
        </w:trPr>
        <w:tc>
          <w:tcPr>
            <w:tcW w:w="899" w:type="pct"/>
            <w:shd w:val="clear" w:color="auto" w:fill="FFFFFF"/>
            <w:tcMar>
              <w:top w:w="120" w:type="dxa"/>
              <w:left w:w="120" w:type="dxa"/>
              <w:bottom w:w="120" w:type="dxa"/>
              <w:right w:w="120" w:type="dxa"/>
            </w:tcMar>
            <w:vAlign w:val="center"/>
          </w:tcPr>
          <w:p>
            <w:pPr>
              <w:widowControl/>
              <w:snapToGrid w:val="0"/>
              <w:spacing w:line="240" w:lineRule="auto"/>
              <w:ind w:firstLine="0" w:firstLineChars="0"/>
              <w:jc w:val="center"/>
              <w:rPr>
                <w:rFonts w:ascii="宋体" w:hAnsi="宋体" w:cs="宋体"/>
                <w:b/>
                <w:bCs/>
                <w:sz w:val="21"/>
                <w:szCs w:val="21"/>
              </w:rPr>
            </w:pPr>
            <w:r>
              <w:rPr>
                <w:rFonts w:hint="eastAsia" w:ascii="宋体" w:hAnsi="宋体" w:cs="宋体"/>
                <w:b/>
                <w:bCs/>
                <w:kern w:val="0"/>
                <w:sz w:val="21"/>
                <w:szCs w:val="21"/>
                <w:lang w:bidi="ar"/>
              </w:rPr>
              <w:t>注册资本</w:t>
            </w:r>
          </w:p>
        </w:tc>
        <w:tc>
          <w:tcPr>
            <w:tcW w:w="1621" w:type="pct"/>
            <w:shd w:val="clear" w:color="auto" w:fill="FFFFFF"/>
            <w:tcMar>
              <w:top w:w="120" w:type="dxa"/>
              <w:left w:w="120" w:type="dxa"/>
              <w:bottom w:w="120" w:type="dxa"/>
              <w:right w:w="120" w:type="dxa"/>
            </w:tcMar>
            <w:vAlign w:val="center"/>
          </w:tcPr>
          <w:p>
            <w:pPr>
              <w:widowControl/>
              <w:snapToGrid w:val="0"/>
              <w:spacing w:line="240" w:lineRule="auto"/>
              <w:ind w:firstLine="0" w:firstLineChars="0"/>
              <w:jc w:val="center"/>
              <w:rPr>
                <w:rFonts w:ascii="宋体" w:hAnsi="宋体" w:cs="宋体"/>
                <w:sz w:val="21"/>
                <w:szCs w:val="21"/>
              </w:rPr>
            </w:pPr>
            <w:r>
              <w:rPr>
                <w:rFonts w:hint="eastAsia" w:ascii="宋体" w:hAnsi="宋体" w:cs="宋体"/>
                <w:kern w:val="0"/>
                <w:sz w:val="21"/>
                <w:szCs w:val="21"/>
                <w:lang w:bidi="ar"/>
              </w:rPr>
              <w:t>7,723.62万(元)</w:t>
            </w:r>
          </w:p>
        </w:tc>
        <w:tc>
          <w:tcPr>
            <w:tcW w:w="901" w:type="pct"/>
            <w:shd w:val="clear" w:color="auto" w:fill="FFFFFF"/>
            <w:tcMar>
              <w:top w:w="120" w:type="dxa"/>
              <w:left w:w="120" w:type="dxa"/>
              <w:bottom w:w="120" w:type="dxa"/>
              <w:right w:w="120" w:type="dxa"/>
            </w:tcMar>
            <w:vAlign w:val="center"/>
          </w:tcPr>
          <w:p>
            <w:pPr>
              <w:widowControl/>
              <w:snapToGrid w:val="0"/>
              <w:spacing w:line="240" w:lineRule="auto"/>
              <w:ind w:firstLine="0" w:firstLineChars="0"/>
              <w:jc w:val="center"/>
              <w:rPr>
                <w:rFonts w:ascii="宋体" w:hAnsi="宋体" w:cs="宋体"/>
                <w:b/>
                <w:bCs/>
                <w:sz w:val="21"/>
                <w:szCs w:val="21"/>
              </w:rPr>
            </w:pPr>
            <w:r>
              <w:rPr>
                <w:rFonts w:hint="eastAsia" w:ascii="宋体" w:hAnsi="宋体" w:cs="宋体"/>
                <w:b/>
                <w:bCs/>
                <w:kern w:val="0"/>
                <w:sz w:val="21"/>
                <w:szCs w:val="21"/>
                <w:lang w:bidi="ar"/>
              </w:rPr>
              <w:t>实缴资本</w:t>
            </w:r>
          </w:p>
        </w:tc>
        <w:tc>
          <w:tcPr>
            <w:tcW w:w="1577" w:type="pct"/>
            <w:shd w:val="clear" w:color="auto" w:fill="FFFFFF"/>
            <w:tcMar>
              <w:top w:w="120" w:type="dxa"/>
              <w:left w:w="120" w:type="dxa"/>
              <w:bottom w:w="120" w:type="dxa"/>
              <w:right w:w="120" w:type="dxa"/>
            </w:tcMar>
            <w:vAlign w:val="center"/>
          </w:tcPr>
          <w:p>
            <w:pPr>
              <w:widowControl/>
              <w:snapToGrid w:val="0"/>
              <w:spacing w:line="240" w:lineRule="auto"/>
              <w:ind w:firstLine="0" w:firstLineChars="0"/>
              <w:jc w:val="center"/>
              <w:rPr>
                <w:rFonts w:ascii="宋体" w:hAnsi="宋体" w:cs="宋体"/>
                <w:sz w:val="21"/>
                <w:szCs w:val="21"/>
              </w:rPr>
            </w:pPr>
            <w:r>
              <w:rPr>
                <w:rFonts w:hint="eastAsia" w:ascii="宋体" w:hAnsi="宋体" w:cs="宋体"/>
                <w:kern w:val="0"/>
                <w:sz w:val="21"/>
                <w:szCs w:val="21"/>
                <w:lang w:bidi="ar"/>
              </w:rPr>
              <w:t>5,882万(元)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5" w:type="dxa"/>
            <w:left w:w="15" w:type="dxa"/>
            <w:bottom w:w="15" w:type="dxa"/>
            <w:right w:w="15" w:type="dxa"/>
          </w:tblCellMar>
        </w:tblPrEx>
        <w:trPr>
          <w:jc w:val="center"/>
        </w:trPr>
        <w:tc>
          <w:tcPr>
            <w:tcW w:w="899" w:type="pct"/>
            <w:shd w:val="clear" w:color="auto" w:fill="FFFFFF"/>
            <w:tcMar>
              <w:top w:w="120" w:type="dxa"/>
              <w:left w:w="120" w:type="dxa"/>
              <w:bottom w:w="120" w:type="dxa"/>
              <w:right w:w="120" w:type="dxa"/>
            </w:tcMar>
            <w:vAlign w:val="center"/>
          </w:tcPr>
          <w:p>
            <w:pPr>
              <w:widowControl/>
              <w:snapToGrid w:val="0"/>
              <w:spacing w:line="240" w:lineRule="auto"/>
              <w:ind w:firstLine="0" w:firstLineChars="0"/>
              <w:jc w:val="center"/>
              <w:rPr>
                <w:rFonts w:ascii="宋体" w:hAnsi="宋体" w:cs="宋体"/>
                <w:b/>
                <w:bCs/>
                <w:sz w:val="21"/>
                <w:szCs w:val="21"/>
              </w:rPr>
            </w:pPr>
            <w:r>
              <w:rPr>
                <w:rFonts w:hint="eastAsia" w:ascii="宋体" w:hAnsi="宋体" w:cs="宋体"/>
                <w:b/>
                <w:bCs/>
                <w:kern w:val="0"/>
                <w:sz w:val="21"/>
                <w:szCs w:val="21"/>
                <w:lang w:bidi="ar"/>
              </w:rPr>
              <w:t>企业类型</w:t>
            </w:r>
          </w:p>
        </w:tc>
        <w:tc>
          <w:tcPr>
            <w:tcW w:w="1621" w:type="pct"/>
            <w:shd w:val="clear" w:color="auto" w:fill="FFFFFF"/>
            <w:tcMar>
              <w:top w:w="120" w:type="dxa"/>
              <w:left w:w="120" w:type="dxa"/>
              <w:bottom w:w="120" w:type="dxa"/>
              <w:right w:w="120" w:type="dxa"/>
            </w:tcMar>
            <w:vAlign w:val="center"/>
          </w:tcPr>
          <w:p>
            <w:pPr>
              <w:widowControl/>
              <w:snapToGrid w:val="0"/>
              <w:spacing w:line="240" w:lineRule="auto"/>
              <w:ind w:firstLine="0" w:firstLineChars="0"/>
              <w:jc w:val="center"/>
              <w:rPr>
                <w:rFonts w:ascii="宋体" w:hAnsi="宋体" w:cs="宋体"/>
                <w:sz w:val="21"/>
                <w:szCs w:val="21"/>
              </w:rPr>
            </w:pPr>
            <w:r>
              <w:rPr>
                <w:rFonts w:hint="eastAsia" w:ascii="宋体" w:hAnsi="宋体" w:cs="宋体"/>
                <w:kern w:val="0"/>
                <w:sz w:val="21"/>
                <w:szCs w:val="21"/>
                <w:lang w:bidi="ar"/>
              </w:rPr>
              <w:t>股份有限公司(非上市、自然人投资或控股)</w:t>
            </w:r>
          </w:p>
        </w:tc>
        <w:tc>
          <w:tcPr>
            <w:tcW w:w="901" w:type="pct"/>
            <w:shd w:val="clear" w:color="auto" w:fill="FFFFFF"/>
            <w:tcMar>
              <w:top w:w="120" w:type="dxa"/>
              <w:left w:w="120" w:type="dxa"/>
              <w:bottom w:w="120" w:type="dxa"/>
              <w:right w:w="120" w:type="dxa"/>
            </w:tcMar>
            <w:vAlign w:val="center"/>
          </w:tcPr>
          <w:p>
            <w:pPr>
              <w:widowControl/>
              <w:snapToGrid w:val="0"/>
              <w:spacing w:line="240" w:lineRule="auto"/>
              <w:ind w:firstLine="0" w:firstLineChars="0"/>
              <w:jc w:val="center"/>
              <w:rPr>
                <w:rFonts w:ascii="宋体" w:hAnsi="宋体" w:cs="宋体"/>
                <w:b/>
                <w:bCs/>
                <w:sz w:val="21"/>
                <w:szCs w:val="21"/>
              </w:rPr>
            </w:pPr>
            <w:r>
              <w:rPr>
                <w:rFonts w:hint="eastAsia" w:ascii="宋体" w:hAnsi="宋体" w:cs="宋体"/>
                <w:b/>
                <w:bCs/>
                <w:kern w:val="0"/>
                <w:sz w:val="21"/>
                <w:szCs w:val="21"/>
                <w:lang w:bidi="ar"/>
              </w:rPr>
              <w:t>所属行业</w:t>
            </w:r>
          </w:p>
        </w:tc>
        <w:tc>
          <w:tcPr>
            <w:tcW w:w="1577" w:type="pct"/>
            <w:shd w:val="clear" w:color="auto" w:fill="FFFFFF"/>
            <w:tcMar>
              <w:top w:w="120" w:type="dxa"/>
              <w:left w:w="120" w:type="dxa"/>
              <w:bottom w:w="120" w:type="dxa"/>
              <w:right w:w="120" w:type="dxa"/>
            </w:tcMar>
            <w:vAlign w:val="center"/>
          </w:tcPr>
          <w:p>
            <w:pPr>
              <w:widowControl/>
              <w:snapToGrid w:val="0"/>
              <w:spacing w:line="240" w:lineRule="auto"/>
              <w:ind w:firstLine="0" w:firstLineChars="0"/>
              <w:jc w:val="center"/>
              <w:rPr>
                <w:rFonts w:ascii="宋体" w:hAnsi="宋体" w:cs="宋体"/>
                <w:sz w:val="21"/>
                <w:szCs w:val="21"/>
              </w:rPr>
            </w:pPr>
            <w:r>
              <w:rPr>
                <w:rFonts w:hint="eastAsia" w:ascii="宋体" w:hAnsi="宋体" w:cs="宋体"/>
                <w:kern w:val="0"/>
                <w:sz w:val="21"/>
                <w:szCs w:val="21"/>
                <w:lang w:bidi="ar"/>
              </w:rPr>
              <w:t>汽车制造业</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5" w:type="dxa"/>
            <w:left w:w="15" w:type="dxa"/>
            <w:bottom w:w="15" w:type="dxa"/>
            <w:right w:w="15" w:type="dxa"/>
          </w:tblCellMar>
        </w:tblPrEx>
        <w:trPr>
          <w:jc w:val="center"/>
        </w:trPr>
        <w:tc>
          <w:tcPr>
            <w:tcW w:w="899" w:type="pct"/>
            <w:shd w:val="clear" w:color="auto" w:fill="FFFFFF"/>
            <w:tcMar>
              <w:top w:w="120" w:type="dxa"/>
              <w:left w:w="120" w:type="dxa"/>
              <w:bottom w:w="120" w:type="dxa"/>
              <w:right w:w="120" w:type="dxa"/>
            </w:tcMar>
            <w:vAlign w:val="center"/>
          </w:tcPr>
          <w:p>
            <w:pPr>
              <w:widowControl/>
              <w:snapToGrid w:val="0"/>
              <w:spacing w:line="240" w:lineRule="auto"/>
              <w:ind w:firstLine="0" w:firstLineChars="0"/>
              <w:jc w:val="center"/>
              <w:rPr>
                <w:rFonts w:ascii="宋体" w:hAnsi="宋体" w:cs="宋体"/>
                <w:b/>
                <w:bCs/>
                <w:sz w:val="21"/>
                <w:szCs w:val="21"/>
              </w:rPr>
            </w:pPr>
            <w:r>
              <w:rPr>
                <w:rFonts w:hint="eastAsia" w:ascii="宋体" w:hAnsi="宋体" w:cs="宋体"/>
                <w:b/>
                <w:bCs/>
                <w:kern w:val="0"/>
                <w:sz w:val="21"/>
                <w:szCs w:val="21"/>
                <w:lang w:bidi="ar"/>
              </w:rPr>
              <w:t>工商注册号</w:t>
            </w:r>
          </w:p>
        </w:tc>
        <w:tc>
          <w:tcPr>
            <w:tcW w:w="1621" w:type="pct"/>
            <w:shd w:val="clear" w:color="auto" w:fill="FFFFFF"/>
            <w:tcMar>
              <w:top w:w="120" w:type="dxa"/>
              <w:left w:w="120" w:type="dxa"/>
              <w:bottom w:w="120" w:type="dxa"/>
              <w:right w:w="120" w:type="dxa"/>
            </w:tcMar>
            <w:vAlign w:val="center"/>
          </w:tcPr>
          <w:p>
            <w:pPr>
              <w:widowControl/>
              <w:snapToGrid w:val="0"/>
              <w:spacing w:line="240" w:lineRule="auto"/>
              <w:ind w:firstLine="0" w:firstLineChars="0"/>
              <w:jc w:val="center"/>
              <w:rPr>
                <w:rFonts w:ascii="宋体" w:hAnsi="宋体" w:cs="宋体"/>
                <w:sz w:val="21"/>
                <w:szCs w:val="21"/>
              </w:rPr>
            </w:pPr>
            <w:r>
              <w:rPr>
                <w:rFonts w:hint="eastAsia" w:ascii="宋体" w:hAnsi="宋体" w:cs="宋体"/>
                <w:kern w:val="0"/>
                <w:sz w:val="21"/>
                <w:szCs w:val="21"/>
                <w:lang w:bidi="ar"/>
              </w:rPr>
              <w:t>532326000014985</w:t>
            </w:r>
          </w:p>
        </w:tc>
        <w:tc>
          <w:tcPr>
            <w:tcW w:w="901" w:type="pct"/>
            <w:shd w:val="clear" w:color="auto" w:fill="FFFFFF"/>
            <w:tcMar>
              <w:top w:w="120" w:type="dxa"/>
              <w:left w:w="120" w:type="dxa"/>
              <w:bottom w:w="120" w:type="dxa"/>
              <w:right w:w="120" w:type="dxa"/>
            </w:tcMar>
            <w:vAlign w:val="center"/>
          </w:tcPr>
          <w:p>
            <w:pPr>
              <w:widowControl/>
              <w:snapToGrid w:val="0"/>
              <w:spacing w:line="240" w:lineRule="auto"/>
              <w:ind w:firstLine="0" w:firstLineChars="0"/>
              <w:jc w:val="center"/>
              <w:rPr>
                <w:rFonts w:ascii="宋体" w:hAnsi="宋体" w:cs="宋体"/>
                <w:b/>
                <w:bCs/>
                <w:sz w:val="21"/>
                <w:szCs w:val="21"/>
              </w:rPr>
            </w:pPr>
            <w:r>
              <w:rPr>
                <w:rFonts w:hint="eastAsia" w:ascii="宋体" w:hAnsi="宋体" w:cs="宋体"/>
                <w:b/>
                <w:bCs/>
                <w:kern w:val="0"/>
                <w:sz w:val="21"/>
                <w:szCs w:val="21"/>
                <w:lang w:bidi="ar"/>
              </w:rPr>
              <w:t>组织机构代码</w:t>
            </w:r>
          </w:p>
        </w:tc>
        <w:tc>
          <w:tcPr>
            <w:tcW w:w="1577" w:type="pct"/>
            <w:shd w:val="clear" w:color="auto" w:fill="FFFFFF"/>
            <w:tcMar>
              <w:top w:w="120" w:type="dxa"/>
              <w:left w:w="120" w:type="dxa"/>
              <w:bottom w:w="120" w:type="dxa"/>
              <w:right w:w="120" w:type="dxa"/>
            </w:tcMar>
            <w:vAlign w:val="center"/>
          </w:tcPr>
          <w:p>
            <w:pPr>
              <w:widowControl/>
              <w:snapToGrid w:val="0"/>
              <w:spacing w:line="240" w:lineRule="auto"/>
              <w:ind w:firstLine="0" w:firstLineChars="0"/>
              <w:jc w:val="center"/>
              <w:rPr>
                <w:rFonts w:ascii="宋体" w:hAnsi="宋体" w:cs="宋体"/>
                <w:sz w:val="21"/>
                <w:szCs w:val="21"/>
              </w:rPr>
            </w:pPr>
            <w:r>
              <w:rPr>
                <w:rFonts w:hint="eastAsia" w:ascii="宋体" w:hAnsi="宋体" w:cs="宋体"/>
                <w:kern w:val="0"/>
                <w:sz w:val="21"/>
                <w:szCs w:val="21"/>
                <w:lang w:bidi="ar"/>
              </w:rPr>
              <w:t>MA6MXWCJ-7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5" w:type="dxa"/>
            <w:left w:w="15" w:type="dxa"/>
            <w:bottom w:w="15" w:type="dxa"/>
            <w:right w:w="15" w:type="dxa"/>
          </w:tblCellMar>
        </w:tblPrEx>
        <w:trPr>
          <w:trHeight w:val="672" w:hRule="atLeast"/>
          <w:jc w:val="center"/>
        </w:trPr>
        <w:tc>
          <w:tcPr>
            <w:tcW w:w="899" w:type="pct"/>
            <w:shd w:val="clear" w:color="auto" w:fill="FFFFFF"/>
            <w:tcMar>
              <w:top w:w="120" w:type="dxa"/>
              <w:left w:w="120" w:type="dxa"/>
              <w:bottom w:w="120" w:type="dxa"/>
              <w:right w:w="120" w:type="dxa"/>
            </w:tcMar>
            <w:vAlign w:val="center"/>
          </w:tcPr>
          <w:p>
            <w:pPr>
              <w:widowControl/>
              <w:snapToGrid w:val="0"/>
              <w:spacing w:line="240" w:lineRule="auto"/>
              <w:ind w:firstLine="0" w:firstLineChars="0"/>
              <w:jc w:val="center"/>
              <w:rPr>
                <w:rFonts w:ascii="宋体" w:hAnsi="宋体" w:cs="宋体"/>
                <w:b/>
                <w:bCs/>
                <w:sz w:val="21"/>
                <w:szCs w:val="21"/>
              </w:rPr>
            </w:pPr>
            <w:r>
              <w:rPr>
                <w:rFonts w:hint="eastAsia" w:ascii="宋体" w:hAnsi="宋体" w:cs="宋体"/>
                <w:b/>
                <w:bCs/>
                <w:kern w:val="0"/>
                <w:sz w:val="21"/>
                <w:szCs w:val="21"/>
                <w:lang w:bidi="ar"/>
              </w:rPr>
              <w:t>纳税人识别号</w:t>
            </w:r>
          </w:p>
        </w:tc>
        <w:tc>
          <w:tcPr>
            <w:tcW w:w="1621" w:type="pct"/>
            <w:shd w:val="clear" w:color="auto" w:fill="FFFFFF"/>
            <w:tcMar>
              <w:top w:w="120" w:type="dxa"/>
              <w:left w:w="120" w:type="dxa"/>
              <w:bottom w:w="120" w:type="dxa"/>
              <w:right w:w="120" w:type="dxa"/>
            </w:tcMar>
            <w:vAlign w:val="center"/>
          </w:tcPr>
          <w:p>
            <w:pPr>
              <w:widowControl/>
              <w:snapToGrid w:val="0"/>
              <w:spacing w:line="240" w:lineRule="auto"/>
              <w:ind w:firstLine="0" w:firstLineChars="0"/>
              <w:jc w:val="center"/>
              <w:rPr>
                <w:rFonts w:ascii="宋体" w:hAnsi="宋体" w:cs="宋体"/>
                <w:sz w:val="21"/>
                <w:szCs w:val="21"/>
              </w:rPr>
            </w:pPr>
            <w:r>
              <w:rPr>
                <w:rFonts w:hint="eastAsia" w:ascii="宋体" w:hAnsi="宋体" w:cs="宋体"/>
                <w:kern w:val="0"/>
                <w:sz w:val="21"/>
                <w:szCs w:val="21"/>
                <w:lang w:bidi="ar"/>
              </w:rPr>
              <w:t>91532326MA6MXWCJ75</w:t>
            </w:r>
          </w:p>
        </w:tc>
        <w:tc>
          <w:tcPr>
            <w:tcW w:w="901" w:type="pct"/>
            <w:shd w:val="clear" w:color="auto" w:fill="FFFFFF"/>
            <w:tcMar>
              <w:top w:w="120" w:type="dxa"/>
              <w:left w:w="120" w:type="dxa"/>
              <w:bottom w:w="120" w:type="dxa"/>
              <w:right w:w="120" w:type="dxa"/>
            </w:tcMar>
            <w:vAlign w:val="center"/>
          </w:tcPr>
          <w:p>
            <w:pPr>
              <w:widowControl/>
              <w:snapToGrid w:val="0"/>
              <w:spacing w:line="240" w:lineRule="auto"/>
              <w:ind w:firstLine="0" w:firstLineChars="0"/>
              <w:jc w:val="center"/>
              <w:rPr>
                <w:rFonts w:ascii="宋体" w:hAnsi="宋体" w:cs="宋体"/>
                <w:b/>
                <w:bCs/>
                <w:sz w:val="21"/>
                <w:szCs w:val="21"/>
              </w:rPr>
            </w:pPr>
            <w:r>
              <w:rPr>
                <w:rFonts w:hint="eastAsia" w:ascii="宋体" w:hAnsi="宋体" w:cs="宋体"/>
                <w:b/>
                <w:bCs/>
                <w:kern w:val="0"/>
                <w:sz w:val="21"/>
                <w:szCs w:val="21"/>
                <w:lang w:bidi="ar"/>
              </w:rPr>
              <w:t>纳税人资质</w:t>
            </w:r>
          </w:p>
        </w:tc>
        <w:tc>
          <w:tcPr>
            <w:tcW w:w="1577" w:type="pct"/>
            <w:shd w:val="clear" w:color="auto" w:fill="FFFFFF"/>
            <w:tcMar>
              <w:top w:w="120" w:type="dxa"/>
              <w:left w:w="120" w:type="dxa"/>
              <w:bottom w:w="120" w:type="dxa"/>
              <w:right w:w="120" w:type="dxa"/>
            </w:tcMar>
            <w:vAlign w:val="center"/>
          </w:tcPr>
          <w:p>
            <w:pPr>
              <w:widowControl/>
              <w:snapToGrid w:val="0"/>
              <w:spacing w:line="240" w:lineRule="auto"/>
              <w:ind w:firstLine="0" w:firstLineChars="0"/>
              <w:jc w:val="center"/>
              <w:rPr>
                <w:rFonts w:ascii="宋体" w:hAnsi="宋体" w:cs="宋体"/>
                <w:sz w:val="21"/>
                <w:szCs w:val="21"/>
              </w:rPr>
            </w:pPr>
            <w:r>
              <w:rPr>
                <w:rFonts w:hint="eastAsia" w:ascii="宋体" w:hAnsi="宋体" w:cs="宋体"/>
                <w:kern w:val="0"/>
                <w:sz w:val="21"/>
                <w:szCs w:val="21"/>
                <w:lang w:bidi="ar"/>
              </w:rPr>
              <w:t>增值税一般纳税人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5" w:type="dxa"/>
            <w:left w:w="15" w:type="dxa"/>
            <w:bottom w:w="15" w:type="dxa"/>
            <w:right w:w="15" w:type="dxa"/>
          </w:tblCellMar>
        </w:tblPrEx>
        <w:trPr>
          <w:trHeight w:val="608" w:hRule="atLeast"/>
          <w:jc w:val="center"/>
        </w:trPr>
        <w:tc>
          <w:tcPr>
            <w:tcW w:w="899" w:type="pct"/>
            <w:shd w:val="clear" w:color="auto" w:fill="FFFFFF"/>
            <w:tcMar>
              <w:top w:w="120" w:type="dxa"/>
              <w:left w:w="120" w:type="dxa"/>
              <w:bottom w:w="120" w:type="dxa"/>
              <w:right w:w="120" w:type="dxa"/>
            </w:tcMar>
            <w:vAlign w:val="center"/>
          </w:tcPr>
          <w:p>
            <w:pPr>
              <w:widowControl/>
              <w:adjustRightInd w:val="0"/>
              <w:snapToGrid w:val="0"/>
              <w:spacing w:line="240" w:lineRule="auto"/>
              <w:ind w:firstLine="0" w:firstLineChars="0"/>
              <w:jc w:val="center"/>
              <w:rPr>
                <w:rFonts w:ascii="宋体" w:hAnsi="宋体" w:cs="宋体"/>
                <w:b/>
                <w:bCs/>
                <w:sz w:val="21"/>
                <w:szCs w:val="21"/>
              </w:rPr>
            </w:pPr>
            <w:r>
              <w:rPr>
                <w:rFonts w:hint="eastAsia" w:ascii="宋体" w:hAnsi="宋体" w:cs="宋体"/>
                <w:b/>
                <w:bCs/>
                <w:kern w:val="0"/>
                <w:sz w:val="21"/>
                <w:szCs w:val="21"/>
                <w:lang w:bidi="ar"/>
              </w:rPr>
              <w:t>营业期限</w:t>
            </w:r>
          </w:p>
        </w:tc>
        <w:tc>
          <w:tcPr>
            <w:tcW w:w="1621" w:type="pct"/>
            <w:shd w:val="clear" w:color="auto" w:fill="FFFFFF"/>
            <w:tcMar>
              <w:top w:w="120" w:type="dxa"/>
              <w:left w:w="120" w:type="dxa"/>
              <w:bottom w:w="120" w:type="dxa"/>
              <w:right w:w="120" w:type="dxa"/>
            </w:tcMar>
            <w:vAlign w:val="center"/>
          </w:tcPr>
          <w:p>
            <w:pPr>
              <w:kinsoku w:val="0"/>
              <w:wordWrap w:val="0"/>
              <w:adjustRightInd w:val="0"/>
              <w:snapToGrid w:val="0"/>
              <w:spacing w:line="240" w:lineRule="auto"/>
              <w:ind w:firstLine="0" w:firstLineChars="0"/>
              <w:jc w:val="center"/>
              <w:rPr>
                <w:rFonts w:ascii="宋体" w:hAnsi="宋体" w:cs="宋体"/>
                <w:sz w:val="21"/>
                <w:szCs w:val="21"/>
              </w:rPr>
            </w:pPr>
            <w:r>
              <w:rPr>
                <w:rFonts w:hint="eastAsia" w:ascii="宋体" w:hAnsi="宋体" w:cs="宋体"/>
                <w:kern w:val="0"/>
                <w:sz w:val="21"/>
                <w:szCs w:val="21"/>
                <w:lang w:bidi="ar"/>
              </w:rPr>
              <w:t>2018-01-09 至9999-12-31</w:t>
            </w:r>
          </w:p>
        </w:tc>
        <w:tc>
          <w:tcPr>
            <w:tcW w:w="901" w:type="pct"/>
            <w:shd w:val="clear" w:color="auto" w:fill="FFFFFF"/>
            <w:tcMar>
              <w:top w:w="120" w:type="dxa"/>
              <w:left w:w="120" w:type="dxa"/>
              <w:bottom w:w="120" w:type="dxa"/>
              <w:right w:w="120" w:type="dxa"/>
            </w:tcMar>
            <w:vAlign w:val="center"/>
          </w:tcPr>
          <w:p>
            <w:pPr>
              <w:widowControl/>
              <w:adjustRightInd w:val="0"/>
              <w:snapToGrid w:val="0"/>
              <w:spacing w:line="240" w:lineRule="auto"/>
              <w:ind w:firstLine="0" w:firstLineChars="0"/>
              <w:jc w:val="center"/>
              <w:rPr>
                <w:rFonts w:ascii="宋体" w:hAnsi="宋体" w:cs="宋体"/>
                <w:b/>
                <w:bCs/>
                <w:sz w:val="21"/>
                <w:szCs w:val="21"/>
              </w:rPr>
            </w:pPr>
            <w:r>
              <w:rPr>
                <w:rFonts w:hint="eastAsia" w:ascii="宋体" w:hAnsi="宋体" w:cs="宋体"/>
                <w:b/>
                <w:bCs/>
                <w:kern w:val="0"/>
                <w:sz w:val="21"/>
                <w:szCs w:val="21"/>
                <w:lang w:bidi="ar"/>
              </w:rPr>
              <w:t>核准日期</w:t>
            </w:r>
          </w:p>
        </w:tc>
        <w:tc>
          <w:tcPr>
            <w:tcW w:w="1577" w:type="pct"/>
            <w:shd w:val="clear" w:color="auto" w:fill="FFFFFF"/>
            <w:tcMar>
              <w:top w:w="120" w:type="dxa"/>
              <w:left w:w="120" w:type="dxa"/>
              <w:bottom w:w="120" w:type="dxa"/>
              <w:right w:w="120" w:type="dxa"/>
            </w:tcMar>
            <w:vAlign w:val="center"/>
          </w:tcPr>
          <w:p>
            <w:pPr>
              <w:widowControl/>
              <w:adjustRightInd w:val="0"/>
              <w:snapToGrid w:val="0"/>
              <w:spacing w:line="240" w:lineRule="auto"/>
              <w:ind w:firstLine="0" w:firstLineChars="0"/>
              <w:jc w:val="center"/>
              <w:rPr>
                <w:rFonts w:ascii="宋体" w:hAnsi="宋体" w:cs="宋体"/>
                <w:sz w:val="21"/>
                <w:szCs w:val="21"/>
              </w:rPr>
            </w:pPr>
            <w:r>
              <w:rPr>
                <w:rFonts w:hint="eastAsia" w:ascii="宋体" w:hAnsi="宋体" w:cs="宋体"/>
                <w:kern w:val="0"/>
                <w:sz w:val="21"/>
                <w:szCs w:val="21"/>
                <w:lang w:bidi="ar"/>
              </w:rPr>
              <w:t>2022-04-27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5" w:type="dxa"/>
            <w:left w:w="15" w:type="dxa"/>
            <w:bottom w:w="15" w:type="dxa"/>
            <w:right w:w="15" w:type="dxa"/>
          </w:tblCellMar>
        </w:tblPrEx>
        <w:trPr>
          <w:jc w:val="center"/>
        </w:trPr>
        <w:tc>
          <w:tcPr>
            <w:tcW w:w="899" w:type="pct"/>
            <w:shd w:val="clear" w:color="auto" w:fill="FFFFFF"/>
            <w:tcMar>
              <w:top w:w="120" w:type="dxa"/>
              <w:left w:w="120" w:type="dxa"/>
              <w:bottom w:w="120" w:type="dxa"/>
              <w:right w:w="120" w:type="dxa"/>
            </w:tcMar>
            <w:vAlign w:val="center"/>
          </w:tcPr>
          <w:p>
            <w:pPr>
              <w:widowControl/>
              <w:snapToGrid w:val="0"/>
              <w:spacing w:line="240" w:lineRule="auto"/>
              <w:ind w:firstLine="0" w:firstLineChars="0"/>
              <w:jc w:val="center"/>
              <w:rPr>
                <w:rFonts w:ascii="宋体" w:hAnsi="宋体" w:cs="宋体"/>
                <w:b/>
                <w:bCs/>
                <w:sz w:val="21"/>
                <w:szCs w:val="21"/>
              </w:rPr>
            </w:pPr>
            <w:r>
              <w:rPr>
                <w:rFonts w:hint="eastAsia" w:ascii="宋体" w:hAnsi="宋体" w:cs="宋体"/>
                <w:b/>
                <w:bCs/>
                <w:kern w:val="0"/>
                <w:sz w:val="21"/>
                <w:szCs w:val="21"/>
                <w:lang w:bidi="ar"/>
              </w:rPr>
              <w:t>登记机关</w:t>
            </w:r>
          </w:p>
        </w:tc>
        <w:tc>
          <w:tcPr>
            <w:tcW w:w="1621" w:type="pct"/>
            <w:shd w:val="clear" w:color="auto" w:fill="FFFFFF"/>
            <w:tcMar>
              <w:top w:w="120" w:type="dxa"/>
              <w:left w:w="120" w:type="dxa"/>
              <w:bottom w:w="120" w:type="dxa"/>
              <w:right w:w="120" w:type="dxa"/>
            </w:tcMar>
            <w:vAlign w:val="center"/>
          </w:tcPr>
          <w:p>
            <w:pPr>
              <w:widowControl/>
              <w:snapToGrid w:val="0"/>
              <w:spacing w:line="240" w:lineRule="auto"/>
              <w:ind w:firstLine="0" w:firstLineChars="0"/>
              <w:jc w:val="center"/>
              <w:rPr>
                <w:rFonts w:ascii="宋体" w:hAnsi="宋体" w:cs="宋体"/>
                <w:sz w:val="21"/>
                <w:szCs w:val="21"/>
              </w:rPr>
            </w:pPr>
            <w:r>
              <w:rPr>
                <w:rFonts w:hint="eastAsia" w:ascii="宋体" w:hAnsi="宋体" w:cs="宋体"/>
                <w:kern w:val="0"/>
                <w:sz w:val="21"/>
                <w:szCs w:val="21"/>
                <w:lang w:bidi="ar"/>
              </w:rPr>
              <w:t>楚雄州市场监督管理局</w:t>
            </w:r>
          </w:p>
        </w:tc>
        <w:tc>
          <w:tcPr>
            <w:tcW w:w="901" w:type="pct"/>
            <w:shd w:val="clear" w:color="auto" w:fill="FFFFFF"/>
            <w:tcMar>
              <w:top w:w="120" w:type="dxa"/>
              <w:left w:w="120" w:type="dxa"/>
              <w:bottom w:w="120" w:type="dxa"/>
              <w:right w:w="120" w:type="dxa"/>
            </w:tcMar>
            <w:vAlign w:val="center"/>
          </w:tcPr>
          <w:p>
            <w:pPr>
              <w:widowControl/>
              <w:snapToGrid w:val="0"/>
              <w:spacing w:line="240" w:lineRule="auto"/>
              <w:ind w:firstLine="0" w:firstLineChars="0"/>
              <w:jc w:val="center"/>
              <w:rPr>
                <w:rFonts w:ascii="宋体" w:hAnsi="宋体" w:cs="宋体"/>
                <w:b/>
                <w:bCs/>
                <w:sz w:val="21"/>
                <w:szCs w:val="21"/>
              </w:rPr>
            </w:pPr>
            <w:r>
              <w:rPr>
                <w:rFonts w:hint="eastAsia" w:ascii="宋体" w:hAnsi="宋体" w:cs="宋体"/>
                <w:b/>
                <w:bCs/>
                <w:kern w:val="0"/>
                <w:sz w:val="21"/>
                <w:szCs w:val="21"/>
                <w:lang w:bidi="ar"/>
              </w:rPr>
              <w:t>参保人数</w:t>
            </w:r>
          </w:p>
        </w:tc>
        <w:tc>
          <w:tcPr>
            <w:tcW w:w="1577" w:type="pct"/>
            <w:shd w:val="clear" w:color="auto" w:fill="FFFFFF"/>
            <w:tcMar>
              <w:top w:w="120" w:type="dxa"/>
              <w:left w:w="120" w:type="dxa"/>
              <w:bottom w:w="120" w:type="dxa"/>
              <w:right w:w="120" w:type="dxa"/>
            </w:tcMar>
            <w:vAlign w:val="center"/>
          </w:tcPr>
          <w:p>
            <w:pPr>
              <w:widowControl/>
              <w:snapToGrid w:val="0"/>
              <w:spacing w:line="240" w:lineRule="auto"/>
              <w:ind w:firstLine="0" w:firstLineChars="0"/>
              <w:jc w:val="center"/>
              <w:rPr>
                <w:rFonts w:ascii="宋体" w:hAnsi="宋体" w:cs="宋体"/>
                <w:sz w:val="21"/>
                <w:szCs w:val="21"/>
              </w:rPr>
            </w:pPr>
            <w:r>
              <w:rPr>
                <w:rFonts w:hint="eastAsia" w:ascii="宋体" w:hAnsi="宋体" w:cs="宋体"/>
                <w:kern w:val="0"/>
                <w:sz w:val="21"/>
                <w:szCs w:val="21"/>
                <w:lang w:bidi="ar"/>
              </w:rPr>
              <w:t>75人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5" w:type="dxa"/>
            <w:left w:w="15" w:type="dxa"/>
            <w:bottom w:w="15" w:type="dxa"/>
            <w:right w:w="15" w:type="dxa"/>
          </w:tblCellMar>
        </w:tblPrEx>
        <w:trPr>
          <w:jc w:val="center"/>
        </w:trPr>
        <w:tc>
          <w:tcPr>
            <w:tcW w:w="899" w:type="pct"/>
            <w:shd w:val="clear" w:color="auto" w:fill="FFFFFF"/>
            <w:tcMar>
              <w:top w:w="120" w:type="dxa"/>
              <w:left w:w="120" w:type="dxa"/>
              <w:bottom w:w="120" w:type="dxa"/>
              <w:right w:w="120" w:type="dxa"/>
            </w:tcMar>
            <w:vAlign w:val="center"/>
          </w:tcPr>
          <w:p>
            <w:pPr>
              <w:widowControl/>
              <w:snapToGrid w:val="0"/>
              <w:spacing w:line="240" w:lineRule="auto"/>
              <w:ind w:firstLine="0" w:firstLineChars="0"/>
              <w:jc w:val="center"/>
              <w:rPr>
                <w:rFonts w:ascii="宋体" w:hAnsi="宋体" w:cs="宋体"/>
                <w:b/>
                <w:bCs/>
                <w:sz w:val="21"/>
                <w:szCs w:val="21"/>
              </w:rPr>
            </w:pPr>
            <w:r>
              <w:rPr>
                <w:rFonts w:hint="eastAsia" w:ascii="宋体" w:hAnsi="宋体" w:cs="宋体"/>
                <w:b/>
                <w:bCs/>
                <w:kern w:val="0"/>
                <w:sz w:val="21"/>
                <w:szCs w:val="21"/>
                <w:lang w:bidi="ar"/>
              </w:rPr>
              <w:t>曾用名</w:t>
            </w:r>
          </w:p>
        </w:tc>
        <w:tc>
          <w:tcPr>
            <w:tcW w:w="4100" w:type="pct"/>
            <w:gridSpan w:val="3"/>
            <w:shd w:val="clear" w:color="auto" w:fill="FFFFFF"/>
            <w:tcMar>
              <w:top w:w="120" w:type="dxa"/>
              <w:left w:w="120" w:type="dxa"/>
              <w:bottom w:w="120" w:type="dxa"/>
              <w:right w:w="120" w:type="dxa"/>
            </w:tcMar>
            <w:vAlign w:val="center"/>
          </w:tcPr>
          <w:p>
            <w:pPr>
              <w:pStyle w:val="27"/>
              <w:widowControl/>
              <w:snapToGrid w:val="0"/>
              <w:spacing w:before="0" w:beforeAutospacing="0" w:after="0" w:afterAutospacing="0" w:line="240" w:lineRule="auto"/>
              <w:ind w:firstLine="0" w:firstLineChars="0"/>
              <w:jc w:val="center"/>
              <w:rPr>
                <w:rFonts w:ascii="宋体" w:hAnsi="宋体" w:cs="宋体"/>
                <w:sz w:val="21"/>
                <w:szCs w:val="21"/>
              </w:rPr>
            </w:pPr>
            <w:r>
              <w:rPr>
                <w:rFonts w:hint="eastAsia" w:ascii="宋体" w:hAnsi="宋体" w:cs="宋体"/>
                <w:sz w:val="21"/>
                <w:szCs w:val="21"/>
              </w:rPr>
              <w:t>大姚祥华工业制造有限公司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5" w:type="dxa"/>
            <w:left w:w="15" w:type="dxa"/>
            <w:bottom w:w="15" w:type="dxa"/>
            <w:right w:w="15" w:type="dxa"/>
          </w:tblCellMar>
        </w:tblPrEx>
        <w:trPr>
          <w:jc w:val="center"/>
        </w:trPr>
        <w:tc>
          <w:tcPr>
            <w:tcW w:w="899" w:type="pct"/>
            <w:shd w:val="clear" w:color="auto" w:fill="FFFFFF"/>
            <w:tcMar>
              <w:top w:w="120" w:type="dxa"/>
              <w:left w:w="120" w:type="dxa"/>
              <w:bottom w:w="120" w:type="dxa"/>
              <w:right w:w="120" w:type="dxa"/>
            </w:tcMar>
            <w:vAlign w:val="center"/>
          </w:tcPr>
          <w:p>
            <w:pPr>
              <w:widowControl/>
              <w:snapToGrid w:val="0"/>
              <w:spacing w:line="240" w:lineRule="auto"/>
              <w:ind w:firstLine="0" w:firstLineChars="0"/>
              <w:jc w:val="center"/>
              <w:rPr>
                <w:rFonts w:ascii="宋体" w:hAnsi="宋体" w:cs="宋体"/>
                <w:b/>
                <w:bCs/>
                <w:sz w:val="21"/>
                <w:szCs w:val="21"/>
              </w:rPr>
            </w:pPr>
            <w:r>
              <w:rPr>
                <w:rFonts w:hint="eastAsia" w:ascii="宋体" w:hAnsi="宋体" w:cs="宋体"/>
                <w:b/>
                <w:bCs/>
                <w:kern w:val="0"/>
                <w:sz w:val="21"/>
                <w:szCs w:val="21"/>
                <w:lang w:bidi="ar"/>
              </w:rPr>
              <w:t>注册地址</w:t>
            </w:r>
          </w:p>
        </w:tc>
        <w:tc>
          <w:tcPr>
            <w:tcW w:w="4100" w:type="pct"/>
            <w:gridSpan w:val="3"/>
            <w:shd w:val="clear" w:color="auto" w:fill="FFFFFF"/>
            <w:tcMar>
              <w:top w:w="120" w:type="dxa"/>
              <w:left w:w="120" w:type="dxa"/>
              <w:bottom w:w="120" w:type="dxa"/>
              <w:right w:w="120" w:type="dxa"/>
            </w:tcMar>
            <w:vAlign w:val="center"/>
          </w:tcPr>
          <w:p>
            <w:pPr>
              <w:widowControl/>
              <w:snapToGrid w:val="0"/>
              <w:spacing w:line="240" w:lineRule="auto"/>
              <w:ind w:firstLine="0" w:firstLineChars="0"/>
              <w:jc w:val="center"/>
              <w:rPr>
                <w:rFonts w:ascii="宋体" w:hAnsi="宋体" w:cs="宋体"/>
                <w:sz w:val="21"/>
                <w:szCs w:val="21"/>
              </w:rPr>
            </w:pPr>
            <w:r>
              <w:rPr>
                <w:rFonts w:hint="eastAsia" w:ascii="宋体" w:hAnsi="宋体" w:cs="宋体"/>
                <w:kern w:val="0"/>
                <w:sz w:val="21"/>
                <w:szCs w:val="21"/>
                <w:lang w:bidi="ar"/>
              </w:rPr>
              <w:t>云南省楚雄彝族自治州大姚县金碧镇工业园区南山坝工业片区</w:t>
            </w:r>
            <w:r>
              <w:fldChar w:fldCharType="begin"/>
            </w:r>
            <w:r>
              <w:instrText xml:space="preserve"> HYPERLINK "http://api.map.baidu.com/geocoder?address=%E4%BA%91%E5%8D%97%E7%9C%81%E6%A5%9A%E9%9B%84%E5%BD%9D%E6%97%8F%E8%87%AA%E6%B2%BB%E5%B7%9E%E5%A4%A7%E5%A7%9A%E5%8E%BF%E9%87%91%E7%A2%A7%E9%95%87%E5%B7%A5%E4%B8%9A%E5%9B%AD%E5%8C%BA%E5%8D%97%E5%B1%B1%E5%9D%9D%E5%B7%A5%E4%B8%9A%E7%89%87%E5%8C%BA&amp;output=html" \t "https://aiqicha.baidu.com/_blank" </w:instrText>
            </w:r>
            <w:r>
              <w:fldChar w:fldCharType="separate"/>
            </w:r>
            <w:r>
              <w:rPr>
                <w:rStyle w:val="35"/>
                <w:rFonts w:hint="eastAsia" w:ascii="宋体" w:hAnsi="宋体" w:cs="宋体"/>
                <w:color w:val="auto"/>
                <w:sz w:val="21"/>
                <w:szCs w:val="21"/>
                <w:u w:val="none"/>
              </w:rPr>
              <w:t> </w:t>
            </w:r>
            <w:r>
              <w:rPr>
                <w:rStyle w:val="35"/>
                <w:rFonts w:hint="eastAsia" w:ascii="宋体" w:hAnsi="宋体" w:cs="宋体"/>
                <w:color w:val="auto"/>
                <w:sz w:val="21"/>
                <w:szCs w:val="21"/>
                <w:u w:val="none"/>
              </w:rPr>
              <w:fldChar w:fldCharType="end"/>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5" w:type="dxa"/>
            <w:left w:w="15" w:type="dxa"/>
            <w:bottom w:w="15" w:type="dxa"/>
            <w:right w:w="15" w:type="dxa"/>
          </w:tblCellMar>
        </w:tblPrEx>
        <w:trPr>
          <w:jc w:val="center"/>
        </w:trPr>
        <w:tc>
          <w:tcPr>
            <w:tcW w:w="899" w:type="pct"/>
            <w:shd w:val="clear" w:color="auto" w:fill="FFFFFF"/>
            <w:tcMar>
              <w:top w:w="120" w:type="dxa"/>
              <w:left w:w="120" w:type="dxa"/>
              <w:bottom w:w="120" w:type="dxa"/>
              <w:right w:w="120" w:type="dxa"/>
            </w:tcMar>
            <w:vAlign w:val="center"/>
          </w:tcPr>
          <w:p>
            <w:pPr>
              <w:widowControl/>
              <w:snapToGrid w:val="0"/>
              <w:spacing w:line="240" w:lineRule="auto"/>
              <w:ind w:firstLine="0" w:firstLineChars="0"/>
              <w:jc w:val="center"/>
              <w:rPr>
                <w:rFonts w:ascii="宋体" w:hAnsi="宋体" w:cs="宋体"/>
                <w:b/>
                <w:bCs/>
                <w:sz w:val="21"/>
                <w:szCs w:val="21"/>
              </w:rPr>
            </w:pPr>
            <w:r>
              <w:rPr>
                <w:rFonts w:hint="eastAsia" w:ascii="宋体" w:hAnsi="宋体" w:cs="宋体"/>
                <w:b/>
                <w:bCs/>
                <w:kern w:val="0"/>
                <w:sz w:val="21"/>
                <w:szCs w:val="21"/>
                <w:lang w:bidi="ar"/>
              </w:rPr>
              <w:t>经营范围</w:t>
            </w:r>
          </w:p>
        </w:tc>
        <w:tc>
          <w:tcPr>
            <w:tcW w:w="4100" w:type="pct"/>
            <w:gridSpan w:val="3"/>
            <w:shd w:val="clear" w:color="auto" w:fill="FFFFFF"/>
            <w:tcMar>
              <w:top w:w="120" w:type="dxa"/>
              <w:left w:w="120" w:type="dxa"/>
              <w:bottom w:w="120" w:type="dxa"/>
              <w:right w:w="120" w:type="dxa"/>
            </w:tcMar>
            <w:vAlign w:val="center"/>
          </w:tcPr>
          <w:p>
            <w:pPr>
              <w:widowControl/>
              <w:snapToGrid w:val="0"/>
              <w:spacing w:line="240" w:lineRule="auto"/>
              <w:ind w:firstLine="0" w:firstLineChars="0"/>
              <w:rPr>
                <w:rFonts w:ascii="宋体" w:hAnsi="宋体" w:cs="宋体"/>
                <w:sz w:val="21"/>
                <w:szCs w:val="21"/>
              </w:rPr>
            </w:pPr>
            <w:r>
              <w:rPr>
                <w:rFonts w:hint="eastAsia" w:ascii="宋体" w:hAnsi="宋体" w:cs="宋体"/>
                <w:kern w:val="0"/>
                <w:sz w:val="21"/>
                <w:szCs w:val="21"/>
                <w:lang w:bidi="ar"/>
              </w:rPr>
              <w:t>汽车、内燃机、农业机械、拖拉机、机床、环保设备、铸件、机械设备零配件和整机生产制造、装配、销售；农业机械配件、工程机械、普通机械、焊接设备、机电产品、橡胶制品、五金交电、建筑材料，汽车配件、生铁、钢材、汽车的销售；农业机械、工程机械设备安装、维修、租赁；生产性废旧金属、非生产性废旧金属、非金属再生资源的回收、销售。（依法须经批准的项目，经相关部门批准后方可开展经营活动）</w:t>
            </w:r>
          </w:p>
        </w:tc>
      </w:tr>
    </w:tbl>
    <w:p>
      <w:pPr>
        <w:pStyle w:val="5"/>
        <w:spacing w:before="156" w:after="156"/>
        <w:ind w:left="575" w:hanging="575"/>
      </w:pPr>
      <w:bookmarkStart w:id="25" w:name="_Toc3304"/>
      <w:r>
        <w:t>建设项目性质</w:t>
      </w:r>
      <w:bookmarkEnd w:id="25"/>
    </w:p>
    <w:p>
      <w:pPr>
        <w:snapToGrid w:val="0"/>
        <w:spacing w:line="360" w:lineRule="auto"/>
        <w:ind w:firstLine="560"/>
        <w:rPr>
          <w:rFonts w:ascii="宋体" w:hAnsi="宋体" w:cs="宋体"/>
          <w:szCs w:val="28"/>
        </w:rPr>
      </w:pPr>
      <w:r>
        <w:t>建设项目性质</w:t>
      </w:r>
      <w:r>
        <w:rPr>
          <w:rFonts w:hint="eastAsia"/>
        </w:rPr>
        <w:t>：</w:t>
      </w:r>
      <w:r>
        <w:rPr>
          <w:rFonts w:hint="eastAsia" w:ascii="宋体" w:hAnsi="宋体" w:cs="宋体"/>
          <w:szCs w:val="28"/>
        </w:rPr>
        <w:t>本项目属于新建项目。</w:t>
      </w:r>
    </w:p>
    <w:p>
      <w:pPr>
        <w:pStyle w:val="5"/>
        <w:spacing w:before="156" w:after="156"/>
        <w:ind w:left="575" w:hanging="575"/>
      </w:pPr>
      <w:bookmarkStart w:id="26" w:name="_Toc10148"/>
      <w:r>
        <w:rPr>
          <w:rFonts w:hint="eastAsia"/>
        </w:rPr>
        <w:t>建设项目基本概况</w:t>
      </w:r>
      <w:bookmarkEnd w:id="26"/>
    </w:p>
    <w:p>
      <w:pPr>
        <w:pStyle w:val="6"/>
        <w:spacing w:before="156" w:after="156"/>
        <w:ind w:left="720" w:hanging="720"/>
      </w:pPr>
      <w:bookmarkStart w:id="27" w:name="_Toc19463"/>
      <w:r>
        <w:rPr>
          <w:rFonts w:hint="eastAsia"/>
        </w:rPr>
        <w:t>项目地理位置及选址</w:t>
      </w:r>
      <w:bookmarkEnd w:id="27"/>
    </w:p>
    <w:p>
      <w:pPr>
        <w:ind w:firstLine="560"/>
      </w:pPr>
      <w:r>
        <w:rPr>
          <w:rFonts w:hint="eastAsia"/>
        </w:rPr>
        <w:t>本项目厂址位于云南省楚雄彝族自治州大姚县金碧镇工业园区南山坝工业片区。行政区划隶属于云南省楚雄彝族自治州大姚县金碧镇。项目区域内道路、水、电等设施完备，厂址周边小范围内无学校、集中商业区等。</w:t>
      </w:r>
    </w:p>
    <w:p>
      <w:pPr>
        <w:ind w:firstLine="560"/>
        <w:rPr>
          <w:lang w:val="zh-CN"/>
        </w:rPr>
      </w:pPr>
      <w:r>
        <w:rPr>
          <w:rFonts w:hint="eastAsia"/>
        </w:rPr>
        <w:t>项目区所在地南山坝工业园区距昆明市276km；距楚雄州107公里；距四川攀枝花市127公里；距楚大高速公路76公里。工业园区规划面积4420亩，规划工业用地2044亩，园区紧邻南永二级公路，距大姚县城11公里，</w:t>
      </w:r>
      <w:r>
        <w:rPr>
          <w:rFonts w:hint="eastAsia"/>
          <w:lang w:val="zh-CN"/>
        </w:rPr>
        <w:t>交通方便，地理位置图如下：</w:t>
      </w:r>
    </w:p>
    <w:p>
      <w:pPr>
        <w:pStyle w:val="14"/>
        <w:spacing w:before="156" w:after="156"/>
      </w:pPr>
      <w:r>
        <w:drawing>
          <wp:inline distT="0" distB="0" distL="114300" distR="114300">
            <wp:extent cx="5273040" cy="3486785"/>
            <wp:effectExtent l="0" t="0" r="0" b="0"/>
            <wp:docPr id="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pic:cNvPicPr>
                      <a:picLocks noChangeAspect="1"/>
                    </pic:cNvPicPr>
                  </pic:nvPicPr>
                  <pic:blipFill>
                    <a:blip r:embed="rId21"/>
                    <a:srcRect t="2538"/>
                    <a:stretch>
                      <a:fillRect/>
                    </a:stretch>
                  </pic:blipFill>
                  <pic:spPr>
                    <a:xfrm>
                      <a:off x="0" y="0"/>
                      <a:ext cx="5273040" cy="3486785"/>
                    </a:xfrm>
                    <a:prstGeom prst="rect">
                      <a:avLst/>
                    </a:prstGeom>
                    <a:noFill/>
                    <a:ln>
                      <a:noFill/>
                    </a:ln>
                  </pic:spPr>
                </pic:pic>
              </a:graphicData>
            </a:graphic>
          </wp:inline>
        </w:drawing>
      </w:r>
    </w:p>
    <w:p>
      <w:pPr>
        <w:pStyle w:val="14"/>
        <w:spacing w:before="156" w:after="156"/>
        <w:rPr>
          <w:szCs w:val="24"/>
        </w:rPr>
      </w:pPr>
      <w:r>
        <w:t xml:space="preserve">图 </w:t>
      </w:r>
      <w:r>
        <w:fldChar w:fldCharType="begin"/>
      </w:r>
      <w:r>
        <w:instrText xml:space="preserve"> STYLEREF 2 \s </w:instrText>
      </w:r>
      <w:r>
        <w:fldChar w:fldCharType="separate"/>
      </w:r>
      <w:r>
        <w:t>2.3</w:t>
      </w:r>
      <w:r>
        <w:fldChar w:fldCharType="end"/>
      </w:r>
      <w:r>
        <w:rPr>
          <w:rFonts w:hint="eastAsia"/>
        </w:rPr>
        <w:t>-</w:t>
      </w:r>
      <w:r>
        <w:fldChar w:fldCharType="begin"/>
      </w:r>
      <w:r>
        <w:instrText xml:space="preserve"> SEQ 图 \* ARABIC \s 2 </w:instrText>
      </w:r>
      <w:r>
        <w:fldChar w:fldCharType="separate"/>
      </w:r>
      <w:r>
        <w:t>1</w:t>
      </w:r>
      <w:r>
        <w:fldChar w:fldCharType="end"/>
      </w:r>
      <w:r>
        <w:rPr>
          <w:rFonts w:hint="eastAsia"/>
          <w:szCs w:val="24"/>
        </w:rPr>
        <w:t>项目交通位置图</w:t>
      </w:r>
    </w:p>
    <w:p>
      <w:pPr>
        <w:pStyle w:val="6"/>
        <w:tabs>
          <w:tab w:val="left" w:pos="420"/>
          <w:tab w:val="clear" w:pos="2101"/>
        </w:tabs>
        <w:spacing w:before="156" w:after="156"/>
        <w:ind w:left="720" w:hanging="720"/>
      </w:pPr>
      <w:bookmarkStart w:id="28" w:name="_Toc12109"/>
      <w:bookmarkStart w:id="29" w:name="_Toc76119858"/>
      <w:bookmarkStart w:id="30" w:name="_Toc76119850"/>
      <w:r>
        <w:rPr>
          <w:rFonts w:hint="eastAsia"/>
        </w:rPr>
        <w:t>总平面布置及功能分区</w:t>
      </w:r>
      <w:bookmarkEnd w:id="28"/>
    </w:p>
    <w:p>
      <w:pPr>
        <w:pStyle w:val="7"/>
        <w:spacing w:before="156" w:after="156"/>
        <w:ind w:left="864" w:hanging="864"/>
      </w:pPr>
      <w:r>
        <w:rPr>
          <w:rFonts w:hint="eastAsia"/>
        </w:rPr>
        <w:t>总图功能划分及平面布置</w:t>
      </w:r>
    </w:p>
    <w:p>
      <w:pPr>
        <w:ind w:firstLine="560"/>
      </w:pPr>
      <w:r>
        <w:rPr>
          <w:rFonts w:hint="eastAsia"/>
        </w:rPr>
        <w:t>项目总建筑面积15840m</w:t>
      </w:r>
      <w:r>
        <w:rPr>
          <w:rFonts w:hint="eastAsia"/>
          <w:vertAlign w:val="superscript"/>
        </w:rPr>
        <w:t>2</w:t>
      </w:r>
      <w:r>
        <w:rPr>
          <w:rFonts w:hint="eastAsia"/>
        </w:rPr>
        <w:t>，建筑层数为地上1层，其中1#厂房7128m</w:t>
      </w:r>
      <w:r>
        <w:rPr>
          <w:rFonts w:hint="eastAsia"/>
          <w:vertAlign w:val="superscript"/>
        </w:rPr>
        <w:t>2</w:t>
      </w:r>
      <w:r>
        <w:rPr>
          <w:rFonts w:hint="eastAsia"/>
        </w:rPr>
        <w:t>；2#厂房6336m</w:t>
      </w:r>
      <w:r>
        <w:rPr>
          <w:rFonts w:hint="eastAsia"/>
          <w:vertAlign w:val="superscript"/>
        </w:rPr>
        <w:t>2</w:t>
      </w:r>
      <w:r>
        <w:rPr>
          <w:rFonts w:hint="eastAsia"/>
        </w:rPr>
        <w:t>；过道2336m</w:t>
      </w:r>
      <w:r>
        <w:rPr>
          <w:rFonts w:hint="eastAsia"/>
          <w:vertAlign w:val="superscript"/>
        </w:rPr>
        <w:t>2</w:t>
      </w:r>
      <w:r>
        <w:rPr>
          <w:rFonts w:hint="eastAsia"/>
        </w:rPr>
        <w:t>；建筑高度16.35m，建筑耐火等级二级。</w:t>
      </w:r>
    </w:p>
    <w:p>
      <w:pPr>
        <w:ind w:firstLine="560"/>
      </w:pPr>
      <w:r>
        <w:rPr>
          <w:rFonts w:hint="eastAsia"/>
        </w:rPr>
        <w:t>项目总平面布置根据生产、办公的功能区别划分为两个功能分区：生产区、办公区，生产厂房位于厂区西侧，办公区位于生产厂房东侧，仓库位于办公区东南侧。项目办公区主要设置二栋建（构）筑物：办公楼和门卫室；生产区设置1栋生产厂房和1栋仓库。</w:t>
      </w:r>
    </w:p>
    <w:p>
      <w:pPr>
        <w:ind w:firstLine="560"/>
      </w:pPr>
      <w:r>
        <w:rPr>
          <w:rFonts w:hint="eastAsia"/>
        </w:rPr>
        <w:t>本项目厂区道路为环形布置，采用城市型水泥混凝土路面。路面宽度不小于4m，转弯半径不小于9米，净空高度不小于5m，能满足消防车辆错车、转弯等要求。</w:t>
      </w:r>
    </w:p>
    <w:p>
      <w:pPr>
        <w:pStyle w:val="14"/>
        <w:spacing w:before="156" w:after="156"/>
      </w:pPr>
      <w:r>
        <w:t xml:space="preserve">表 </w:t>
      </w:r>
      <w:r>
        <w:fldChar w:fldCharType="begin"/>
      </w:r>
      <w:r>
        <w:instrText xml:space="preserve"> STYLEREF 2 \s </w:instrText>
      </w:r>
      <w:r>
        <w:fldChar w:fldCharType="separate"/>
      </w:r>
      <w:r>
        <w:t>2.3</w:t>
      </w:r>
      <w:r>
        <w:fldChar w:fldCharType="end"/>
      </w:r>
      <w:r>
        <w:rPr>
          <w:rFonts w:hint="eastAsia"/>
        </w:rPr>
        <w:t>-</w:t>
      </w:r>
      <w:r>
        <w:fldChar w:fldCharType="begin"/>
      </w:r>
      <w:r>
        <w:instrText xml:space="preserve"> SEQ 表 \* ARABIC \s 2 </w:instrText>
      </w:r>
      <w:r>
        <w:fldChar w:fldCharType="separate"/>
      </w:r>
      <w:r>
        <w:t>1</w:t>
      </w:r>
      <w:r>
        <w:fldChar w:fldCharType="end"/>
      </w:r>
      <w:r>
        <w:rPr>
          <w:rFonts w:hint="eastAsia"/>
        </w:rPr>
        <w:t>项目主要建构筑物距离表</w:t>
      </w:r>
    </w:p>
    <w:tbl>
      <w:tblPr>
        <w:tblStyle w:val="29"/>
        <w:tblW w:w="4997"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545"/>
        <w:gridCol w:w="808"/>
        <w:gridCol w:w="1054"/>
        <w:gridCol w:w="665"/>
        <w:gridCol w:w="663"/>
        <w:gridCol w:w="1064"/>
        <w:gridCol w:w="800"/>
        <w:gridCol w:w="191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tblHeader/>
          <w:jc w:val="center"/>
        </w:trPr>
        <w:tc>
          <w:tcPr>
            <w:tcW w:w="907" w:type="pct"/>
            <w:vAlign w:val="center"/>
          </w:tcPr>
          <w:p>
            <w:pPr>
              <w:spacing w:line="240" w:lineRule="auto"/>
              <w:ind w:firstLine="0" w:firstLineChars="0"/>
              <w:jc w:val="center"/>
              <w:rPr>
                <w:rFonts w:ascii="宋体" w:hAnsi="宋体" w:cs="Times New Roman"/>
                <w:kern w:val="0"/>
                <w:sz w:val="21"/>
                <w:szCs w:val="21"/>
              </w:rPr>
            </w:pPr>
            <w:r>
              <w:rPr>
                <w:rFonts w:ascii="宋体" w:hAnsi="宋体" w:cs="Times New Roman"/>
                <w:kern w:val="0"/>
                <w:sz w:val="21"/>
                <w:szCs w:val="21"/>
              </w:rPr>
              <w:t>装置设施名称</w:t>
            </w:r>
          </w:p>
        </w:tc>
        <w:tc>
          <w:tcPr>
            <w:tcW w:w="474" w:type="pct"/>
            <w:vAlign w:val="center"/>
          </w:tcPr>
          <w:p>
            <w:pPr>
              <w:spacing w:line="240" w:lineRule="auto"/>
              <w:ind w:firstLine="0" w:firstLineChars="0"/>
              <w:jc w:val="center"/>
              <w:rPr>
                <w:rFonts w:ascii="宋体" w:hAnsi="宋体" w:cs="Times New Roman"/>
                <w:kern w:val="0"/>
                <w:sz w:val="21"/>
                <w:szCs w:val="21"/>
              </w:rPr>
            </w:pPr>
            <w:r>
              <w:rPr>
                <w:rFonts w:ascii="宋体" w:hAnsi="宋体" w:cs="Times New Roman"/>
                <w:kern w:val="0"/>
                <w:sz w:val="21"/>
                <w:szCs w:val="21"/>
              </w:rPr>
              <w:t>方位</w:t>
            </w:r>
          </w:p>
        </w:tc>
        <w:tc>
          <w:tcPr>
            <w:tcW w:w="618" w:type="pct"/>
            <w:vAlign w:val="center"/>
          </w:tcPr>
          <w:p>
            <w:pPr>
              <w:spacing w:line="240" w:lineRule="auto"/>
              <w:ind w:firstLine="0" w:firstLineChars="0"/>
              <w:jc w:val="center"/>
              <w:rPr>
                <w:rFonts w:ascii="宋体" w:hAnsi="宋体" w:cs="Times New Roman"/>
                <w:kern w:val="0"/>
                <w:sz w:val="21"/>
                <w:szCs w:val="21"/>
              </w:rPr>
            </w:pPr>
            <w:r>
              <w:rPr>
                <w:rFonts w:ascii="宋体" w:hAnsi="宋体" w:cs="Times New Roman"/>
                <w:kern w:val="0"/>
                <w:sz w:val="21"/>
                <w:szCs w:val="21"/>
              </w:rPr>
              <w:t>相邻装置设施名称</w:t>
            </w:r>
          </w:p>
        </w:tc>
        <w:tc>
          <w:tcPr>
            <w:tcW w:w="390" w:type="pct"/>
            <w:vAlign w:val="center"/>
          </w:tcPr>
          <w:p>
            <w:pPr>
              <w:spacing w:line="240" w:lineRule="auto"/>
              <w:ind w:firstLine="0" w:firstLineChars="0"/>
              <w:jc w:val="center"/>
              <w:rPr>
                <w:rFonts w:ascii="宋体" w:hAnsi="宋体" w:cs="Times New Roman"/>
                <w:kern w:val="0"/>
                <w:sz w:val="21"/>
                <w:szCs w:val="21"/>
              </w:rPr>
            </w:pPr>
            <w:r>
              <w:rPr>
                <w:rFonts w:ascii="宋体" w:hAnsi="宋体" w:cs="Times New Roman"/>
                <w:kern w:val="0"/>
                <w:sz w:val="21"/>
                <w:szCs w:val="21"/>
              </w:rPr>
              <w:t>耐火等级</w:t>
            </w:r>
          </w:p>
        </w:tc>
        <w:tc>
          <w:tcPr>
            <w:tcW w:w="389" w:type="pct"/>
            <w:vAlign w:val="center"/>
          </w:tcPr>
          <w:p>
            <w:pPr>
              <w:spacing w:line="240" w:lineRule="auto"/>
              <w:ind w:firstLine="0" w:firstLineChars="0"/>
              <w:jc w:val="center"/>
              <w:rPr>
                <w:rFonts w:ascii="宋体" w:hAnsi="宋体" w:cs="Times New Roman"/>
                <w:kern w:val="0"/>
                <w:sz w:val="21"/>
                <w:szCs w:val="21"/>
              </w:rPr>
            </w:pPr>
            <w:r>
              <w:rPr>
                <w:rFonts w:ascii="宋体" w:hAnsi="宋体" w:cs="Times New Roman"/>
                <w:kern w:val="0"/>
                <w:sz w:val="21"/>
                <w:szCs w:val="21"/>
              </w:rPr>
              <w:t>火灾类别</w:t>
            </w:r>
          </w:p>
        </w:tc>
        <w:tc>
          <w:tcPr>
            <w:tcW w:w="624" w:type="pct"/>
            <w:vAlign w:val="center"/>
          </w:tcPr>
          <w:p>
            <w:pPr>
              <w:spacing w:line="240" w:lineRule="auto"/>
              <w:ind w:firstLine="0" w:firstLineChars="0"/>
              <w:jc w:val="center"/>
              <w:rPr>
                <w:rFonts w:ascii="宋体" w:hAnsi="宋体" w:cs="Times New Roman"/>
                <w:kern w:val="0"/>
                <w:sz w:val="21"/>
                <w:szCs w:val="21"/>
              </w:rPr>
            </w:pPr>
            <w:r>
              <w:rPr>
                <w:rFonts w:ascii="宋体" w:hAnsi="宋体" w:cs="Times New Roman"/>
                <w:kern w:val="0"/>
                <w:sz w:val="21"/>
                <w:szCs w:val="21"/>
              </w:rPr>
              <w:t>实际间距（m）</w:t>
            </w:r>
          </w:p>
        </w:tc>
        <w:tc>
          <w:tcPr>
            <w:tcW w:w="469" w:type="pct"/>
            <w:vAlign w:val="center"/>
          </w:tcPr>
          <w:p>
            <w:pPr>
              <w:spacing w:line="240" w:lineRule="auto"/>
              <w:ind w:firstLine="0" w:firstLineChars="0"/>
              <w:jc w:val="center"/>
              <w:rPr>
                <w:rFonts w:ascii="宋体" w:hAnsi="宋体" w:cs="Times New Roman"/>
                <w:kern w:val="0"/>
                <w:sz w:val="21"/>
                <w:szCs w:val="21"/>
              </w:rPr>
            </w:pPr>
            <w:r>
              <w:rPr>
                <w:rFonts w:ascii="宋体" w:hAnsi="宋体" w:cs="Times New Roman"/>
                <w:kern w:val="0"/>
                <w:sz w:val="21"/>
                <w:szCs w:val="21"/>
              </w:rPr>
              <w:t>标准距离（m）</w:t>
            </w:r>
          </w:p>
        </w:tc>
        <w:tc>
          <w:tcPr>
            <w:tcW w:w="1125" w:type="pct"/>
            <w:vAlign w:val="center"/>
          </w:tcPr>
          <w:p>
            <w:pPr>
              <w:spacing w:line="240" w:lineRule="auto"/>
              <w:ind w:firstLine="0" w:firstLineChars="0"/>
              <w:jc w:val="center"/>
              <w:rPr>
                <w:rFonts w:ascii="宋体" w:hAnsi="宋体" w:cs="Times New Roman"/>
                <w:kern w:val="0"/>
                <w:sz w:val="21"/>
                <w:szCs w:val="21"/>
              </w:rPr>
            </w:pPr>
            <w:r>
              <w:rPr>
                <w:rFonts w:ascii="宋体" w:hAnsi="宋体" w:cs="Times New Roman"/>
                <w:kern w:val="0"/>
                <w:sz w:val="21"/>
                <w:szCs w:val="21"/>
              </w:rPr>
              <w:t>标准依据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07" w:type="pct"/>
            <w:vAlign w:val="center"/>
          </w:tcPr>
          <w:p>
            <w:pPr>
              <w:spacing w:line="240" w:lineRule="auto"/>
              <w:ind w:firstLine="0" w:firstLineChars="0"/>
              <w:jc w:val="center"/>
              <w:rPr>
                <w:rFonts w:ascii="宋体" w:hAnsi="宋体" w:cs="Times New Roman"/>
                <w:kern w:val="0"/>
                <w:sz w:val="21"/>
                <w:szCs w:val="21"/>
              </w:rPr>
            </w:pPr>
            <w:r>
              <w:rPr>
                <w:rFonts w:hint="eastAsia" w:ascii="宋体" w:hAnsi="宋体" w:cs="Times New Roman"/>
                <w:kern w:val="0"/>
                <w:sz w:val="21"/>
                <w:szCs w:val="21"/>
              </w:rPr>
              <w:t>办公楼</w:t>
            </w:r>
          </w:p>
        </w:tc>
        <w:tc>
          <w:tcPr>
            <w:tcW w:w="474" w:type="pct"/>
            <w:vAlign w:val="center"/>
          </w:tcPr>
          <w:p>
            <w:pPr>
              <w:spacing w:line="240" w:lineRule="auto"/>
              <w:ind w:firstLine="0" w:firstLineChars="0"/>
              <w:jc w:val="center"/>
              <w:rPr>
                <w:rFonts w:ascii="宋体" w:hAnsi="宋体" w:cs="Times New Roman"/>
                <w:kern w:val="0"/>
                <w:sz w:val="21"/>
                <w:szCs w:val="21"/>
              </w:rPr>
            </w:pPr>
            <w:r>
              <w:rPr>
                <w:rFonts w:hint="eastAsia" w:ascii="宋体" w:hAnsi="宋体" w:cs="Times New Roman"/>
                <w:kern w:val="0"/>
                <w:sz w:val="21"/>
                <w:szCs w:val="21"/>
              </w:rPr>
              <w:t>东北</w:t>
            </w:r>
          </w:p>
        </w:tc>
        <w:tc>
          <w:tcPr>
            <w:tcW w:w="618" w:type="pct"/>
            <w:vAlign w:val="center"/>
          </w:tcPr>
          <w:p>
            <w:pPr>
              <w:spacing w:line="240" w:lineRule="auto"/>
              <w:ind w:firstLine="0" w:firstLineChars="0"/>
              <w:jc w:val="center"/>
              <w:rPr>
                <w:rFonts w:ascii="宋体" w:hAnsi="宋体" w:cs="Times New Roman"/>
                <w:kern w:val="0"/>
                <w:sz w:val="21"/>
                <w:szCs w:val="21"/>
              </w:rPr>
            </w:pPr>
            <w:r>
              <w:rPr>
                <w:rFonts w:hint="eastAsia" w:ascii="宋体" w:hAnsi="宋体" w:cs="Times New Roman"/>
                <w:kern w:val="0"/>
                <w:sz w:val="21"/>
                <w:szCs w:val="21"/>
              </w:rPr>
              <w:t>机加工车间</w:t>
            </w:r>
          </w:p>
        </w:tc>
        <w:tc>
          <w:tcPr>
            <w:tcW w:w="390" w:type="pct"/>
            <w:vAlign w:val="center"/>
          </w:tcPr>
          <w:p>
            <w:pPr>
              <w:spacing w:line="240" w:lineRule="auto"/>
              <w:ind w:firstLine="0" w:firstLineChars="0"/>
              <w:jc w:val="center"/>
              <w:rPr>
                <w:rFonts w:ascii="宋体" w:hAnsi="宋体" w:cs="Times New Roman"/>
                <w:kern w:val="0"/>
                <w:sz w:val="21"/>
                <w:szCs w:val="21"/>
              </w:rPr>
            </w:pPr>
            <w:r>
              <w:rPr>
                <w:rFonts w:hint="eastAsia" w:ascii="宋体" w:hAnsi="宋体" w:cs="Times New Roman"/>
                <w:kern w:val="0"/>
                <w:sz w:val="21"/>
                <w:szCs w:val="21"/>
              </w:rPr>
              <w:t>二级</w:t>
            </w:r>
          </w:p>
        </w:tc>
        <w:tc>
          <w:tcPr>
            <w:tcW w:w="389" w:type="pct"/>
            <w:vAlign w:val="center"/>
          </w:tcPr>
          <w:p>
            <w:pPr>
              <w:spacing w:line="240" w:lineRule="auto"/>
              <w:ind w:firstLine="0" w:firstLineChars="0"/>
              <w:jc w:val="center"/>
              <w:rPr>
                <w:rFonts w:ascii="宋体" w:hAnsi="宋体" w:cs="Times New Roman"/>
                <w:kern w:val="0"/>
                <w:sz w:val="21"/>
                <w:szCs w:val="21"/>
              </w:rPr>
            </w:pPr>
            <w:r>
              <w:rPr>
                <w:rFonts w:hint="eastAsia" w:ascii="宋体" w:hAnsi="宋体" w:cs="Times New Roman"/>
                <w:kern w:val="0"/>
                <w:sz w:val="21"/>
                <w:szCs w:val="21"/>
              </w:rPr>
              <w:t>民建</w:t>
            </w:r>
          </w:p>
        </w:tc>
        <w:tc>
          <w:tcPr>
            <w:tcW w:w="624" w:type="pct"/>
            <w:vAlign w:val="center"/>
          </w:tcPr>
          <w:p>
            <w:pPr>
              <w:spacing w:line="240" w:lineRule="auto"/>
              <w:ind w:firstLine="0" w:firstLineChars="0"/>
              <w:jc w:val="center"/>
              <w:rPr>
                <w:rFonts w:ascii="宋体" w:hAnsi="宋体" w:cs="Times New Roman"/>
                <w:kern w:val="0"/>
                <w:sz w:val="21"/>
                <w:szCs w:val="21"/>
              </w:rPr>
            </w:pPr>
            <w:r>
              <w:rPr>
                <w:rFonts w:hint="eastAsia" w:ascii="宋体" w:hAnsi="宋体" w:cs="Times New Roman"/>
                <w:kern w:val="0"/>
                <w:sz w:val="21"/>
                <w:szCs w:val="21"/>
              </w:rPr>
              <w:t>18.1m</w:t>
            </w:r>
          </w:p>
        </w:tc>
        <w:tc>
          <w:tcPr>
            <w:tcW w:w="469" w:type="pct"/>
            <w:vAlign w:val="center"/>
          </w:tcPr>
          <w:p>
            <w:pPr>
              <w:spacing w:line="240" w:lineRule="auto"/>
              <w:ind w:firstLine="0" w:firstLineChars="0"/>
              <w:jc w:val="center"/>
              <w:rPr>
                <w:rFonts w:ascii="宋体" w:hAnsi="宋体" w:cs="Times New Roman"/>
                <w:kern w:val="0"/>
                <w:sz w:val="21"/>
                <w:szCs w:val="21"/>
              </w:rPr>
            </w:pPr>
            <w:r>
              <w:rPr>
                <w:rFonts w:hint="eastAsia" w:ascii="宋体" w:hAnsi="宋体" w:cs="Times New Roman"/>
                <w:kern w:val="0"/>
                <w:sz w:val="21"/>
                <w:szCs w:val="21"/>
              </w:rPr>
              <w:t>10</w:t>
            </w:r>
          </w:p>
        </w:tc>
        <w:tc>
          <w:tcPr>
            <w:tcW w:w="1125" w:type="pct"/>
            <w:vAlign w:val="center"/>
          </w:tcPr>
          <w:p>
            <w:pPr>
              <w:spacing w:line="240" w:lineRule="auto"/>
              <w:ind w:firstLine="0" w:firstLineChars="0"/>
              <w:jc w:val="center"/>
              <w:rPr>
                <w:rFonts w:ascii="宋体" w:hAnsi="宋体" w:cs="Times New Roman"/>
                <w:kern w:val="0"/>
                <w:sz w:val="21"/>
                <w:szCs w:val="21"/>
              </w:rPr>
            </w:pPr>
            <w:r>
              <w:rPr>
                <w:rFonts w:ascii="宋体" w:hAnsi="宋体" w:cs="Times New Roman"/>
                <w:kern w:val="0"/>
                <w:sz w:val="21"/>
                <w:szCs w:val="21"/>
              </w:rPr>
              <w:t>《建筑设计防火规范（2018年版）》</w:t>
            </w:r>
            <w:r>
              <w:rPr>
                <w:rFonts w:hint="eastAsia" w:ascii="宋体" w:hAnsi="宋体" w:cs="Times New Roman"/>
                <w:kern w:val="0"/>
                <w:sz w:val="21"/>
                <w:szCs w:val="21"/>
              </w:rPr>
              <w:t>（GB50016-2014）第3.4.1条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07" w:type="pct"/>
            <w:vAlign w:val="center"/>
          </w:tcPr>
          <w:p>
            <w:pPr>
              <w:spacing w:line="240" w:lineRule="auto"/>
              <w:ind w:firstLine="0" w:firstLineChars="0"/>
              <w:jc w:val="center"/>
              <w:rPr>
                <w:rFonts w:ascii="宋体" w:hAnsi="宋体" w:cs="Times New Roman"/>
                <w:kern w:val="0"/>
                <w:sz w:val="21"/>
                <w:szCs w:val="21"/>
              </w:rPr>
            </w:pPr>
            <w:r>
              <w:rPr>
                <w:rFonts w:hint="eastAsia" w:ascii="宋体" w:hAnsi="宋体" w:cs="Times New Roman"/>
                <w:kern w:val="0"/>
                <w:sz w:val="21"/>
                <w:szCs w:val="21"/>
              </w:rPr>
              <w:t>机加工车间（丁类）</w:t>
            </w:r>
          </w:p>
        </w:tc>
        <w:tc>
          <w:tcPr>
            <w:tcW w:w="474" w:type="pct"/>
            <w:vAlign w:val="center"/>
          </w:tcPr>
          <w:p>
            <w:pPr>
              <w:spacing w:line="240" w:lineRule="auto"/>
              <w:ind w:firstLine="0" w:firstLineChars="0"/>
              <w:jc w:val="center"/>
              <w:rPr>
                <w:rFonts w:ascii="宋体" w:hAnsi="宋体" w:cs="Times New Roman"/>
                <w:kern w:val="0"/>
                <w:sz w:val="21"/>
                <w:szCs w:val="21"/>
              </w:rPr>
            </w:pPr>
            <w:r>
              <w:rPr>
                <w:rFonts w:hint="eastAsia" w:ascii="宋体" w:hAnsi="宋体" w:cs="Times New Roman"/>
                <w:kern w:val="0"/>
                <w:sz w:val="21"/>
                <w:szCs w:val="21"/>
              </w:rPr>
              <w:t>北</w:t>
            </w:r>
          </w:p>
        </w:tc>
        <w:tc>
          <w:tcPr>
            <w:tcW w:w="618" w:type="pct"/>
            <w:vAlign w:val="center"/>
          </w:tcPr>
          <w:p>
            <w:pPr>
              <w:spacing w:line="240" w:lineRule="auto"/>
              <w:ind w:firstLine="0" w:firstLineChars="0"/>
              <w:jc w:val="center"/>
              <w:rPr>
                <w:rFonts w:ascii="宋体" w:hAnsi="宋体" w:cs="Times New Roman"/>
                <w:kern w:val="0"/>
                <w:sz w:val="21"/>
                <w:szCs w:val="21"/>
              </w:rPr>
            </w:pPr>
            <w:r>
              <w:rPr>
                <w:rFonts w:hint="eastAsia" w:ascii="宋体" w:hAnsi="宋体" w:cs="Times New Roman"/>
                <w:kern w:val="0"/>
                <w:sz w:val="21"/>
                <w:szCs w:val="21"/>
              </w:rPr>
              <w:t>门卫室</w:t>
            </w:r>
          </w:p>
        </w:tc>
        <w:tc>
          <w:tcPr>
            <w:tcW w:w="390" w:type="pct"/>
            <w:vAlign w:val="center"/>
          </w:tcPr>
          <w:p>
            <w:pPr>
              <w:spacing w:line="240" w:lineRule="auto"/>
              <w:ind w:firstLine="0" w:firstLineChars="0"/>
              <w:jc w:val="center"/>
              <w:rPr>
                <w:rFonts w:ascii="宋体" w:hAnsi="宋体" w:cs="Times New Roman"/>
                <w:kern w:val="0"/>
                <w:sz w:val="21"/>
                <w:szCs w:val="21"/>
              </w:rPr>
            </w:pPr>
            <w:r>
              <w:rPr>
                <w:rFonts w:hint="eastAsia" w:ascii="宋体" w:hAnsi="宋体" w:cs="Times New Roman"/>
                <w:kern w:val="0"/>
                <w:sz w:val="21"/>
                <w:szCs w:val="21"/>
              </w:rPr>
              <w:t>二级</w:t>
            </w:r>
          </w:p>
        </w:tc>
        <w:tc>
          <w:tcPr>
            <w:tcW w:w="389" w:type="pct"/>
            <w:vAlign w:val="center"/>
          </w:tcPr>
          <w:p>
            <w:pPr>
              <w:spacing w:line="240" w:lineRule="auto"/>
              <w:ind w:firstLine="0" w:firstLineChars="0"/>
              <w:jc w:val="center"/>
              <w:rPr>
                <w:rFonts w:ascii="宋体" w:hAnsi="宋体" w:cs="Times New Roman"/>
                <w:kern w:val="0"/>
                <w:sz w:val="21"/>
                <w:szCs w:val="21"/>
              </w:rPr>
            </w:pPr>
            <w:r>
              <w:rPr>
                <w:rFonts w:hint="eastAsia" w:ascii="宋体" w:hAnsi="宋体" w:cs="Times New Roman"/>
                <w:kern w:val="0"/>
                <w:sz w:val="21"/>
                <w:szCs w:val="21"/>
              </w:rPr>
              <w:t>民建</w:t>
            </w:r>
          </w:p>
        </w:tc>
        <w:tc>
          <w:tcPr>
            <w:tcW w:w="624" w:type="pct"/>
            <w:vAlign w:val="center"/>
          </w:tcPr>
          <w:p>
            <w:pPr>
              <w:spacing w:line="240" w:lineRule="auto"/>
              <w:ind w:firstLine="0" w:firstLineChars="0"/>
              <w:jc w:val="center"/>
              <w:rPr>
                <w:rFonts w:ascii="宋体" w:hAnsi="宋体" w:cs="Times New Roman"/>
                <w:kern w:val="0"/>
                <w:sz w:val="21"/>
                <w:szCs w:val="21"/>
              </w:rPr>
            </w:pPr>
            <w:r>
              <w:rPr>
                <w:rFonts w:hint="eastAsia" w:ascii="宋体" w:hAnsi="宋体" w:cs="Times New Roman"/>
                <w:kern w:val="0"/>
                <w:sz w:val="21"/>
                <w:szCs w:val="21"/>
              </w:rPr>
              <w:t>24.7</w:t>
            </w:r>
          </w:p>
        </w:tc>
        <w:tc>
          <w:tcPr>
            <w:tcW w:w="469" w:type="pct"/>
            <w:vAlign w:val="center"/>
          </w:tcPr>
          <w:p>
            <w:pPr>
              <w:spacing w:line="240" w:lineRule="auto"/>
              <w:ind w:firstLine="0" w:firstLineChars="0"/>
              <w:jc w:val="center"/>
              <w:rPr>
                <w:rFonts w:ascii="宋体" w:hAnsi="宋体" w:cs="Times New Roman"/>
                <w:kern w:val="0"/>
                <w:sz w:val="21"/>
                <w:szCs w:val="21"/>
              </w:rPr>
            </w:pPr>
            <w:r>
              <w:rPr>
                <w:rFonts w:hint="eastAsia" w:ascii="宋体" w:hAnsi="宋体" w:cs="Times New Roman"/>
                <w:kern w:val="0"/>
                <w:sz w:val="21"/>
                <w:szCs w:val="21"/>
              </w:rPr>
              <w:t>10</w:t>
            </w:r>
          </w:p>
        </w:tc>
        <w:tc>
          <w:tcPr>
            <w:tcW w:w="1125" w:type="pct"/>
            <w:vAlign w:val="center"/>
          </w:tcPr>
          <w:p>
            <w:pPr>
              <w:spacing w:line="240" w:lineRule="auto"/>
              <w:ind w:firstLine="0" w:firstLineChars="0"/>
              <w:jc w:val="center"/>
              <w:rPr>
                <w:rFonts w:ascii="宋体" w:hAnsi="宋体" w:cs="Times New Roman"/>
                <w:kern w:val="0"/>
                <w:sz w:val="21"/>
                <w:szCs w:val="21"/>
              </w:rPr>
            </w:pPr>
            <w:r>
              <w:rPr>
                <w:rFonts w:ascii="宋体" w:hAnsi="宋体" w:cs="Times New Roman"/>
                <w:kern w:val="0"/>
                <w:sz w:val="21"/>
                <w:szCs w:val="21"/>
              </w:rPr>
              <w:t>《建筑设计防火规范（2018年版）》</w:t>
            </w:r>
            <w:r>
              <w:rPr>
                <w:rFonts w:hint="eastAsia" w:ascii="宋体" w:hAnsi="宋体" w:cs="Times New Roman"/>
                <w:kern w:val="0"/>
                <w:sz w:val="21"/>
                <w:szCs w:val="21"/>
              </w:rPr>
              <w:t>（GB50016-2014）第3.4.1条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07" w:type="pct"/>
            <w:vAlign w:val="center"/>
          </w:tcPr>
          <w:p>
            <w:pPr>
              <w:spacing w:line="240" w:lineRule="auto"/>
              <w:ind w:firstLine="0" w:firstLineChars="0"/>
              <w:jc w:val="center"/>
              <w:rPr>
                <w:rFonts w:cs="Times New Roman"/>
                <w:sz w:val="21"/>
                <w:szCs w:val="20"/>
              </w:rPr>
            </w:pPr>
            <w:r>
              <w:rPr>
                <w:rFonts w:hint="eastAsia" w:cs="Times New Roman"/>
                <w:sz w:val="21"/>
                <w:szCs w:val="20"/>
              </w:rPr>
              <w:t>铸造车间</w:t>
            </w:r>
          </w:p>
          <w:p>
            <w:pPr>
              <w:spacing w:line="240" w:lineRule="auto"/>
              <w:ind w:firstLine="0" w:firstLineChars="0"/>
              <w:jc w:val="center"/>
              <w:rPr>
                <w:rFonts w:ascii="宋体" w:hAnsi="宋体" w:cs="Times New Roman"/>
                <w:kern w:val="0"/>
                <w:sz w:val="21"/>
                <w:szCs w:val="21"/>
              </w:rPr>
            </w:pPr>
            <w:r>
              <w:rPr>
                <w:rFonts w:hint="eastAsia" w:cs="Times New Roman"/>
                <w:sz w:val="21"/>
                <w:szCs w:val="20"/>
              </w:rPr>
              <w:t>（丁类）</w:t>
            </w:r>
          </w:p>
        </w:tc>
        <w:tc>
          <w:tcPr>
            <w:tcW w:w="474" w:type="pct"/>
            <w:vAlign w:val="center"/>
          </w:tcPr>
          <w:p>
            <w:pPr>
              <w:spacing w:line="240" w:lineRule="auto"/>
              <w:ind w:firstLine="0" w:firstLineChars="0"/>
              <w:jc w:val="center"/>
              <w:rPr>
                <w:rFonts w:ascii="宋体" w:hAnsi="宋体" w:cs="Times New Roman"/>
                <w:kern w:val="0"/>
                <w:sz w:val="21"/>
                <w:szCs w:val="21"/>
              </w:rPr>
            </w:pPr>
            <w:r>
              <w:rPr>
                <w:rFonts w:hint="eastAsia" w:ascii="宋体" w:hAnsi="宋体" w:cs="Times New Roman"/>
                <w:kern w:val="0"/>
                <w:sz w:val="21"/>
                <w:szCs w:val="21"/>
              </w:rPr>
              <w:t>中、西</w:t>
            </w:r>
          </w:p>
        </w:tc>
        <w:tc>
          <w:tcPr>
            <w:tcW w:w="618" w:type="pct"/>
            <w:vAlign w:val="center"/>
          </w:tcPr>
          <w:p>
            <w:pPr>
              <w:spacing w:line="240" w:lineRule="auto"/>
              <w:ind w:firstLine="0" w:firstLineChars="0"/>
              <w:jc w:val="center"/>
              <w:rPr>
                <w:rFonts w:ascii="宋体" w:hAnsi="宋体" w:cs="Times New Roman"/>
                <w:kern w:val="0"/>
                <w:sz w:val="21"/>
                <w:szCs w:val="21"/>
              </w:rPr>
            </w:pPr>
            <w:r>
              <w:rPr>
                <w:rFonts w:hint="eastAsia" w:ascii="宋体" w:hAnsi="宋体" w:cs="Times New Roman"/>
                <w:kern w:val="0"/>
                <w:sz w:val="21"/>
                <w:szCs w:val="21"/>
              </w:rPr>
              <w:t>仓库（乙类）</w:t>
            </w:r>
          </w:p>
        </w:tc>
        <w:tc>
          <w:tcPr>
            <w:tcW w:w="390" w:type="pct"/>
            <w:vAlign w:val="center"/>
          </w:tcPr>
          <w:p>
            <w:pPr>
              <w:spacing w:line="240" w:lineRule="auto"/>
              <w:ind w:firstLine="0" w:firstLineChars="0"/>
              <w:jc w:val="center"/>
              <w:rPr>
                <w:rFonts w:ascii="宋体" w:hAnsi="宋体" w:cs="Times New Roman"/>
                <w:kern w:val="0"/>
                <w:sz w:val="21"/>
                <w:szCs w:val="21"/>
              </w:rPr>
            </w:pPr>
            <w:r>
              <w:rPr>
                <w:rFonts w:hint="eastAsia" w:ascii="宋体" w:hAnsi="宋体" w:cs="Times New Roman"/>
                <w:kern w:val="0"/>
                <w:sz w:val="21"/>
                <w:szCs w:val="21"/>
              </w:rPr>
              <w:t>二级</w:t>
            </w:r>
          </w:p>
        </w:tc>
        <w:tc>
          <w:tcPr>
            <w:tcW w:w="389" w:type="pct"/>
            <w:vAlign w:val="center"/>
          </w:tcPr>
          <w:p>
            <w:pPr>
              <w:spacing w:line="240" w:lineRule="auto"/>
              <w:ind w:firstLine="0" w:firstLineChars="0"/>
              <w:jc w:val="center"/>
              <w:rPr>
                <w:rFonts w:ascii="宋体" w:hAnsi="宋体" w:cs="Times New Roman"/>
                <w:kern w:val="0"/>
                <w:sz w:val="21"/>
                <w:szCs w:val="21"/>
              </w:rPr>
            </w:pPr>
            <w:r>
              <w:rPr>
                <w:rFonts w:hint="eastAsia" w:ascii="宋体" w:hAnsi="宋体" w:cs="Times New Roman"/>
                <w:kern w:val="0"/>
                <w:sz w:val="21"/>
                <w:szCs w:val="21"/>
              </w:rPr>
              <w:t>民建</w:t>
            </w:r>
          </w:p>
        </w:tc>
        <w:tc>
          <w:tcPr>
            <w:tcW w:w="624" w:type="pct"/>
            <w:vAlign w:val="center"/>
          </w:tcPr>
          <w:p>
            <w:pPr>
              <w:spacing w:line="240" w:lineRule="auto"/>
              <w:ind w:firstLine="0" w:firstLineChars="0"/>
              <w:jc w:val="center"/>
              <w:rPr>
                <w:rFonts w:ascii="宋体" w:hAnsi="宋体" w:cs="Times New Roman"/>
                <w:kern w:val="0"/>
                <w:sz w:val="21"/>
                <w:szCs w:val="21"/>
              </w:rPr>
            </w:pPr>
            <w:r>
              <w:rPr>
                <w:rFonts w:hint="eastAsia" w:ascii="宋体" w:hAnsi="宋体" w:cs="Times New Roman"/>
                <w:kern w:val="0"/>
                <w:sz w:val="21"/>
                <w:szCs w:val="21"/>
              </w:rPr>
              <w:t>16.5</w:t>
            </w:r>
          </w:p>
        </w:tc>
        <w:tc>
          <w:tcPr>
            <w:tcW w:w="469" w:type="pct"/>
            <w:vAlign w:val="center"/>
          </w:tcPr>
          <w:p>
            <w:pPr>
              <w:spacing w:line="240" w:lineRule="auto"/>
              <w:ind w:firstLine="0" w:firstLineChars="0"/>
              <w:jc w:val="center"/>
              <w:rPr>
                <w:rFonts w:ascii="宋体" w:hAnsi="宋体" w:cs="Times New Roman"/>
                <w:kern w:val="0"/>
                <w:sz w:val="21"/>
                <w:szCs w:val="21"/>
              </w:rPr>
            </w:pPr>
            <w:r>
              <w:rPr>
                <w:rFonts w:hint="eastAsia" w:ascii="宋体" w:hAnsi="宋体" w:cs="Times New Roman"/>
                <w:kern w:val="0"/>
                <w:sz w:val="21"/>
                <w:szCs w:val="21"/>
              </w:rPr>
              <w:t>10</w:t>
            </w:r>
          </w:p>
        </w:tc>
        <w:tc>
          <w:tcPr>
            <w:tcW w:w="1125" w:type="pct"/>
            <w:vAlign w:val="center"/>
          </w:tcPr>
          <w:p>
            <w:pPr>
              <w:spacing w:line="240" w:lineRule="auto"/>
              <w:ind w:firstLine="0" w:firstLineChars="0"/>
              <w:jc w:val="center"/>
              <w:rPr>
                <w:rFonts w:ascii="宋体" w:hAnsi="宋体" w:cs="Times New Roman"/>
                <w:kern w:val="0"/>
                <w:sz w:val="21"/>
                <w:szCs w:val="21"/>
              </w:rPr>
            </w:pPr>
            <w:r>
              <w:rPr>
                <w:rFonts w:ascii="宋体" w:hAnsi="宋体" w:cs="Times New Roman"/>
                <w:kern w:val="0"/>
                <w:sz w:val="21"/>
                <w:szCs w:val="21"/>
              </w:rPr>
              <w:t>《建筑设计防火规范（2018年版）》</w:t>
            </w:r>
            <w:r>
              <w:rPr>
                <w:rFonts w:hint="eastAsia" w:ascii="宋体" w:hAnsi="宋体" w:cs="Times New Roman"/>
                <w:kern w:val="0"/>
                <w:sz w:val="21"/>
                <w:szCs w:val="21"/>
              </w:rPr>
              <w:t>（GB50016-2014）第3.4.1条</w:t>
            </w:r>
          </w:p>
        </w:tc>
      </w:tr>
    </w:tbl>
    <w:p>
      <w:pPr>
        <w:ind w:firstLine="560"/>
      </w:pPr>
      <w:r>
        <w:rPr>
          <w:rFonts w:hint="eastAsia"/>
          <w:lang w:val="zh-CN"/>
        </w:rPr>
        <w:t>主要装置（设备）与设施布局见表2.</w:t>
      </w:r>
      <w:r>
        <w:rPr>
          <w:rFonts w:hint="eastAsia"/>
        </w:rPr>
        <w:t>3</w:t>
      </w:r>
      <w:r>
        <w:rPr>
          <w:rFonts w:hint="eastAsia"/>
          <w:lang w:val="zh-CN"/>
        </w:rPr>
        <w:t>-</w:t>
      </w:r>
      <w:r>
        <w:rPr>
          <w:rFonts w:hint="eastAsia"/>
        </w:rPr>
        <w:t>2。</w:t>
      </w:r>
    </w:p>
    <w:p>
      <w:pPr>
        <w:pStyle w:val="14"/>
        <w:spacing w:before="156" w:after="156"/>
        <w:ind w:firstLine="482" w:firstLineChars="200"/>
      </w:pPr>
      <w:r>
        <w:t xml:space="preserve">表 </w:t>
      </w:r>
      <w:r>
        <w:fldChar w:fldCharType="begin"/>
      </w:r>
      <w:r>
        <w:instrText xml:space="preserve"> STYLEREF 2 \s </w:instrText>
      </w:r>
      <w:r>
        <w:fldChar w:fldCharType="separate"/>
      </w:r>
      <w:r>
        <w:t>2.3</w:t>
      </w:r>
      <w:r>
        <w:fldChar w:fldCharType="end"/>
      </w:r>
      <w:r>
        <w:rPr>
          <w:rFonts w:hint="eastAsia"/>
        </w:rPr>
        <w:t>-</w:t>
      </w:r>
      <w:r>
        <w:fldChar w:fldCharType="begin"/>
      </w:r>
      <w:r>
        <w:instrText xml:space="preserve"> SEQ 表 \* ARABIC \s 2 </w:instrText>
      </w:r>
      <w:r>
        <w:fldChar w:fldCharType="separate"/>
      </w:r>
      <w:r>
        <w:t>2</w:t>
      </w:r>
      <w:r>
        <w:fldChar w:fldCharType="end"/>
      </w:r>
      <w:r>
        <w:rPr>
          <w:rFonts w:hint="eastAsia"/>
        </w:rPr>
        <w:t>主要装置（设备）与设施布局</w:t>
      </w:r>
    </w:p>
    <w:tbl>
      <w:tblPr>
        <w:tblStyle w:val="29"/>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89"/>
        <w:gridCol w:w="1607"/>
        <w:gridCol w:w="602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2" w:type="pct"/>
            <w:vAlign w:val="center"/>
          </w:tcPr>
          <w:p>
            <w:pPr>
              <w:snapToGrid w:val="0"/>
              <w:spacing w:line="240" w:lineRule="auto"/>
              <w:ind w:firstLine="0" w:firstLineChars="0"/>
              <w:jc w:val="center"/>
              <w:rPr>
                <w:rFonts w:ascii="宋体" w:hAnsi="宋体" w:cs="宋体"/>
                <w:b/>
                <w:bCs/>
                <w:sz w:val="24"/>
                <w:szCs w:val="24"/>
                <w:lang w:bidi="ar"/>
              </w:rPr>
            </w:pPr>
            <w:r>
              <w:rPr>
                <w:rFonts w:hint="eastAsia" w:ascii="宋体" w:hAnsi="宋体" w:cs="宋体"/>
                <w:b/>
                <w:bCs/>
                <w:sz w:val="24"/>
                <w:szCs w:val="24"/>
                <w:lang w:bidi="ar"/>
              </w:rPr>
              <w:t>序号</w:t>
            </w:r>
          </w:p>
        </w:tc>
        <w:tc>
          <w:tcPr>
            <w:tcW w:w="943" w:type="pct"/>
            <w:vAlign w:val="center"/>
          </w:tcPr>
          <w:p>
            <w:pPr>
              <w:snapToGrid w:val="0"/>
              <w:spacing w:line="240" w:lineRule="auto"/>
              <w:ind w:firstLine="0" w:firstLineChars="0"/>
              <w:jc w:val="center"/>
              <w:rPr>
                <w:rFonts w:ascii="宋体" w:hAnsi="宋体" w:cs="宋体"/>
                <w:b/>
                <w:bCs/>
                <w:sz w:val="24"/>
                <w:szCs w:val="24"/>
                <w:lang w:bidi="ar"/>
              </w:rPr>
            </w:pPr>
            <w:r>
              <w:rPr>
                <w:rFonts w:hint="eastAsia" w:ascii="宋体" w:hAnsi="宋体" w:cs="宋体"/>
                <w:b/>
                <w:bCs/>
                <w:sz w:val="24"/>
                <w:szCs w:val="24"/>
                <w:lang w:bidi="ar"/>
              </w:rPr>
              <w:t>名称</w:t>
            </w:r>
          </w:p>
        </w:tc>
        <w:tc>
          <w:tcPr>
            <w:tcW w:w="3534" w:type="pct"/>
            <w:vAlign w:val="center"/>
          </w:tcPr>
          <w:p>
            <w:pPr>
              <w:snapToGrid w:val="0"/>
              <w:spacing w:line="240" w:lineRule="auto"/>
              <w:ind w:firstLine="0" w:firstLineChars="0"/>
              <w:jc w:val="center"/>
              <w:rPr>
                <w:rFonts w:ascii="宋体" w:hAnsi="宋体" w:cs="宋体"/>
                <w:b/>
                <w:bCs/>
                <w:sz w:val="24"/>
                <w:szCs w:val="24"/>
                <w:lang w:bidi="ar"/>
              </w:rPr>
            </w:pPr>
            <w:r>
              <w:rPr>
                <w:rFonts w:hint="eastAsia" w:ascii="宋体" w:hAnsi="宋体" w:cs="宋体"/>
                <w:b/>
                <w:bCs/>
                <w:sz w:val="24"/>
                <w:szCs w:val="24"/>
                <w:lang w:bidi="ar"/>
              </w:rPr>
              <w:t>所在位置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2" w:type="pct"/>
            <w:vAlign w:val="center"/>
          </w:tcPr>
          <w:p>
            <w:pPr>
              <w:snapToGrid w:val="0"/>
              <w:spacing w:line="240" w:lineRule="auto"/>
              <w:ind w:firstLine="0" w:firstLineChars="0"/>
              <w:jc w:val="center"/>
              <w:rPr>
                <w:rFonts w:ascii="宋体" w:hAnsi="宋体" w:cs="宋体"/>
                <w:b/>
                <w:bCs/>
                <w:sz w:val="24"/>
                <w:szCs w:val="24"/>
                <w:lang w:bidi="ar"/>
              </w:rPr>
            </w:pPr>
            <w:r>
              <w:rPr>
                <w:rFonts w:hint="eastAsia" w:ascii="宋体" w:hAnsi="宋体" w:cs="宋体"/>
                <w:b/>
                <w:bCs/>
                <w:sz w:val="24"/>
                <w:szCs w:val="24"/>
                <w:lang w:bidi="ar"/>
              </w:rPr>
              <w:t>1</w:t>
            </w:r>
          </w:p>
        </w:tc>
        <w:tc>
          <w:tcPr>
            <w:tcW w:w="943" w:type="pct"/>
            <w:vAlign w:val="center"/>
          </w:tcPr>
          <w:p>
            <w:pPr>
              <w:snapToGrid w:val="0"/>
              <w:spacing w:line="240" w:lineRule="auto"/>
              <w:ind w:firstLine="0" w:firstLineChars="0"/>
              <w:jc w:val="center"/>
              <w:rPr>
                <w:rFonts w:ascii="宋体" w:hAnsi="宋体" w:cs="宋体"/>
                <w:b/>
                <w:bCs/>
                <w:sz w:val="24"/>
                <w:szCs w:val="24"/>
                <w:lang w:bidi="ar"/>
              </w:rPr>
            </w:pPr>
            <w:r>
              <w:rPr>
                <w:rFonts w:hint="eastAsia" w:ascii="宋体" w:hAnsi="宋体" w:cs="宋体"/>
                <w:b/>
                <w:bCs/>
                <w:sz w:val="24"/>
                <w:szCs w:val="24"/>
                <w:lang w:bidi="ar"/>
              </w:rPr>
              <w:t>厂房</w:t>
            </w:r>
          </w:p>
        </w:tc>
        <w:tc>
          <w:tcPr>
            <w:tcW w:w="3534" w:type="pct"/>
            <w:vAlign w:val="center"/>
          </w:tcPr>
          <w:p>
            <w:pPr>
              <w:snapToGrid w:val="0"/>
              <w:spacing w:line="240" w:lineRule="auto"/>
              <w:ind w:firstLine="0" w:firstLineChars="0"/>
              <w:jc w:val="both"/>
              <w:rPr>
                <w:rFonts w:ascii="宋体" w:hAnsi="宋体" w:cs="宋体"/>
                <w:b/>
                <w:bCs/>
                <w:sz w:val="24"/>
                <w:szCs w:val="24"/>
                <w:lang w:bidi="ar"/>
              </w:rPr>
            </w:pPr>
            <w:r>
              <w:rPr>
                <w:rFonts w:hint="eastAsia" w:ascii="宋体" w:hAnsi="宋体" w:cs="宋体"/>
                <w:sz w:val="24"/>
                <w:szCs w:val="24"/>
                <w:lang w:bidi="ar"/>
              </w:rPr>
              <w:t>厂区中部及西部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2" w:type="pct"/>
            <w:vMerge w:val="restart"/>
            <w:vAlign w:val="center"/>
          </w:tcPr>
          <w:p>
            <w:pPr>
              <w:snapToGrid w:val="0"/>
              <w:spacing w:line="240" w:lineRule="auto"/>
              <w:ind w:firstLine="0" w:firstLineChars="0"/>
              <w:jc w:val="center"/>
              <w:rPr>
                <w:rFonts w:ascii="宋体" w:hAnsi="宋体" w:cs="宋体"/>
                <w:sz w:val="24"/>
                <w:szCs w:val="24"/>
                <w:lang w:bidi="ar"/>
              </w:rPr>
            </w:pPr>
            <w:r>
              <w:rPr>
                <w:rFonts w:hint="eastAsia" w:ascii="宋体" w:hAnsi="宋体" w:cs="宋体"/>
                <w:sz w:val="24"/>
                <w:szCs w:val="24"/>
                <w:lang w:bidi="ar"/>
              </w:rPr>
              <w:t>包括</w:t>
            </w:r>
          </w:p>
        </w:tc>
        <w:tc>
          <w:tcPr>
            <w:tcW w:w="943" w:type="pct"/>
            <w:vAlign w:val="center"/>
          </w:tcPr>
          <w:p>
            <w:pPr>
              <w:snapToGrid w:val="0"/>
              <w:spacing w:line="240" w:lineRule="auto"/>
              <w:ind w:firstLine="0" w:firstLineChars="0"/>
              <w:rPr>
                <w:rFonts w:ascii="宋体" w:hAnsi="宋体" w:cs="宋体"/>
                <w:sz w:val="24"/>
                <w:szCs w:val="24"/>
                <w:lang w:bidi="ar"/>
              </w:rPr>
            </w:pPr>
            <w:r>
              <w:rPr>
                <w:rFonts w:hint="eastAsia" w:ascii="宋体" w:hAnsi="宋体" w:cs="宋体"/>
                <w:sz w:val="24"/>
                <w:szCs w:val="24"/>
                <w:lang w:bidi="ar"/>
              </w:rPr>
              <w:t>熔炼区</w:t>
            </w:r>
          </w:p>
        </w:tc>
        <w:tc>
          <w:tcPr>
            <w:tcW w:w="3534" w:type="pct"/>
            <w:vAlign w:val="center"/>
          </w:tcPr>
          <w:p>
            <w:pPr>
              <w:snapToGrid w:val="0"/>
              <w:spacing w:line="240" w:lineRule="auto"/>
              <w:ind w:firstLine="0" w:firstLineChars="0"/>
              <w:rPr>
                <w:rFonts w:ascii="宋体" w:hAnsi="宋体" w:cs="宋体"/>
                <w:sz w:val="24"/>
                <w:szCs w:val="24"/>
                <w:lang w:bidi="ar"/>
              </w:rPr>
            </w:pPr>
            <w:r>
              <w:rPr>
                <w:rFonts w:hint="eastAsia" w:ascii="宋体" w:hAnsi="宋体" w:cs="宋体"/>
                <w:sz w:val="24"/>
                <w:szCs w:val="24"/>
                <w:lang w:bidi="ar"/>
              </w:rPr>
              <w:t>铸造车间东侧，设有中频炉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2" w:type="pct"/>
            <w:vMerge w:val="continue"/>
            <w:vAlign w:val="center"/>
          </w:tcPr>
          <w:p>
            <w:pPr>
              <w:snapToGrid w:val="0"/>
              <w:spacing w:line="240" w:lineRule="auto"/>
              <w:ind w:firstLine="0" w:firstLineChars="0"/>
              <w:jc w:val="center"/>
              <w:rPr>
                <w:rFonts w:ascii="宋体" w:hAnsi="宋体" w:cs="宋体"/>
                <w:sz w:val="24"/>
                <w:szCs w:val="24"/>
                <w:lang w:bidi="ar"/>
              </w:rPr>
            </w:pPr>
          </w:p>
        </w:tc>
        <w:tc>
          <w:tcPr>
            <w:tcW w:w="943" w:type="pct"/>
            <w:vAlign w:val="center"/>
          </w:tcPr>
          <w:p>
            <w:pPr>
              <w:snapToGrid w:val="0"/>
              <w:spacing w:line="240" w:lineRule="auto"/>
              <w:ind w:firstLine="0" w:firstLineChars="0"/>
              <w:rPr>
                <w:rFonts w:ascii="宋体" w:hAnsi="宋体" w:cs="宋体"/>
                <w:sz w:val="24"/>
                <w:szCs w:val="24"/>
                <w:lang w:bidi="ar"/>
              </w:rPr>
            </w:pPr>
            <w:r>
              <w:rPr>
                <w:rFonts w:hint="eastAsia" w:ascii="宋体" w:hAnsi="宋体" w:cs="宋体"/>
                <w:sz w:val="24"/>
                <w:szCs w:val="24"/>
                <w:lang w:bidi="ar"/>
              </w:rPr>
              <w:t>砂处理区</w:t>
            </w:r>
          </w:p>
        </w:tc>
        <w:tc>
          <w:tcPr>
            <w:tcW w:w="3534" w:type="pct"/>
            <w:vAlign w:val="center"/>
          </w:tcPr>
          <w:p>
            <w:pPr>
              <w:snapToGrid w:val="0"/>
              <w:spacing w:line="240" w:lineRule="auto"/>
              <w:ind w:firstLine="0" w:firstLineChars="0"/>
              <w:rPr>
                <w:rFonts w:ascii="宋体" w:hAnsi="宋体" w:cs="宋体"/>
                <w:sz w:val="24"/>
                <w:szCs w:val="24"/>
                <w:lang w:bidi="ar"/>
              </w:rPr>
            </w:pPr>
            <w:r>
              <w:rPr>
                <w:rFonts w:hint="eastAsia" w:ascii="宋体" w:hAnsi="宋体" w:cs="宋体"/>
                <w:sz w:val="24"/>
                <w:szCs w:val="24"/>
                <w:lang w:bidi="ar"/>
              </w:rPr>
              <w:t>铸造车间南侧，设有洗砂机及皮带运输机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2" w:type="pct"/>
            <w:vMerge w:val="continue"/>
            <w:vAlign w:val="center"/>
          </w:tcPr>
          <w:p>
            <w:pPr>
              <w:snapToGrid w:val="0"/>
              <w:spacing w:line="240" w:lineRule="auto"/>
              <w:ind w:firstLine="0" w:firstLineChars="0"/>
              <w:jc w:val="center"/>
              <w:rPr>
                <w:rFonts w:ascii="宋体" w:hAnsi="宋体" w:cs="宋体"/>
                <w:sz w:val="24"/>
                <w:szCs w:val="24"/>
                <w:lang w:bidi="ar"/>
              </w:rPr>
            </w:pPr>
          </w:p>
        </w:tc>
        <w:tc>
          <w:tcPr>
            <w:tcW w:w="943" w:type="pct"/>
            <w:vAlign w:val="center"/>
          </w:tcPr>
          <w:p>
            <w:pPr>
              <w:snapToGrid w:val="0"/>
              <w:spacing w:line="240" w:lineRule="auto"/>
              <w:ind w:firstLine="0" w:firstLineChars="0"/>
              <w:rPr>
                <w:rFonts w:ascii="宋体" w:hAnsi="宋体" w:cs="宋体"/>
                <w:sz w:val="24"/>
                <w:szCs w:val="24"/>
                <w:lang w:bidi="ar"/>
              </w:rPr>
            </w:pPr>
            <w:r>
              <w:rPr>
                <w:rFonts w:hint="eastAsia" w:ascii="宋体" w:hAnsi="宋体" w:cs="宋体"/>
                <w:sz w:val="24"/>
                <w:szCs w:val="24"/>
                <w:lang w:bidi="ar"/>
              </w:rPr>
              <w:t>浇铸区</w:t>
            </w:r>
          </w:p>
        </w:tc>
        <w:tc>
          <w:tcPr>
            <w:tcW w:w="3534" w:type="pct"/>
            <w:vAlign w:val="center"/>
          </w:tcPr>
          <w:p>
            <w:pPr>
              <w:snapToGrid w:val="0"/>
              <w:spacing w:line="240" w:lineRule="auto"/>
              <w:ind w:firstLine="0" w:firstLineChars="0"/>
              <w:rPr>
                <w:rFonts w:ascii="宋体" w:hAnsi="宋体" w:cs="宋体"/>
                <w:sz w:val="24"/>
                <w:szCs w:val="24"/>
                <w:lang w:bidi="ar"/>
              </w:rPr>
            </w:pPr>
            <w:r>
              <w:rPr>
                <w:rFonts w:hint="eastAsia" w:ascii="宋体" w:hAnsi="宋体" w:cs="宋体"/>
                <w:sz w:val="24"/>
                <w:szCs w:val="24"/>
                <w:lang w:bidi="ar"/>
              </w:rPr>
              <w:t>铸造车间中部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2" w:type="pct"/>
            <w:vMerge w:val="continue"/>
            <w:vAlign w:val="center"/>
          </w:tcPr>
          <w:p>
            <w:pPr>
              <w:snapToGrid w:val="0"/>
              <w:spacing w:line="240" w:lineRule="auto"/>
              <w:ind w:firstLine="0" w:firstLineChars="0"/>
              <w:jc w:val="center"/>
              <w:rPr>
                <w:rFonts w:ascii="宋体" w:hAnsi="宋体" w:cs="宋体"/>
                <w:sz w:val="24"/>
                <w:szCs w:val="24"/>
                <w:lang w:bidi="ar"/>
              </w:rPr>
            </w:pPr>
          </w:p>
        </w:tc>
        <w:tc>
          <w:tcPr>
            <w:tcW w:w="943" w:type="pct"/>
            <w:vAlign w:val="center"/>
          </w:tcPr>
          <w:p>
            <w:pPr>
              <w:snapToGrid w:val="0"/>
              <w:spacing w:line="240" w:lineRule="auto"/>
              <w:ind w:firstLine="0" w:firstLineChars="0"/>
              <w:rPr>
                <w:rFonts w:ascii="宋体" w:hAnsi="宋体" w:cs="宋体"/>
                <w:sz w:val="24"/>
                <w:szCs w:val="24"/>
                <w:lang w:bidi="ar"/>
              </w:rPr>
            </w:pPr>
            <w:r>
              <w:rPr>
                <w:rFonts w:hint="eastAsia" w:ascii="宋体" w:hAnsi="宋体" w:cs="宋体"/>
                <w:sz w:val="24"/>
                <w:szCs w:val="24"/>
                <w:lang w:bidi="ar"/>
              </w:rPr>
              <w:t>喷粉区</w:t>
            </w:r>
          </w:p>
        </w:tc>
        <w:tc>
          <w:tcPr>
            <w:tcW w:w="3534" w:type="pct"/>
            <w:vAlign w:val="center"/>
          </w:tcPr>
          <w:p>
            <w:pPr>
              <w:snapToGrid w:val="0"/>
              <w:spacing w:line="240" w:lineRule="auto"/>
              <w:ind w:firstLine="0" w:firstLineChars="0"/>
              <w:rPr>
                <w:rFonts w:ascii="宋体" w:hAnsi="宋体" w:cs="宋体"/>
                <w:sz w:val="24"/>
                <w:szCs w:val="24"/>
                <w:lang w:bidi="ar"/>
              </w:rPr>
            </w:pPr>
            <w:r>
              <w:rPr>
                <w:rFonts w:hint="eastAsia" w:ascii="宋体" w:hAnsi="宋体" w:cs="宋体"/>
                <w:sz w:val="24"/>
                <w:szCs w:val="24"/>
                <w:lang w:bidi="ar"/>
              </w:rPr>
              <w:t>带顶露天跨西侧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2" w:type="pct"/>
            <w:vMerge w:val="continue"/>
            <w:vAlign w:val="center"/>
          </w:tcPr>
          <w:p>
            <w:pPr>
              <w:snapToGrid w:val="0"/>
              <w:spacing w:line="240" w:lineRule="auto"/>
              <w:ind w:firstLine="0" w:firstLineChars="0"/>
              <w:jc w:val="center"/>
              <w:rPr>
                <w:rFonts w:ascii="宋体" w:hAnsi="宋体" w:cs="宋体"/>
                <w:sz w:val="24"/>
                <w:szCs w:val="24"/>
                <w:lang w:bidi="ar"/>
              </w:rPr>
            </w:pPr>
          </w:p>
        </w:tc>
        <w:tc>
          <w:tcPr>
            <w:tcW w:w="943" w:type="pct"/>
            <w:vAlign w:val="center"/>
          </w:tcPr>
          <w:p>
            <w:pPr>
              <w:snapToGrid w:val="0"/>
              <w:spacing w:line="240" w:lineRule="auto"/>
              <w:ind w:firstLine="0" w:firstLineChars="0"/>
              <w:rPr>
                <w:rFonts w:ascii="宋体" w:hAnsi="宋体" w:cs="宋体"/>
                <w:sz w:val="24"/>
                <w:szCs w:val="24"/>
                <w:lang w:bidi="ar"/>
              </w:rPr>
            </w:pPr>
            <w:r>
              <w:rPr>
                <w:rFonts w:hint="eastAsia" w:ascii="宋体" w:hAnsi="宋体" w:cs="宋体"/>
                <w:sz w:val="24"/>
                <w:szCs w:val="24"/>
                <w:lang w:bidi="ar"/>
              </w:rPr>
              <w:t>机加工区</w:t>
            </w:r>
          </w:p>
        </w:tc>
        <w:tc>
          <w:tcPr>
            <w:tcW w:w="3534" w:type="pct"/>
            <w:vAlign w:val="center"/>
          </w:tcPr>
          <w:p>
            <w:pPr>
              <w:snapToGrid w:val="0"/>
              <w:spacing w:line="240" w:lineRule="auto"/>
              <w:ind w:firstLine="0" w:firstLineChars="0"/>
              <w:rPr>
                <w:rFonts w:ascii="宋体" w:hAnsi="宋体" w:cs="宋体"/>
                <w:sz w:val="24"/>
                <w:szCs w:val="24"/>
                <w:lang w:bidi="ar"/>
              </w:rPr>
            </w:pPr>
            <w:r>
              <w:rPr>
                <w:rFonts w:hint="eastAsia" w:ascii="宋体" w:hAnsi="宋体" w:cs="宋体"/>
                <w:sz w:val="24"/>
                <w:szCs w:val="24"/>
                <w:lang w:bidi="ar"/>
              </w:rPr>
              <w:t>机加工车间中部及西侧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2" w:type="pct"/>
            <w:vMerge w:val="continue"/>
            <w:vAlign w:val="center"/>
          </w:tcPr>
          <w:p>
            <w:pPr>
              <w:snapToGrid w:val="0"/>
              <w:spacing w:line="240" w:lineRule="auto"/>
              <w:ind w:firstLine="0" w:firstLineChars="0"/>
              <w:jc w:val="center"/>
              <w:rPr>
                <w:rFonts w:ascii="宋体" w:hAnsi="宋体" w:cs="宋体"/>
                <w:sz w:val="24"/>
                <w:szCs w:val="24"/>
                <w:lang w:bidi="ar"/>
              </w:rPr>
            </w:pPr>
          </w:p>
        </w:tc>
        <w:tc>
          <w:tcPr>
            <w:tcW w:w="943" w:type="pct"/>
            <w:vAlign w:val="center"/>
          </w:tcPr>
          <w:p>
            <w:pPr>
              <w:snapToGrid w:val="0"/>
              <w:spacing w:line="240" w:lineRule="auto"/>
              <w:ind w:firstLine="0" w:firstLineChars="0"/>
              <w:rPr>
                <w:rFonts w:ascii="宋体" w:hAnsi="宋体" w:cs="宋体"/>
                <w:sz w:val="24"/>
                <w:szCs w:val="24"/>
                <w:lang w:bidi="ar"/>
              </w:rPr>
            </w:pPr>
            <w:r>
              <w:rPr>
                <w:rFonts w:hint="eastAsia" w:ascii="宋体" w:hAnsi="宋体" w:cs="宋体"/>
                <w:sz w:val="24"/>
                <w:szCs w:val="24"/>
                <w:lang w:bidi="ar"/>
              </w:rPr>
              <w:t>喷涂区</w:t>
            </w:r>
          </w:p>
        </w:tc>
        <w:tc>
          <w:tcPr>
            <w:tcW w:w="3534" w:type="pct"/>
            <w:vAlign w:val="center"/>
          </w:tcPr>
          <w:p>
            <w:pPr>
              <w:snapToGrid w:val="0"/>
              <w:spacing w:line="240" w:lineRule="auto"/>
              <w:ind w:firstLine="0" w:firstLineChars="0"/>
              <w:rPr>
                <w:rFonts w:ascii="宋体" w:hAnsi="宋体" w:cs="宋体"/>
                <w:sz w:val="24"/>
                <w:szCs w:val="24"/>
                <w:lang w:bidi="ar"/>
              </w:rPr>
            </w:pPr>
            <w:r>
              <w:rPr>
                <w:rFonts w:hint="eastAsia" w:ascii="宋体" w:hAnsi="宋体" w:cs="宋体"/>
                <w:sz w:val="24"/>
                <w:szCs w:val="24"/>
                <w:lang w:bidi="ar"/>
              </w:rPr>
              <w:t>机加工车间西侧，与固废间贴</w:t>
            </w:r>
            <w:r>
              <w:rPr>
                <w:rFonts w:hint="eastAsia" w:ascii="宋体" w:hAnsi="宋体" w:cs="宋体"/>
                <w:sz w:val="24"/>
                <w:szCs w:val="24"/>
                <w:lang w:eastAsia="zh-CN" w:bidi="ar"/>
              </w:rPr>
              <w:t>邻</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2" w:type="pct"/>
            <w:vMerge w:val="continue"/>
            <w:vAlign w:val="center"/>
          </w:tcPr>
          <w:p>
            <w:pPr>
              <w:snapToGrid w:val="0"/>
              <w:spacing w:line="240" w:lineRule="auto"/>
              <w:ind w:firstLine="0" w:firstLineChars="0"/>
              <w:jc w:val="center"/>
              <w:rPr>
                <w:rFonts w:ascii="宋体" w:hAnsi="宋体" w:cs="宋体"/>
                <w:sz w:val="24"/>
                <w:szCs w:val="24"/>
                <w:lang w:bidi="ar"/>
              </w:rPr>
            </w:pPr>
          </w:p>
        </w:tc>
        <w:tc>
          <w:tcPr>
            <w:tcW w:w="943" w:type="pct"/>
            <w:vAlign w:val="center"/>
          </w:tcPr>
          <w:p>
            <w:pPr>
              <w:snapToGrid w:val="0"/>
              <w:spacing w:line="240" w:lineRule="auto"/>
              <w:ind w:firstLine="0" w:firstLineChars="0"/>
              <w:rPr>
                <w:rFonts w:ascii="宋体" w:hAnsi="宋体" w:cs="宋体"/>
                <w:sz w:val="24"/>
                <w:szCs w:val="24"/>
                <w:lang w:bidi="ar"/>
              </w:rPr>
            </w:pPr>
            <w:r>
              <w:rPr>
                <w:rFonts w:hint="eastAsia" w:ascii="宋体" w:hAnsi="宋体" w:cs="宋体"/>
                <w:sz w:val="24"/>
                <w:szCs w:val="24"/>
                <w:lang w:bidi="ar"/>
              </w:rPr>
              <w:t>涂料储存区</w:t>
            </w:r>
          </w:p>
        </w:tc>
        <w:tc>
          <w:tcPr>
            <w:tcW w:w="3534" w:type="pct"/>
            <w:vAlign w:val="center"/>
          </w:tcPr>
          <w:p>
            <w:pPr>
              <w:snapToGrid w:val="0"/>
              <w:spacing w:line="240" w:lineRule="auto"/>
              <w:ind w:firstLine="0" w:firstLineChars="0"/>
              <w:rPr>
                <w:rFonts w:ascii="宋体" w:hAnsi="宋体" w:cs="宋体"/>
                <w:sz w:val="24"/>
                <w:szCs w:val="24"/>
                <w:lang w:bidi="ar"/>
              </w:rPr>
            </w:pPr>
            <w:r>
              <w:rPr>
                <w:rFonts w:hint="eastAsia" w:ascii="宋体" w:hAnsi="宋体" w:cs="宋体"/>
                <w:sz w:val="24"/>
                <w:szCs w:val="24"/>
                <w:lang w:bidi="ar"/>
              </w:rPr>
              <w:t>机加工车间北侧临时仓库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2" w:type="pct"/>
            <w:vMerge w:val="continue"/>
            <w:vAlign w:val="center"/>
          </w:tcPr>
          <w:p>
            <w:pPr>
              <w:snapToGrid w:val="0"/>
              <w:spacing w:line="240" w:lineRule="auto"/>
              <w:ind w:firstLine="0" w:firstLineChars="0"/>
              <w:jc w:val="center"/>
              <w:rPr>
                <w:rFonts w:ascii="宋体" w:hAnsi="宋体" w:cs="宋体"/>
                <w:sz w:val="24"/>
                <w:szCs w:val="24"/>
                <w:lang w:bidi="ar"/>
              </w:rPr>
            </w:pPr>
          </w:p>
        </w:tc>
        <w:tc>
          <w:tcPr>
            <w:tcW w:w="943" w:type="pct"/>
            <w:vAlign w:val="center"/>
          </w:tcPr>
          <w:p>
            <w:pPr>
              <w:snapToGrid w:val="0"/>
              <w:spacing w:line="240" w:lineRule="auto"/>
              <w:ind w:firstLine="0" w:firstLineChars="0"/>
              <w:rPr>
                <w:rFonts w:ascii="宋体" w:hAnsi="宋体" w:cs="宋体"/>
                <w:sz w:val="24"/>
                <w:szCs w:val="24"/>
                <w:lang w:bidi="ar"/>
              </w:rPr>
            </w:pPr>
            <w:r>
              <w:rPr>
                <w:rFonts w:hint="eastAsia" w:ascii="宋体" w:hAnsi="宋体" w:cs="宋体"/>
                <w:sz w:val="24"/>
                <w:szCs w:val="24"/>
                <w:lang w:bidi="ar"/>
              </w:rPr>
              <w:t>成品暂存区</w:t>
            </w:r>
          </w:p>
        </w:tc>
        <w:tc>
          <w:tcPr>
            <w:tcW w:w="3534" w:type="pct"/>
            <w:vAlign w:val="center"/>
          </w:tcPr>
          <w:p>
            <w:pPr>
              <w:snapToGrid w:val="0"/>
              <w:spacing w:line="240" w:lineRule="auto"/>
              <w:ind w:firstLine="0" w:firstLineChars="0"/>
              <w:rPr>
                <w:rFonts w:ascii="宋体" w:hAnsi="宋体" w:cs="宋体"/>
                <w:sz w:val="24"/>
                <w:szCs w:val="24"/>
                <w:lang w:bidi="ar"/>
              </w:rPr>
            </w:pPr>
            <w:r>
              <w:rPr>
                <w:rFonts w:hint="eastAsia" w:ascii="宋体" w:hAnsi="宋体" w:cs="宋体"/>
                <w:sz w:val="24"/>
                <w:szCs w:val="24"/>
                <w:lang w:bidi="ar"/>
              </w:rPr>
              <w:t>机加工车间东侧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2" w:type="pct"/>
            <w:vMerge w:val="continue"/>
            <w:vAlign w:val="center"/>
          </w:tcPr>
          <w:p>
            <w:pPr>
              <w:snapToGrid w:val="0"/>
              <w:spacing w:line="240" w:lineRule="auto"/>
              <w:ind w:firstLine="0" w:firstLineChars="0"/>
              <w:jc w:val="center"/>
              <w:rPr>
                <w:rFonts w:ascii="宋体" w:hAnsi="宋体" w:cs="宋体"/>
                <w:sz w:val="24"/>
                <w:szCs w:val="24"/>
                <w:lang w:bidi="ar"/>
              </w:rPr>
            </w:pPr>
          </w:p>
        </w:tc>
        <w:tc>
          <w:tcPr>
            <w:tcW w:w="943" w:type="pct"/>
            <w:vAlign w:val="center"/>
          </w:tcPr>
          <w:p>
            <w:pPr>
              <w:snapToGrid w:val="0"/>
              <w:spacing w:line="240" w:lineRule="auto"/>
              <w:ind w:firstLine="0" w:firstLineChars="0"/>
              <w:rPr>
                <w:rFonts w:ascii="宋体" w:hAnsi="宋体" w:cs="宋体"/>
                <w:sz w:val="24"/>
                <w:szCs w:val="24"/>
                <w:lang w:bidi="ar"/>
              </w:rPr>
            </w:pPr>
            <w:r>
              <w:rPr>
                <w:rFonts w:hint="eastAsia" w:ascii="宋体" w:hAnsi="宋体" w:cs="宋体"/>
                <w:sz w:val="24"/>
                <w:szCs w:val="24"/>
                <w:lang w:bidi="ar"/>
              </w:rPr>
              <w:t>原材料区</w:t>
            </w:r>
          </w:p>
        </w:tc>
        <w:tc>
          <w:tcPr>
            <w:tcW w:w="3534" w:type="pct"/>
            <w:vAlign w:val="center"/>
          </w:tcPr>
          <w:p>
            <w:pPr>
              <w:snapToGrid w:val="0"/>
              <w:spacing w:line="240" w:lineRule="auto"/>
              <w:ind w:firstLine="0" w:firstLineChars="0"/>
              <w:rPr>
                <w:rFonts w:ascii="宋体" w:hAnsi="宋体" w:cs="宋体"/>
                <w:sz w:val="24"/>
                <w:szCs w:val="24"/>
                <w:lang w:bidi="ar"/>
              </w:rPr>
            </w:pPr>
            <w:r>
              <w:rPr>
                <w:rFonts w:hint="eastAsia" w:ascii="宋体" w:hAnsi="宋体" w:cs="宋体"/>
                <w:sz w:val="24"/>
                <w:szCs w:val="24"/>
                <w:lang w:bidi="ar"/>
              </w:rPr>
              <w:t>铸造车间东侧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2" w:type="pct"/>
            <w:vMerge w:val="continue"/>
            <w:vAlign w:val="center"/>
          </w:tcPr>
          <w:p>
            <w:pPr>
              <w:snapToGrid w:val="0"/>
              <w:spacing w:line="240" w:lineRule="auto"/>
              <w:ind w:firstLine="0" w:firstLineChars="0"/>
              <w:jc w:val="center"/>
              <w:rPr>
                <w:rFonts w:ascii="宋体" w:hAnsi="宋体" w:cs="宋体"/>
                <w:sz w:val="24"/>
                <w:szCs w:val="24"/>
                <w:lang w:bidi="ar"/>
              </w:rPr>
            </w:pPr>
          </w:p>
        </w:tc>
        <w:tc>
          <w:tcPr>
            <w:tcW w:w="943" w:type="pct"/>
            <w:vAlign w:val="center"/>
          </w:tcPr>
          <w:p>
            <w:pPr>
              <w:snapToGrid w:val="0"/>
              <w:spacing w:line="240" w:lineRule="auto"/>
              <w:ind w:firstLine="0" w:firstLineChars="0"/>
              <w:rPr>
                <w:rFonts w:ascii="宋体" w:hAnsi="宋体" w:cs="宋体"/>
                <w:sz w:val="24"/>
                <w:szCs w:val="24"/>
                <w:lang w:bidi="ar"/>
              </w:rPr>
            </w:pPr>
            <w:r>
              <w:rPr>
                <w:rFonts w:hint="eastAsia" w:ascii="宋体" w:hAnsi="宋体" w:cs="宋体"/>
                <w:sz w:val="24"/>
                <w:szCs w:val="24"/>
                <w:lang w:bidi="ar"/>
              </w:rPr>
              <w:t>配电室</w:t>
            </w:r>
          </w:p>
        </w:tc>
        <w:tc>
          <w:tcPr>
            <w:tcW w:w="3534" w:type="pct"/>
            <w:vAlign w:val="center"/>
          </w:tcPr>
          <w:p>
            <w:pPr>
              <w:snapToGrid w:val="0"/>
              <w:spacing w:line="240" w:lineRule="auto"/>
              <w:ind w:firstLine="0" w:firstLineChars="0"/>
              <w:rPr>
                <w:rFonts w:ascii="宋体" w:hAnsi="宋体" w:cs="宋体"/>
                <w:sz w:val="24"/>
                <w:szCs w:val="24"/>
                <w:lang w:bidi="ar"/>
              </w:rPr>
            </w:pPr>
            <w:r>
              <w:rPr>
                <w:rFonts w:hint="eastAsia" w:ascii="宋体" w:hAnsi="宋体" w:cs="宋体"/>
                <w:sz w:val="24"/>
                <w:szCs w:val="24"/>
                <w:lang w:bidi="ar"/>
              </w:rPr>
              <w:t>铸造车间东侧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2" w:type="pct"/>
            <w:vMerge w:val="continue"/>
            <w:vAlign w:val="center"/>
          </w:tcPr>
          <w:p>
            <w:pPr>
              <w:snapToGrid w:val="0"/>
              <w:spacing w:line="240" w:lineRule="auto"/>
              <w:ind w:firstLine="0" w:firstLineChars="0"/>
              <w:jc w:val="center"/>
              <w:rPr>
                <w:rFonts w:ascii="宋体" w:hAnsi="宋体" w:cs="宋体"/>
                <w:sz w:val="24"/>
                <w:szCs w:val="24"/>
                <w:lang w:bidi="ar"/>
              </w:rPr>
            </w:pPr>
          </w:p>
        </w:tc>
        <w:tc>
          <w:tcPr>
            <w:tcW w:w="943" w:type="pct"/>
            <w:vAlign w:val="center"/>
          </w:tcPr>
          <w:p>
            <w:pPr>
              <w:snapToGrid w:val="0"/>
              <w:spacing w:line="240" w:lineRule="auto"/>
              <w:ind w:firstLine="0" w:firstLineChars="0"/>
              <w:rPr>
                <w:rFonts w:ascii="宋体" w:hAnsi="宋体" w:cs="宋体"/>
                <w:sz w:val="24"/>
                <w:szCs w:val="24"/>
                <w:lang w:bidi="ar"/>
              </w:rPr>
            </w:pPr>
            <w:r>
              <w:rPr>
                <w:rFonts w:hint="eastAsia" w:ascii="宋体" w:hAnsi="宋体" w:cs="宋体"/>
                <w:sz w:val="24"/>
                <w:szCs w:val="24"/>
                <w:lang w:bidi="ar"/>
              </w:rPr>
              <w:t>空压机房</w:t>
            </w:r>
          </w:p>
        </w:tc>
        <w:tc>
          <w:tcPr>
            <w:tcW w:w="3534" w:type="pct"/>
            <w:vAlign w:val="center"/>
          </w:tcPr>
          <w:p>
            <w:pPr>
              <w:snapToGrid w:val="0"/>
              <w:spacing w:line="240" w:lineRule="auto"/>
              <w:ind w:firstLine="0" w:firstLineChars="0"/>
              <w:rPr>
                <w:rFonts w:ascii="宋体" w:hAnsi="宋体" w:cs="宋体"/>
                <w:sz w:val="24"/>
                <w:szCs w:val="24"/>
                <w:lang w:bidi="ar"/>
              </w:rPr>
            </w:pPr>
            <w:r>
              <w:rPr>
                <w:rFonts w:hint="eastAsia" w:ascii="宋体" w:hAnsi="宋体" w:cs="宋体"/>
                <w:sz w:val="24"/>
                <w:szCs w:val="24"/>
                <w:lang w:bidi="ar"/>
              </w:rPr>
              <w:t>铸造车间东侧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2" w:type="pct"/>
            <w:vMerge w:val="continue"/>
            <w:vAlign w:val="center"/>
          </w:tcPr>
          <w:p>
            <w:pPr>
              <w:snapToGrid w:val="0"/>
              <w:spacing w:line="240" w:lineRule="auto"/>
              <w:ind w:firstLine="0" w:firstLineChars="0"/>
              <w:jc w:val="center"/>
              <w:rPr>
                <w:rFonts w:ascii="宋体" w:hAnsi="宋体" w:cs="宋体"/>
                <w:sz w:val="24"/>
                <w:szCs w:val="24"/>
                <w:lang w:bidi="ar"/>
              </w:rPr>
            </w:pPr>
          </w:p>
        </w:tc>
        <w:tc>
          <w:tcPr>
            <w:tcW w:w="943" w:type="pct"/>
            <w:vAlign w:val="center"/>
          </w:tcPr>
          <w:p>
            <w:pPr>
              <w:snapToGrid w:val="0"/>
              <w:spacing w:line="240" w:lineRule="auto"/>
              <w:ind w:firstLine="0" w:firstLineChars="0"/>
              <w:rPr>
                <w:rFonts w:ascii="宋体" w:hAnsi="宋体" w:cs="宋体"/>
                <w:sz w:val="24"/>
                <w:szCs w:val="24"/>
                <w:lang w:bidi="ar"/>
              </w:rPr>
            </w:pPr>
            <w:r>
              <w:rPr>
                <w:rFonts w:hint="eastAsia" w:ascii="宋体" w:hAnsi="宋体" w:cs="宋体"/>
                <w:sz w:val="24"/>
                <w:szCs w:val="24"/>
                <w:lang w:bidi="ar"/>
              </w:rPr>
              <w:t>除尘设施</w:t>
            </w:r>
          </w:p>
        </w:tc>
        <w:tc>
          <w:tcPr>
            <w:tcW w:w="3534" w:type="pct"/>
            <w:vAlign w:val="center"/>
          </w:tcPr>
          <w:p>
            <w:pPr>
              <w:snapToGrid w:val="0"/>
              <w:spacing w:line="240" w:lineRule="auto"/>
              <w:ind w:firstLine="0" w:firstLineChars="0"/>
              <w:rPr>
                <w:rFonts w:ascii="宋体" w:hAnsi="宋体" w:cs="宋体"/>
                <w:sz w:val="24"/>
                <w:szCs w:val="24"/>
                <w:lang w:bidi="ar"/>
              </w:rPr>
            </w:pPr>
            <w:r>
              <w:rPr>
                <w:rFonts w:hint="eastAsia" w:ascii="宋体" w:hAnsi="宋体" w:cs="宋体"/>
                <w:sz w:val="24"/>
                <w:szCs w:val="24"/>
                <w:lang w:bidi="ar"/>
              </w:rPr>
              <w:t>铸造车间东侧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2" w:type="pct"/>
            <w:vAlign w:val="center"/>
          </w:tcPr>
          <w:p>
            <w:pPr>
              <w:snapToGrid w:val="0"/>
              <w:spacing w:line="240" w:lineRule="auto"/>
              <w:ind w:firstLine="0" w:firstLineChars="0"/>
              <w:jc w:val="center"/>
              <w:rPr>
                <w:rFonts w:ascii="宋体" w:hAnsi="宋体" w:cs="宋体"/>
                <w:b/>
                <w:bCs/>
                <w:sz w:val="24"/>
                <w:szCs w:val="24"/>
                <w:lang w:bidi="ar"/>
              </w:rPr>
            </w:pPr>
            <w:r>
              <w:rPr>
                <w:rFonts w:hint="eastAsia" w:ascii="宋体" w:hAnsi="宋体" w:cs="宋体"/>
                <w:b/>
                <w:bCs/>
                <w:sz w:val="24"/>
                <w:szCs w:val="24"/>
                <w:lang w:bidi="ar"/>
              </w:rPr>
              <w:t>2</w:t>
            </w:r>
          </w:p>
        </w:tc>
        <w:tc>
          <w:tcPr>
            <w:tcW w:w="943" w:type="pct"/>
            <w:vAlign w:val="center"/>
          </w:tcPr>
          <w:p>
            <w:pPr>
              <w:snapToGrid w:val="0"/>
              <w:spacing w:line="240" w:lineRule="auto"/>
              <w:ind w:firstLine="0" w:firstLineChars="0"/>
              <w:jc w:val="center"/>
              <w:rPr>
                <w:rFonts w:ascii="宋体" w:hAnsi="宋体" w:cs="宋体"/>
                <w:b/>
                <w:bCs/>
                <w:sz w:val="24"/>
                <w:szCs w:val="24"/>
                <w:lang w:bidi="ar"/>
              </w:rPr>
            </w:pPr>
            <w:r>
              <w:rPr>
                <w:rFonts w:hint="eastAsia" w:ascii="宋体" w:hAnsi="宋体" w:cs="宋体"/>
                <w:b/>
                <w:bCs/>
                <w:sz w:val="24"/>
                <w:szCs w:val="24"/>
                <w:lang w:bidi="ar"/>
              </w:rPr>
              <w:t>办公楼</w:t>
            </w:r>
          </w:p>
        </w:tc>
        <w:tc>
          <w:tcPr>
            <w:tcW w:w="3534" w:type="pct"/>
            <w:vAlign w:val="center"/>
          </w:tcPr>
          <w:p>
            <w:pPr>
              <w:snapToGrid w:val="0"/>
              <w:spacing w:line="240" w:lineRule="auto"/>
              <w:ind w:firstLine="0" w:firstLineChars="0"/>
              <w:jc w:val="both"/>
              <w:rPr>
                <w:rFonts w:ascii="宋体" w:hAnsi="宋体" w:cs="宋体"/>
                <w:b/>
                <w:bCs/>
                <w:sz w:val="24"/>
                <w:szCs w:val="24"/>
                <w:lang w:bidi="ar"/>
              </w:rPr>
            </w:pPr>
            <w:r>
              <w:rPr>
                <w:rFonts w:hint="eastAsia" w:ascii="宋体" w:hAnsi="宋体" w:cs="宋体"/>
                <w:sz w:val="24"/>
                <w:szCs w:val="24"/>
                <w:lang w:bidi="ar"/>
              </w:rPr>
              <w:t>厂区东北侧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2" w:type="pct"/>
            <w:vAlign w:val="center"/>
          </w:tcPr>
          <w:p>
            <w:pPr>
              <w:snapToGrid w:val="0"/>
              <w:spacing w:line="240" w:lineRule="auto"/>
              <w:ind w:firstLine="0" w:firstLineChars="0"/>
              <w:jc w:val="center"/>
              <w:rPr>
                <w:rFonts w:ascii="宋体" w:hAnsi="宋体" w:cs="宋体"/>
                <w:b/>
                <w:bCs/>
                <w:sz w:val="24"/>
                <w:szCs w:val="24"/>
                <w:lang w:bidi="ar"/>
              </w:rPr>
            </w:pPr>
            <w:r>
              <w:rPr>
                <w:rFonts w:hint="eastAsia" w:ascii="宋体" w:hAnsi="宋体" w:cs="宋体"/>
                <w:b/>
                <w:bCs/>
                <w:sz w:val="24"/>
                <w:szCs w:val="24"/>
                <w:lang w:bidi="ar"/>
              </w:rPr>
              <w:t>3</w:t>
            </w:r>
          </w:p>
        </w:tc>
        <w:tc>
          <w:tcPr>
            <w:tcW w:w="943" w:type="pct"/>
            <w:vAlign w:val="center"/>
          </w:tcPr>
          <w:p>
            <w:pPr>
              <w:snapToGrid w:val="0"/>
              <w:spacing w:line="240" w:lineRule="auto"/>
              <w:ind w:firstLine="0" w:firstLineChars="0"/>
              <w:jc w:val="center"/>
              <w:rPr>
                <w:rFonts w:ascii="宋体" w:hAnsi="宋体" w:cs="宋体"/>
                <w:b/>
                <w:bCs/>
                <w:sz w:val="24"/>
                <w:szCs w:val="24"/>
                <w:lang w:bidi="ar"/>
              </w:rPr>
            </w:pPr>
            <w:r>
              <w:rPr>
                <w:rFonts w:hint="eastAsia" w:ascii="宋体" w:hAnsi="宋体" w:cs="宋体"/>
                <w:b/>
                <w:bCs/>
                <w:sz w:val="24"/>
                <w:szCs w:val="24"/>
                <w:lang w:bidi="ar"/>
              </w:rPr>
              <w:t>临时仓库</w:t>
            </w:r>
          </w:p>
        </w:tc>
        <w:tc>
          <w:tcPr>
            <w:tcW w:w="3534" w:type="pct"/>
            <w:vAlign w:val="center"/>
          </w:tcPr>
          <w:p>
            <w:pPr>
              <w:snapToGrid w:val="0"/>
              <w:spacing w:line="240" w:lineRule="auto"/>
              <w:ind w:firstLine="0" w:firstLineChars="0"/>
              <w:jc w:val="both"/>
              <w:rPr>
                <w:rFonts w:ascii="宋体" w:hAnsi="宋体" w:cs="宋体"/>
                <w:sz w:val="24"/>
                <w:szCs w:val="24"/>
                <w:lang w:bidi="ar"/>
              </w:rPr>
            </w:pPr>
            <w:r>
              <w:rPr>
                <w:rFonts w:hint="eastAsia" w:ascii="宋体" w:hAnsi="宋体" w:cs="宋体"/>
                <w:sz w:val="24"/>
                <w:szCs w:val="24"/>
                <w:lang w:bidi="ar"/>
              </w:rPr>
              <w:t>厂区北侧</w:t>
            </w:r>
          </w:p>
        </w:tc>
      </w:tr>
    </w:tbl>
    <w:p>
      <w:pPr>
        <w:pStyle w:val="7"/>
        <w:spacing w:before="156" w:after="156"/>
        <w:ind w:left="864" w:hanging="864"/>
      </w:pPr>
      <w:bookmarkStart w:id="31" w:name="_Toc388278037"/>
      <w:r>
        <w:rPr>
          <w:rFonts w:hint="eastAsia"/>
        </w:rPr>
        <w:t>竖向布局</w:t>
      </w:r>
      <w:bookmarkEnd w:id="31"/>
    </w:p>
    <w:p>
      <w:pPr>
        <w:ind w:firstLine="560"/>
      </w:pPr>
      <w:bookmarkStart w:id="32" w:name="_Toc388278038"/>
      <w:r>
        <w:rPr>
          <w:rFonts w:hint="eastAsia"/>
        </w:rPr>
        <w:t>根据厂址周边的道路标高、与原有工程的衔接情况等因素，场地竖向采用平坡式布置。整个厂区内道路纵坡不大于2%；为便于厂区内、外道路的连接，保证厂区地面运输通畅，大门入口处道路标高略高于市政道路标高，避免厂外道路的雨水倒灌进厂区。在道路两侧设置雨水口，地面雨水由道路雨水口收集后，</w:t>
      </w:r>
      <w:r>
        <w:rPr>
          <w:rFonts w:hint="eastAsia"/>
          <w:lang w:eastAsia="zh-CN"/>
        </w:rPr>
        <w:t>进入</w:t>
      </w:r>
      <w:r>
        <w:rPr>
          <w:rFonts w:hint="eastAsia"/>
        </w:rPr>
        <w:t>路边排水沟内，排入厂区总排水管网。</w:t>
      </w:r>
    </w:p>
    <w:bookmarkEnd w:id="29"/>
    <w:bookmarkEnd w:id="32"/>
    <w:p>
      <w:pPr>
        <w:pStyle w:val="6"/>
        <w:spacing w:before="156" w:after="156"/>
        <w:ind w:left="720" w:hanging="720"/>
      </w:pPr>
      <w:bookmarkStart w:id="33" w:name="_Toc76119859"/>
      <w:bookmarkStart w:id="34" w:name="_Toc18846"/>
      <w:r>
        <w:rPr>
          <w:rFonts w:hint="eastAsia"/>
        </w:rPr>
        <w:t>建设场地周边环境</w:t>
      </w:r>
      <w:bookmarkEnd w:id="33"/>
      <w:bookmarkEnd w:id="34"/>
    </w:p>
    <w:p>
      <w:pPr>
        <w:pStyle w:val="7"/>
        <w:spacing w:before="156" w:after="156"/>
      </w:pPr>
      <w:r>
        <w:rPr>
          <w:rFonts w:hint="eastAsia"/>
        </w:rPr>
        <w:t>自然环境条件</w:t>
      </w:r>
    </w:p>
    <w:p>
      <w:pPr>
        <w:pStyle w:val="8"/>
        <w:spacing w:before="156" w:after="156"/>
      </w:pPr>
      <w:bookmarkStart w:id="35" w:name="_Toc46412581"/>
      <w:bookmarkStart w:id="36" w:name="_Toc173070260"/>
      <w:r>
        <w:rPr>
          <w:rFonts w:hint="eastAsia"/>
        </w:rPr>
        <w:t>地质条件</w:t>
      </w:r>
      <w:bookmarkEnd w:id="35"/>
    </w:p>
    <w:p>
      <w:pPr>
        <w:ind w:firstLine="560"/>
      </w:pPr>
      <w:bookmarkStart w:id="37" w:name="_Hlk8399839"/>
      <w:r>
        <w:rPr>
          <w:rFonts w:hint="eastAsia"/>
        </w:rPr>
        <w:t>大姚县地处横断山系云岭东部的斜坡，被金沙江和渔泡江深切而成的山原，是东部高原的过渡带；境内山脉自西北向东南走向，山岭纵横交错，峰峦重叠，沟河交错，地貌奇异；总体地形呈塔状，中部高，四周低，地形高低悬殊较大；最高海拔为百草岭主峰帽台山3657米，属楚雄彝州最高峰，被称为“彝州第一峰”，素有“冬天银装素裹，春天百花盛开”的美誉；最低海拔为金沙江边1023米。地形主要为三类：高寒山区和山区，海拔在2500米以上；丘陵平坝区，即散落在群山之间形成的零星小块坝子，海拔在1800～2100米之间；北面、西北面金沙江河谷地区，海拔在1000～1500米之间，分布在金沙江沿岸及注入金沙江各水系的深河谷地带。境内东西最大横距79.3公里，南北最大纵距93.5公里，是一个典型的山坝共存，四季如春与亚热带气候相间的县份。</w:t>
      </w:r>
    </w:p>
    <w:p>
      <w:pPr>
        <w:pStyle w:val="2"/>
        <w:ind w:firstLine="560"/>
      </w:pPr>
      <w:r>
        <w:rPr>
          <w:rFonts w:hint="eastAsia"/>
        </w:rPr>
        <w:t>根据云南木盛和岩土工程有限公司出具的《云南大姚机械配件厂退城入园整体技改搬迁项目岩土工程详细勘察报告》，场地及其周边无活动断层通过，未发现土洞、溶洞、崩塌、冲沟等不良地质作用现象，未揭露地下水，可不考虑地下水的影响，本场地稳定，适宜建筑。</w:t>
      </w:r>
    </w:p>
    <w:bookmarkEnd w:id="37"/>
    <w:p>
      <w:pPr>
        <w:pStyle w:val="8"/>
        <w:spacing w:before="156" w:after="156"/>
      </w:pPr>
      <w:bookmarkStart w:id="38" w:name="_Toc46412582"/>
      <w:r>
        <w:rPr>
          <w:rFonts w:hint="eastAsia"/>
        </w:rPr>
        <w:t>气候气象</w:t>
      </w:r>
      <w:bookmarkEnd w:id="38"/>
    </w:p>
    <w:p>
      <w:pPr>
        <w:ind w:firstLine="560"/>
      </w:pPr>
      <w:r>
        <w:drawing>
          <wp:anchor distT="0" distB="0" distL="114300" distR="114300" simplePos="0" relativeHeight="251667456" behindDoc="0" locked="0" layoutInCell="1" allowOverlap="1">
            <wp:simplePos x="0" y="0"/>
            <wp:positionH relativeFrom="column">
              <wp:posOffset>2036445</wp:posOffset>
            </wp:positionH>
            <wp:positionV relativeFrom="paragraph">
              <wp:posOffset>3220720</wp:posOffset>
            </wp:positionV>
            <wp:extent cx="769620" cy="1027430"/>
            <wp:effectExtent l="0" t="0" r="7620" b="8890"/>
            <wp:wrapTopAndBottom/>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22"/>
                    <a:stretch>
                      <a:fillRect/>
                    </a:stretch>
                  </pic:blipFill>
                  <pic:spPr>
                    <a:xfrm>
                      <a:off x="0" y="0"/>
                      <a:ext cx="769620" cy="1027430"/>
                    </a:xfrm>
                    <a:prstGeom prst="rect">
                      <a:avLst/>
                    </a:prstGeom>
                    <a:noFill/>
                    <a:ln>
                      <a:noFill/>
                    </a:ln>
                  </pic:spPr>
                </pic:pic>
              </a:graphicData>
            </a:graphic>
          </wp:anchor>
        </w:drawing>
      </w:r>
      <w:r>
        <w:rPr>
          <w:rFonts w:hint="eastAsia"/>
        </w:rPr>
        <w:t>大姚地处北亚热带季风气候区域，属亚热带干燥气候，具有气候温和，日照充足，干湿季明显，雨热同季，冬无严寒，夏无酷暑，年温差小，日温差大，无霜期长等气候特点。年平均气温15.6度，7月平均气温21.4度，极端最高气温33度；1月平均气温9.3度，极端最低气温－6.2度。年平均气温5度以上的持续期361天，日照年平均2526小时，霜期年均56.8天，相对湿度65%，风速3.5米/秒。大姚县年平均降水796.3毫米，雨日113天；极端降水年最大雨量1078毫米，极端年最小雨量520毫米，日最大雨量164毫米。平均年雷暴日64天。夏无酷暑，冬无严寒，四季如春，干湿季分明，常年西南风向。</w:t>
      </w:r>
    </w:p>
    <w:p>
      <w:pPr>
        <w:ind w:firstLine="0" w:firstLineChars="0"/>
        <w:jc w:val="center"/>
        <w:rPr>
          <w:b/>
          <w:bCs/>
          <w:sz w:val="24"/>
          <w:szCs w:val="21"/>
        </w:rPr>
      </w:pPr>
      <w:r>
        <w:rPr>
          <w:b/>
          <w:bCs/>
          <w:sz w:val="24"/>
          <w:szCs w:val="21"/>
        </w:rPr>
        <w:t xml:space="preserve">图 </w:t>
      </w:r>
      <w:r>
        <w:rPr>
          <w:b/>
          <w:bCs/>
          <w:sz w:val="24"/>
          <w:szCs w:val="21"/>
        </w:rPr>
        <w:fldChar w:fldCharType="begin"/>
      </w:r>
      <w:r>
        <w:rPr>
          <w:b/>
          <w:bCs/>
          <w:sz w:val="24"/>
          <w:szCs w:val="21"/>
        </w:rPr>
        <w:instrText xml:space="preserve"> STYLEREF 2 \s </w:instrText>
      </w:r>
      <w:r>
        <w:rPr>
          <w:b/>
          <w:bCs/>
          <w:sz w:val="24"/>
          <w:szCs w:val="21"/>
        </w:rPr>
        <w:fldChar w:fldCharType="separate"/>
      </w:r>
      <w:r>
        <w:rPr>
          <w:b/>
          <w:bCs/>
          <w:sz w:val="24"/>
          <w:szCs w:val="21"/>
        </w:rPr>
        <w:t>2.3</w:t>
      </w:r>
      <w:r>
        <w:rPr>
          <w:b/>
          <w:bCs/>
          <w:sz w:val="24"/>
          <w:szCs w:val="21"/>
        </w:rPr>
        <w:fldChar w:fldCharType="end"/>
      </w:r>
      <w:r>
        <w:rPr>
          <w:rFonts w:hint="eastAsia"/>
          <w:b/>
          <w:bCs/>
          <w:sz w:val="24"/>
          <w:szCs w:val="21"/>
        </w:rPr>
        <w:t>-</w:t>
      </w:r>
      <w:r>
        <w:rPr>
          <w:b/>
          <w:bCs/>
          <w:sz w:val="24"/>
          <w:szCs w:val="21"/>
        </w:rPr>
        <w:fldChar w:fldCharType="begin"/>
      </w:r>
      <w:r>
        <w:rPr>
          <w:b/>
          <w:bCs/>
          <w:sz w:val="24"/>
          <w:szCs w:val="21"/>
        </w:rPr>
        <w:instrText xml:space="preserve"> SEQ 图 \* ARABIC \s 2 </w:instrText>
      </w:r>
      <w:r>
        <w:rPr>
          <w:b/>
          <w:bCs/>
          <w:sz w:val="24"/>
          <w:szCs w:val="21"/>
        </w:rPr>
        <w:fldChar w:fldCharType="separate"/>
      </w:r>
      <w:r>
        <w:rPr>
          <w:b/>
          <w:bCs/>
          <w:sz w:val="24"/>
          <w:szCs w:val="21"/>
        </w:rPr>
        <w:t>2</w:t>
      </w:r>
      <w:r>
        <w:rPr>
          <w:b/>
          <w:bCs/>
          <w:sz w:val="24"/>
          <w:szCs w:val="21"/>
        </w:rPr>
        <w:fldChar w:fldCharType="end"/>
      </w:r>
      <w:r>
        <w:rPr>
          <w:rFonts w:hint="eastAsia"/>
          <w:b/>
          <w:bCs/>
          <w:sz w:val="24"/>
          <w:szCs w:val="21"/>
        </w:rPr>
        <w:t>大姚县风玫瑰图</w:t>
      </w:r>
    </w:p>
    <w:p>
      <w:pPr>
        <w:pStyle w:val="8"/>
        <w:spacing w:before="156" w:after="156"/>
      </w:pPr>
      <w:bookmarkStart w:id="39" w:name="_Toc46412583"/>
      <w:r>
        <w:rPr>
          <w:rFonts w:hint="eastAsia"/>
        </w:rPr>
        <w:t>水文水系</w:t>
      </w:r>
      <w:bookmarkEnd w:id="39"/>
    </w:p>
    <w:p>
      <w:pPr>
        <w:ind w:firstLine="560"/>
      </w:pPr>
      <w:r>
        <w:rPr>
          <w:rFonts w:hint="eastAsia"/>
        </w:rPr>
        <w:t>蜻蛉河发源于姚安与南华交界处，经姚安、大姚，在元谋县境内与龙街河汇合，并入龙川江，于龙街渡口附近汇入金沙江，是长江水系。龙川江为金沙江南岸一级支流，发源于楚雄彝族自治州的南华县天子庙坡东侧鱼肚拉的蒲藻塘，由西向东流经沙桥镇、南华县、楚雄市，又折向北</w:t>
      </w:r>
      <w:r>
        <w:rPr>
          <w:rFonts w:hint="eastAsia"/>
          <w:lang w:eastAsia="zh-CN"/>
        </w:rPr>
        <w:t>进入</w:t>
      </w:r>
      <w:r>
        <w:rPr>
          <w:rFonts w:hint="eastAsia"/>
        </w:rPr>
        <w:t>禄丰县、黑井镇和元谋县，横穿元谋坝区，最终在元谋北部的江边乡汇入金沙江。流域面积9240.7平方千米，全长约246公里。发源处与入江口相对落差1600千米，河床平均坡降为4.8‰，流域平均海拔1992米。流域以山区和丘陵为主，占95%，河谷盆地和浅丘约占流域面积的5%。</w:t>
      </w:r>
    </w:p>
    <w:bookmarkEnd w:id="36"/>
    <w:p>
      <w:pPr>
        <w:pStyle w:val="8"/>
        <w:spacing w:before="156" w:after="156"/>
      </w:pPr>
      <w:r>
        <w:rPr>
          <w:rFonts w:hint="eastAsia"/>
        </w:rPr>
        <w:t>地震烈度</w:t>
      </w:r>
    </w:p>
    <w:p>
      <w:pPr>
        <w:ind w:firstLine="560"/>
      </w:pPr>
      <w:r>
        <w:rPr>
          <w:rFonts w:hint="eastAsia"/>
        </w:rPr>
        <w:t>根据《中国地震动参数区划图》(GB18306-2015)，该区域地震动峰值加速度为0.15g，地震动反应谱特征周期为0.45s，对应地震烈度Ⅶ度，第三组</w:t>
      </w:r>
      <w:r>
        <w:rPr>
          <w:rFonts w:hint="eastAsia"/>
          <w:lang w:val="zh-CN"/>
        </w:rPr>
        <w:t>。</w:t>
      </w:r>
    </w:p>
    <w:p>
      <w:pPr>
        <w:pStyle w:val="7"/>
        <w:spacing w:before="156" w:after="156"/>
      </w:pPr>
      <w:r>
        <w:rPr>
          <w:rFonts w:hint="eastAsia"/>
        </w:rPr>
        <w:t>社会环境条件</w:t>
      </w:r>
    </w:p>
    <w:p>
      <w:pPr>
        <w:autoSpaceDE w:val="0"/>
        <w:autoSpaceDN w:val="0"/>
        <w:adjustRightInd w:val="0"/>
        <w:snapToGrid w:val="0"/>
        <w:ind w:firstLine="560"/>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t>安全评价组人员于202</w:t>
      </w:r>
      <w:r>
        <w:rPr>
          <w:rFonts w:hint="eastAsia" w:ascii="宋体" w:hAnsi="宋体"/>
          <w:color w:val="000000" w:themeColor="text1"/>
          <w14:textFill>
            <w14:solidFill>
              <w14:schemeClr w14:val="tx1"/>
            </w14:solidFill>
          </w14:textFill>
        </w:rPr>
        <w:t>3</w:t>
      </w:r>
      <w:r>
        <w:rPr>
          <w:rFonts w:ascii="宋体" w:hAnsi="宋体"/>
          <w:color w:val="000000" w:themeColor="text1"/>
          <w14:textFill>
            <w14:solidFill>
              <w14:schemeClr w14:val="tx1"/>
            </w14:solidFill>
          </w14:textFill>
        </w:rPr>
        <w:t>年</w:t>
      </w:r>
      <w:r>
        <w:rPr>
          <w:rFonts w:hint="eastAsia" w:ascii="宋体" w:hAnsi="宋体"/>
          <w:color w:val="000000" w:themeColor="text1"/>
          <w14:textFill>
            <w14:solidFill>
              <w14:schemeClr w14:val="tx1"/>
            </w14:solidFill>
          </w14:textFill>
        </w:rPr>
        <w:t>2</w:t>
      </w:r>
      <w:r>
        <w:rPr>
          <w:rFonts w:ascii="宋体" w:hAnsi="宋体"/>
          <w:color w:val="000000" w:themeColor="text1"/>
          <w14:textFill>
            <w14:solidFill>
              <w14:schemeClr w14:val="tx1"/>
            </w14:solidFill>
          </w14:textFill>
        </w:rPr>
        <w:t>月</w:t>
      </w:r>
      <w:r>
        <w:rPr>
          <w:rFonts w:hint="eastAsia" w:ascii="宋体" w:hAnsi="宋体"/>
          <w:color w:val="000000" w:themeColor="text1"/>
          <w14:textFill>
            <w14:solidFill>
              <w14:schemeClr w14:val="tx1"/>
            </w14:solidFill>
          </w14:textFill>
        </w:rPr>
        <w:t>10</w:t>
      </w:r>
      <w:r>
        <w:rPr>
          <w:rFonts w:ascii="宋体" w:hAnsi="宋体"/>
          <w:color w:val="000000" w:themeColor="text1"/>
          <w14:textFill>
            <w14:solidFill>
              <w14:schemeClr w14:val="tx1"/>
            </w14:solidFill>
          </w14:textFill>
        </w:rPr>
        <w:t>日到矿山现场进行勘验调查。根据实测及现场记录，对周边环境情况如下：</w:t>
      </w:r>
    </w:p>
    <w:p>
      <w:pPr>
        <w:ind w:firstLine="560"/>
      </w:pPr>
      <w:r>
        <w:rPr>
          <w:rFonts w:hint="eastAsia"/>
        </w:rPr>
        <w:t>建设项目北侧紧邻工业园区规划道路，东侧10m为大姚县内引燃料有限责任公司二甲醚燃料储配站，南侧为工业园区现状山林，西南侧155米为云南云中特汽车报废拆解回收有限公司。西侧为工业园区现状山林。西北侧9m为大姚能投劭唐电研新能源有限公司标准化厂房；项目区西北面218m处为大姚县工业园区管委会，320米处为大姚县南山坝35kV变电站。</w:t>
      </w:r>
    </w:p>
    <w:p>
      <w:pPr>
        <w:pStyle w:val="49"/>
        <w:spacing w:before="156" w:beforeLines="50" w:after="156" w:afterLines="50" w:line="360" w:lineRule="auto"/>
        <w:ind w:firstLine="482"/>
        <w:jc w:val="center"/>
        <w:rPr>
          <w:rFonts w:cs="宋体"/>
          <w:b/>
          <w:color w:val="FF0000"/>
          <w:sz w:val="24"/>
          <w:szCs w:val="28"/>
        </w:rPr>
      </w:pPr>
      <w:r>
        <w:rPr>
          <w:rFonts w:hint="eastAsia" w:cs="宋体"/>
          <w:b/>
          <w:bCs/>
          <w:sz w:val="24"/>
          <w:szCs w:val="22"/>
        </w:rPr>
        <w:t xml:space="preserve">表 </w:t>
      </w:r>
      <w:r>
        <w:rPr>
          <w:rFonts w:hint="eastAsia" w:cs="宋体"/>
          <w:b/>
          <w:bCs/>
          <w:sz w:val="24"/>
          <w:szCs w:val="22"/>
        </w:rPr>
        <w:fldChar w:fldCharType="begin"/>
      </w:r>
      <w:r>
        <w:rPr>
          <w:rFonts w:hint="eastAsia" w:cs="宋体"/>
          <w:b/>
          <w:bCs/>
          <w:sz w:val="24"/>
          <w:szCs w:val="22"/>
        </w:rPr>
        <w:instrText xml:space="preserve"> STYLEREF 2 \s </w:instrText>
      </w:r>
      <w:r>
        <w:rPr>
          <w:rFonts w:hint="eastAsia" w:cs="宋体"/>
          <w:b/>
          <w:bCs/>
          <w:sz w:val="24"/>
          <w:szCs w:val="22"/>
        </w:rPr>
        <w:fldChar w:fldCharType="separate"/>
      </w:r>
      <w:r>
        <w:rPr>
          <w:rFonts w:hint="eastAsia" w:cs="宋体"/>
          <w:b/>
          <w:bCs/>
          <w:sz w:val="24"/>
          <w:szCs w:val="22"/>
        </w:rPr>
        <w:t>2.3</w:t>
      </w:r>
      <w:r>
        <w:rPr>
          <w:rFonts w:hint="eastAsia" w:cs="宋体"/>
          <w:b/>
          <w:bCs/>
          <w:sz w:val="24"/>
          <w:szCs w:val="22"/>
        </w:rPr>
        <w:fldChar w:fldCharType="end"/>
      </w:r>
      <w:r>
        <w:rPr>
          <w:rFonts w:hint="eastAsia" w:cs="宋体"/>
          <w:b/>
          <w:bCs/>
          <w:sz w:val="24"/>
          <w:szCs w:val="22"/>
        </w:rPr>
        <w:t>-</w:t>
      </w:r>
      <w:r>
        <w:rPr>
          <w:rFonts w:hint="eastAsia" w:cs="宋体"/>
          <w:b/>
          <w:bCs/>
          <w:sz w:val="24"/>
          <w:szCs w:val="22"/>
        </w:rPr>
        <w:fldChar w:fldCharType="begin"/>
      </w:r>
      <w:r>
        <w:rPr>
          <w:rFonts w:hint="eastAsia" w:cs="宋体"/>
          <w:b/>
          <w:bCs/>
          <w:sz w:val="24"/>
          <w:szCs w:val="22"/>
        </w:rPr>
        <w:instrText xml:space="preserve"> SEQ 表 \* ARABIC \s 2 </w:instrText>
      </w:r>
      <w:r>
        <w:rPr>
          <w:rFonts w:hint="eastAsia" w:cs="宋体"/>
          <w:b/>
          <w:bCs/>
          <w:sz w:val="24"/>
          <w:szCs w:val="22"/>
        </w:rPr>
        <w:fldChar w:fldCharType="separate"/>
      </w:r>
      <w:r>
        <w:rPr>
          <w:rFonts w:hint="eastAsia" w:cs="宋体"/>
          <w:b/>
          <w:bCs/>
          <w:sz w:val="24"/>
          <w:szCs w:val="22"/>
        </w:rPr>
        <w:t>3</w:t>
      </w:r>
      <w:r>
        <w:rPr>
          <w:rFonts w:hint="eastAsia" w:cs="宋体"/>
          <w:b/>
          <w:bCs/>
          <w:sz w:val="24"/>
          <w:szCs w:val="22"/>
        </w:rPr>
        <w:fldChar w:fldCharType="end"/>
      </w:r>
      <w:r>
        <w:rPr>
          <w:rFonts w:hint="eastAsia" w:cs="宋体"/>
          <w:b/>
          <w:sz w:val="24"/>
          <w:szCs w:val="28"/>
        </w:rPr>
        <w:t>建设项目周边的生产经营及居民生活情况</w:t>
      </w:r>
    </w:p>
    <w:tbl>
      <w:tblPr>
        <w:tblStyle w:val="29"/>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626"/>
        <w:gridCol w:w="1703"/>
        <w:gridCol w:w="668"/>
        <w:gridCol w:w="624"/>
        <w:gridCol w:w="2174"/>
        <w:gridCol w:w="741"/>
        <w:gridCol w:w="612"/>
        <w:gridCol w:w="137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367" w:type="pct"/>
            <w:vAlign w:val="center"/>
          </w:tcPr>
          <w:p>
            <w:pPr>
              <w:pStyle w:val="49"/>
              <w:spacing w:before="156" w:beforeLines="50" w:after="156" w:afterLines="50"/>
              <w:ind w:firstLine="0" w:firstLineChars="0"/>
              <w:jc w:val="center"/>
              <w:rPr>
                <w:rFonts w:cs="宋体"/>
                <w:b/>
                <w:sz w:val="21"/>
                <w:szCs w:val="21"/>
              </w:rPr>
            </w:pPr>
            <w:r>
              <w:rPr>
                <w:rFonts w:hint="eastAsia" w:cs="宋体"/>
                <w:b/>
                <w:sz w:val="21"/>
                <w:szCs w:val="21"/>
              </w:rPr>
              <w:t>序号</w:t>
            </w:r>
          </w:p>
        </w:tc>
        <w:tc>
          <w:tcPr>
            <w:tcW w:w="999" w:type="pct"/>
            <w:vAlign w:val="center"/>
          </w:tcPr>
          <w:p>
            <w:pPr>
              <w:pStyle w:val="49"/>
              <w:spacing w:before="156" w:beforeLines="50" w:after="156" w:afterLines="50"/>
              <w:ind w:firstLine="0" w:firstLineChars="0"/>
              <w:jc w:val="center"/>
              <w:rPr>
                <w:rFonts w:cs="宋体"/>
                <w:b/>
                <w:sz w:val="21"/>
                <w:szCs w:val="21"/>
              </w:rPr>
            </w:pPr>
            <w:r>
              <w:rPr>
                <w:rFonts w:hint="eastAsia" w:cs="宋体"/>
                <w:b/>
                <w:sz w:val="21"/>
                <w:szCs w:val="21"/>
              </w:rPr>
              <w:t>项目建筑物名称</w:t>
            </w:r>
          </w:p>
        </w:tc>
        <w:tc>
          <w:tcPr>
            <w:tcW w:w="392" w:type="pct"/>
            <w:vAlign w:val="center"/>
          </w:tcPr>
          <w:p>
            <w:pPr>
              <w:pStyle w:val="49"/>
              <w:spacing w:before="156" w:beforeLines="50" w:after="156" w:afterLines="50"/>
              <w:ind w:firstLine="0" w:firstLineChars="0"/>
              <w:jc w:val="center"/>
              <w:rPr>
                <w:rFonts w:cs="宋体"/>
                <w:b/>
                <w:sz w:val="21"/>
                <w:szCs w:val="21"/>
              </w:rPr>
            </w:pPr>
            <w:r>
              <w:rPr>
                <w:rFonts w:hint="eastAsia" w:cs="宋体"/>
                <w:b/>
                <w:sz w:val="21"/>
                <w:szCs w:val="21"/>
              </w:rPr>
              <w:t>火险等级</w:t>
            </w:r>
          </w:p>
        </w:tc>
        <w:tc>
          <w:tcPr>
            <w:tcW w:w="366" w:type="pct"/>
            <w:vAlign w:val="center"/>
          </w:tcPr>
          <w:p>
            <w:pPr>
              <w:pStyle w:val="49"/>
              <w:spacing w:before="156" w:beforeLines="50" w:after="156" w:afterLines="50"/>
              <w:ind w:firstLine="0" w:firstLineChars="0"/>
              <w:jc w:val="center"/>
              <w:rPr>
                <w:rFonts w:cs="宋体"/>
                <w:b/>
                <w:sz w:val="21"/>
                <w:szCs w:val="21"/>
              </w:rPr>
            </w:pPr>
            <w:r>
              <w:rPr>
                <w:rFonts w:hint="eastAsia" w:cs="宋体"/>
                <w:b/>
                <w:sz w:val="21"/>
                <w:szCs w:val="21"/>
              </w:rPr>
              <w:t>方位</w:t>
            </w:r>
          </w:p>
        </w:tc>
        <w:tc>
          <w:tcPr>
            <w:tcW w:w="1275" w:type="pct"/>
            <w:vAlign w:val="center"/>
          </w:tcPr>
          <w:p>
            <w:pPr>
              <w:pStyle w:val="49"/>
              <w:spacing w:before="156" w:beforeLines="50" w:after="156" w:afterLines="50"/>
              <w:ind w:firstLine="0" w:firstLineChars="0"/>
              <w:jc w:val="center"/>
              <w:rPr>
                <w:rFonts w:cs="宋体"/>
                <w:b/>
                <w:sz w:val="21"/>
                <w:szCs w:val="21"/>
              </w:rPr>
            </w:pPr>
            <w:r>
              <w:rPr>
                <w:rFonts w:hint="eastAsia" w:cs="宋体"/>
                <w:b/>
                <w:sz w:val="21"/>
                <w:szCs w:val="21"/>
              </w:rPr>
              <w:t>项目周边建筑物名称</w:t>
            </w:r>
          </w:p>
        </w:tc>
        <w:tc>
          <w:tcPr>
            <w:tcW w:w="434" w:type="pct"/>
            <w:vAlign w:val="center"/>
          </w:tcPr>
          <w:p>
            <w:pPr>
              <w:pStyle w:val="49"/>
              <w:spacing w:before="156" w:beforeLines="50" w:after="156" w:afterLines="50"/>
              <w:ind w:firstLine="0" w:firstLineChars="0"/>
              <w:jc w:val="center"/>
              <w:rPr>
                <w:rFonts w:cs="宋体"/>
                <w:b/>
                <w:sz w:val="21"/>
                <w:szCs w:val="21"/>
              </w:rPr>
            </w:pPr>
            <w:r>
              <w:rPr>
                <w:rFonts w:hint="eastAsia" w:cs="宋体"/>
                <w:b/>
                <w:sz w:val="21"/>
                <w:szCs w:val="21"/>
              </w:rPr>
              <w:t>实际距离</w:t>
            </w:r>
          </w:p>
        </w:tc>
        <w:tc>
          <w:tcPr>
            <w:tcW w:w="359" w:type="pct"/>
            <w:vAlign w:val="center"/>
          </w:tcPr>
          <w:p>
            <w:pPr>
              <w:pStyle w:val="49"/>
              <w:spacing w:before="156" w:beforeLines="50" w:after="156" w:afterLines="50"/>
              <w:ind w:firstLine="0" w:firstLineChars="0"/>
              <w:jc w:val="center"/>
              <w:rPr>
                <w:rFonts w:cs="宋体"/>
                <w:b/>
                <w:sz w:val="21"/>
                <w:szCs w:val="21"/>
              </w:rPr>
            </w:pPr>
            <w:r>
              <w:rPr>
                <w:rFonts w:hint="eastAsia" w:cs="宋体"/>
                <w:b/>
                <w:sz w:val="21"/>
                <w:szCs w:val="21"/>
              </w:rPr>
              <w:t>标准要求</w:t>
            </w:r>
          </w:p>
        </w:tc>
        <w:tc>
          <w:tcPr>
            <w:tcW w:w="804" w:type="pct"/>
            <w:vAlign w:val="center"/>
          </w:tcPr>
          <w:p>
            <w:pPr>
              <w:pStyle w:val="49"/>
              <w:spacing w:before="156" w:beforeLines="50" w:after="156" w:afterLines="50"/>
              <w:ind w:firstLine="0" w:firstLineChars="0"/>
              <w:jc w:val="center"/>
              <w:rPr>
                <w:rFonts w:cs="宋体"/>
                <w:b/>
                <w:sz w:val="21"/>
                <w:szCs w:val="21"/>
              </w:rPr>
            </w:pPr>
            <w:r>
              <w:rPr>
                <w:rFonts w:hint="eastAsia" w:cs="宋体"/>
                <w:b/>
                <w:sz w:val="21"/>
                <w:szCs w:val="21"/>
              </w:rPr>
              <w:t>规范符合性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67" w:type="pct"/>
            <w:vAlign w:val="center"/>
          </w:tcPr>
          <w:p>
            <w:pPr>
              <w:pStyle w:val="49"/>
              <w:spacing w:before="156" w:beforeLines="50" w:after="156" w:afterLines="50"/>
              <w:ind w:firstLine="0" w:firstLineChars="0"/>
              <w:jc w:val="center"/>
              <w:rPr>
                <w:rFonts w:cs="宋体"/>
                <w:bCs/>
                <w:sz w:val="21"/>
                <w:szCs w:val="21"/>
              </w:rPr>
            </w:pPr>
            <w:r>
              <w:rPr>
                <w:rFonts w:hint="eastAsia" w:cs="宋体"/>
                <w:bCs/>
                <w:sz w:val="21"/>
                <w:szCs w:val="21"/>
              </w:rPr>
              <w:t>1</w:t>
            </w:r>
          </w:p>
        </w:tc>
        <w:tc>
          <w:tcPr>
            <w:tcW w:w="999" w:type="pct"/>
            <w:vAlign w:val="center"/>
          </w:tcPr>
          <w:p>
            <w:pPr>
              <w:pStyle w:val="49"/>
              <w:spacing w:before="156" w:beforeLines="50" w:after="156" w:afterLines="50"/>
              <w:ind w:firstLine="0" w:firstLineChars="0"/>
              <w:jc w:val="center"/>
              <w:rPr>
                <w:rFonts w:ascii="Times New Roman" w:hAnsi="Times New Roman"/>
                <w:sz w:val="21"/>
                <w:szCs w:val="22"/>
              </w:rPr>
            </w:pPr>
            <w:r>
              <w:rPr>
                <w:rFonts w:hint="eastAsia" w:ascii="Times New Roman" w:hAnsi="Times New Roman"/>
                <w:sz w:val="21"/>
                <w:szCs w:val="22"/>
              </w:rPr>
              <w:t>仓库</w:t>
            </w:r>
          </w:p>
        </w:tc>
        <w:tc>
          <w:tcPr>
            <w:tcW w:w="392" w:type="pct"/>
            <w:vAlign w:val="center"/>
          </w:tcPr>
          <w:p>
            <w:pPr>
              <w:pStyle w:val="49"/>
              <w:spacing w:before="156" w:beforeLines="50" w:after="156" w:afterLines="50"/>
              <w:ind w:firstLine="0" w:firstLineChars="0"/>
              <w:jc w:val="center"/>
              <w:rPr>
                <w:rFonts w:ascii="Times New Roman" w:hAnsi="Times New Roman"/>
                <w:sz w:val="21"/>
                <w:szCs w:val="22"/>
              </w:rPr>
            </w:pPr>
            <w:r>
              <w:rPr>
                <w:rFonts w:hint="eastAsia" w:ascii="Times New Roman" w:hAnsi="Times New Roman"/>
                <w:sz w:val="21"/>
                <w:szCs w:val="22"/>
              </w:rPr>
              <w:t>丁</w:t>
            </w:r>
          </w:p>
        </w:tc>
        <w:tc>
          <w:tcPr>
            <w:tcW w:w="366" w:type="pct"/>
            <w:vAlign w:val="center"/>
          </w:tcPr>
          <w:p>
            <w:pPr>
              <w:pStyle w:val="49"/>
              <w:spacing w:before="156" w:beforeLines="50" w:after="156" w:afterLines="50"/>
              <w:ind w:firstLine="0" w:firstLineChars="0"/>
              <w:jc w:val="center"/>
              <w:rPr>
                <w:rFonts w:ascii="Times New Roman" w:hAnsi="Times New Roman"/>
                <w:sz w:val="21"/>
                <w:szCs w:val="22"/>
              </w:rPr>
            </w:pPr>
            <w:r>
              <w:rPr>
                <w:rFonts w:hint="eastAsia" w:ascii="Times New Roman" w:hAnsi="Times New Roman"/>
                <w:sz w:val="21"/>
                <w:szCs w:val="22"/>
              </w:rPr>
              <w:t>北</w:t>
            </w:r>
          </w:p>
        </w:tc>
        <w:tc>
          <w:tcPr>
            <w:tcW w:w="1275" w:type="pct"/>
            <w:vAlign w:val="center"/>
          </w:tcPr>
          <w:p>
            <w:pPr>
              <w:spacing w:line="240" w:lineRule="auto"/>
              <w:ind w:firstLine="0" w:firstLineChars="0"/>
              <w:jc w:val="center"/>
              <w:rPr>
                <w:rFonts w:cs="Times New Roman"/>
                <w:sz w:val="21"/>
              </w:rPr>
            </w:pPr>
            <w:r>
              <w:rPr>
                <w:rFonts w:hint="eastAsia" w:cs="Times New Roman"/>
                <w:sz w:val="21"/>
              </w:rPr>
              <w:t>大姚能投劭唐电研新能源有限公司标准化厂房</w:t>
            </w:r>
          </w:p>
        </w:tc>
        <w:tc>
          <w:tcPr>
            <w:tcW w:w="434" w:type="pct"/>
            <w:vAlign w:val="center"/>
          </w:tcPr>
          <w:p>
            <w:pPr>
              <w:pStyle w:val="49"/>
              <w:spacing w:before="156" w:beforeLines="50" w:after="156" w:afterLines="50"/>
              <w:ind w:firstLine="0" w:firstLineChars="0"/>
              <w:jc w:val="center"/>
              <w:rPr>
                <w:rFonts w:cs="宋体"/>
                <w:bCs/>
                <w:sz w:val="21"/>
                <w:szCs w:val="21"/>
              </w:rPr>
            </w:pPr>
            <w:r>
              <w:rPr>
                <w:rFonts w:hint="eastAsia" w:cs="宋体"/>
                <w:bCs/>
                <w:sz w:val="21"/>
                <w:szCs w:val="21"/>
              </w:rPr>
              <w:t>10.55</w:t>
            </w:r>
          </w:p>
        </w:tc>
        <w:tc>
          <w:tcPr>
            <w:tcW w:w="359" w:type="pct"/>
            <w:vAlign w:val="center"/>
          </w:tcPr>
          <w:p>
            <w:pPr>
              <w:pStyle w:val="49"/>
              <w:spacing w:before="156" w:beforeLines="50" w:after="156" w:afterLines="50"/>
              <w:ind w:firstLine="0" w:firstLineChars="0"/>
              <w:jc w:val="center"/>
              <w:rPr>
                <w:rFonts w:cs="宋体"/>
                <w:bCs/>
                <w:sz w:val="21"/>
                <w:szCs w:val="21"/>
              </w:rPr>
            </w:pPr>
            <w:r>
              <w:rPr>
                <w:rFonts w:hint="eastAsia" w:cs="宋体"/>
                <w:bCs/>
                <w:sz w:val="21"/>
                <w:szCs w:val="21"/>
              </w:rPr>
              <w:t>10</w:t>
            </w:r>
          </w:p>
        </w:tc>
        <w:tc>
          <w:tcPr>
            <w:tcW w:w="804" w:type="pct"/>
            <w:vAlign w:val="center"/>
          </w:tcPr>
          <w:p>
            <w:pPr>
              <w:pStyle w:val="49"/>
              <w:spacing w:before="156" w:beforeLines="50" w:after="156" w:afterLines="50"/>
              <w:ind w:firstLine="0" w:firstLineChars="0"/>
              <w:jc w:val="center"/>
              <w:rPr>
                <w:rFonts w:cs="宋体"/>
                <w:bCs/>
                <w:sz w:val="21"/>
                <w:szCs w:val="21"/>
              </w:rPr>
            </w:pPr>
            <w:r>
              <w:rPr>
                <w:rFonts w:hint="eastAsia" w:cs="宋体"/>
                <w:bCs/>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67" w:type="pct"/>
            <w:vAlign w:val="center"/>
          </w:tcPr>
          <w:p>
            <w:pPr>
              <w:pStyle w:val="49"/>
              <w:spacing w:before="156" w:beforeLines="50" w:after="156" w:afterLines="50"/>
              <w:ind w:firstLine="0" w:firstLineChars="0"/>
              <w:jc w:val="center"/>
              <w:rPr>
                <w:rFonts w:cs="宋体"/>
                <w:bCs/>
                <w:sz w:val="21"/>
                <w:szCs w:val="21"/>
              </w:rPr>
            </w:pPr>
            <w:r>
              <w:rPr>
                <w:rFonts w:hint="eastAsia" w:cs="宋体"/>
                <w:bCs/>
                <w:sz w:val="21"/>
                <w:szCs w:val="21"/>
              </w:rPr>
              <w:t>2</w:t>
            </w:r>
          </w:p>
        </w:tc>
        <w:tc>
          <w:tcPr>
            <w:tcW w:w="999" w:type="pct"/>
            <w:vAlign w:val="center"/>
          </w:tcPr>
          <w:p>
            <w:pPr>
              <w:pStyle w:val="49"/>
              <w:spacing w:before="156" w:beforeLines="50" w:after="156" w:afterLines="50"/>
              <w:ind w:firstLine="0" w:firstLineChars="0"/>
              <w:jc w:val="center"/>
              <w:rPr>
                <w:rFonts w:ascii="Times New Roman" w:hAnsi="Times New Roman"/>
                <w:sz w:val="21"/>
                <w:szCs w:val="22"/>
              </w:rPr>
            </w:pPr>
            <w:r>
              <w:rPr>
                <w:rFonts w:hint="eastAsia" w:ascii="Times New Roman" w:hAnsi="Times New Roman"/>
                <w:sz w:val="21"/>
                <w:szCs w:val="22"/>
              </w:rPr>
              <w:t>厨房餐厅外墙</w:t>
            </w:r>
          </w:p>
        </w:tc>
        <w:tc>
          <w:tcPr>
            <w:tcW w:w="392" w:type="pct"/>
            <w:vAlign w:val="center"/>
          </w:tcPr>
          <w:p>
            <w:pPr>
              <w:spacing w:before="156" w:beforeLines="50" w:after="156" w:afterLines="50" w:line="240" w:lineRule="auto"/>
              <w:ind w:firstLine="0" w:firstLineChars="0"/>
              <w:jc w:val="center"/>
              <w:rPr>
                <w:rFonts w:cs="Times New Roman"/>
                <w:sz w:val="21"/>
              </w:rPr>
            </w:pPr>
            <w:r>
              <w:rPr>
                <w:rFonts w:hint="eastAsia" w:cs="Times New Roman"/>
                <w:sz w:val="21"/>
              </w:rPr>
              <w:t>丁</w:t>
            </w:r>
          </w:p>
        </w:tc>
        <w:tc>
          <w:tcPr>
            <w:tcW w:w="366" w:type="pct"/>
            <w:vAlign w:val="center"/>
          </w:tcPr>
          <w:p>
            <w:pPr>
              <w:pStyle w:val="49"/>
              <w:spacing w:before="156" w:beforeLines="50" w:after="156" w:afterLines="50"/>
              <w:ind w:firstLine="0" w:firstLineChars="0"/>
              <w:jc w:val="center"/>
              <w:rPr>
                <w:rFonts w:ascii="Times New Roman" w:hAnsi="Times New Roman"/>
                <w:sz w:val="21"/>
                <w:szCs w:val="22"/>
              </w:rPr>
            </w:pPr>
            <w:r>
              <w:rPr>
                <w:rFonts w:hint="eastAsia" w:ascii="Times New Roman" w:hAnsi="Times New Roman"/>
                <w:sz w:val="21"/>
                <w:szCs w:val="22"/>
              </w:rPr>
              <w:t>东</w:t>
            </w:r>
          </w:p>
        </w:tc>
        <w:tc>
          <w:tcPr>
            <w:tcW w:w="1275" w:type="pct"/>
            <w:vAlign w:val="center"/>
          </w:tcPr>
          <w:p>
            <w:pPr>
              <w:spacing w:line="240" w:lineRule="auto"/>
              <w:ind w:firstLine="0" w:firstLineChars="0"/>
              <w:jc w:val="center"/>
              <w:rPr>
                <w:rFonts w:cs="Times New Roman"/>
                <w:sz w:val="21"/>
              </w:rPr>
            </w:pPr>
            <w:r>
              <w:rPr>
                <w:rFonts w:hint="eastAsia" w:cs="Times New Roman"/>
                <w:sz w:val="21"/>
              </w:rPr>
              <w:t>大姚县内引燃料有限责任公司二甲醚燃料储配站办公楼</w:t>
            </w:r>
          </w:p>
        </w:tc>
        <w:tc>
          <w:tcPr>
            <w:tcW w:w="434" w:type="pct"/>
            <w:vAlign w:val="center"/>
          </w:tcPr>
          <w:p>
            <w:pPr>
              <w:pStyle w:val="49"/>
              <w:spacing w:before="156" w:beforeLines="50" w:after="156" w:afterLines="50"/>
              <w:ind w:firstLine="0" w:firstLineChars="0"/>
              <w:jc w:val="center"/>
              <w:rPr>
                <w:rFonts w:cs="宋体"/>
                <w:bCs/>
                <w:sz w:val="21"/>
                <w:szCs w:val="21"/>
              </w:rPr>
            </w:pPr>
            <w:r>
              <w:rPr>
                <w:rFonts w:hint="eastAsia" w:cs="宋体"/>
                <w:bCs/>
                <w:sz w:val="21"/>
                <w:szCs w:val="21"/>
              </w:rPr>
              <w:t>14.1</w:t>
            </w:r>
          </w:p>
        </w:tc>
        <w:tc>
          <w:tcPr>
            <w:tcW w:w="359" w:type="pct"/>
            <w:vAlign w:val="center"/>
          </w:tcPr>
          <w:p>
            <w:pPr>
              <w:pStyle w:val="49"/>
              <w:spacing w:before="156" w:beforeLines="50" w:after="156" w:afterLines="50"/>
              <w:ind w:firstLine="0" w:firstLineChars="0"/>
              <w:jc w:val="center"/>
              <w:rPr>
                <w:rFonts w:cs="宋体"/>
                <w:bCs/>
                <w:sz w:val="21"/>
                <w:szCs w:val="21"/>
              </w:rPr>
            </w:pPr>
            <w:r>
              <w:rPr>
                <w:rFonts w:hint="eastAsia" w:cs="宋体"/>
                <w:bCs/>
                <w:sz w:val="21"/>
                <w:szCs w:val="21"/>
              </w:rPr>
              <w:t>10</w:t>
            </w:r>
          </w:p>
        </w:tc>
        <w:tc>
          <w:tcPr>
            <w:tcW w:w="804" w:type="pct"/>
            <w:vAlign w:val="center"/>
          </w:tcPr>
          <w:p>
            <w:pPr>
              <w:pStyle w:val="49"/>
              <w:spacing w:before="156" w:beforeLines="50" w:after="156" w:afterLines="50"/>
              <w:ind w:firstLine="0" w:firstLineChars="0"/>
              <w:jc w:val="center"/>
              <w:rPr>
                <w:rFonts w:cs="宋体"/>
                <w:bCs/>
                <w:sz w:val="21"/>
                <w:szCs w:val="21"/>
              </w:rPr>
            </w:pPr>
            <w:r>
              <w:rPr>
                <w:rFonts w:hint="eastAsia" w:cs="宋体"/>
                <w:bCs/>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67" w:type="pct"/>
            <w:vAlign w:val="center"/>
          </w:tcPr>
          <w:p>
            <w:pPr>
              <w:pStyle w:val="49"/>
              <w:spacing w:before="156" w:beforeLines="50" w:after="156" w:afterLines="50"/>
              <w:ind w:firstLine="0" w:firstLineChars="0"/>
              <w:jc w:val="center"/>
              <w:rPr>
                <w:rFonts w:cs="宋体"/>
                <w:bCs/>
                <w:sz w:val="21"/>
                <w:szCs w:val="21"/>
              </w:rPr>
            </w:pPr>
            <w:r>
              <w:rPr>
                <w:rFonts w:hint="eastAsia" w:cs="宋体"/>
                <w:bCs/>
                <w:sz w:val="21"/>
                <w:szCs w:val="21"/>
              </w:rPr>
              <w:t>3</w:t>
            </w:r>
          </w:p>
        </w:tc>
        <w:tc>
          <w:tcPr>
            <w:tcW w:w="999" w:type="pct"/>
            <w:vAlign w:val="center"/>
          </w:tcPr>
          <w:p>
            <w:pPr>
              <w:pStyle w:val="49"/>
              <w:spacing w:before="156" w:beforeLines="50" w:after="156" w:afterLines="50"/>
              <w:ind w:firstLine="0" w:firstLineChars="0"/>
              <w:jc w:val="center"/>
              <w:rPr>
                <w:rFonts w:ascii="Times New Roman" w:hAnsi="Times New Roman"/>
                <w:sz w:val="21"/>
                <w:szCs w:val="22"/>
              </w:rPr>
            </w:pPr>
            <w:r>
              <w:rPr>
                <w:rFonts w:hint="eastAsia" w:ascii="Times New Roman" w:hAnsi="Times New Roman"/>
                <w:sz w:val="21"/>
                <w:szCs w:val="22"/>
              </w:rPr>
              <w:t>厨房餐厅外墙</w:t>
            </w:r>
          </w:p>
        </w:tc>
        <w:tc>
          <w:tcPr>
            <w:tcW w:w="392" w:type="pct"/>
            <w:vAlign w:val="center"/>
          </w:tcPr>
          <w:p>
            <w:pPr>
              <w:spacing w:before="156" w:beforeLines="50" w:after="156" w:afterLines="50" w:line="240" w:lineRule="auto"/>
              <w:ind w:firstLine="0" w:firstLineChars="0"/>
              <w:jc w:val="center"/>
              <w:rPr>
                <w:rFonts w:cs="Times New Roman"/>
                <w:sz w:val="21"/>
              </w:rPr>
            </w:pPr>
            <w:r>
              <w:rPr>
                <w:rFonts w:hint="eastAsia" w:cs="Times New Roman"/>
                <w:sz w:val="21"/>
              </w:rPr>
              <w:t>丁</w:t>
            </w:r>
          </w:p>
        </w:tc>
        <w:tc>
          <w:tcPr>
            <w:tcW w:w="366" w:type="pct"/>
            <w:vAlign w:val="center"/>
          </w:tcPr>
          <w:p>
            <w:pPr>
              <w:pStyle w:val="49"/>
              <w:spacing w:before="156" w:beforeLines="50" w:after="156" w:afterLines="50"/>
              <w:ind w:firstLine="0" w:firstLineChars="0"/>
              <w:jc w:val="center"/>
              <w:rPr>
                <w:rFonts w:ascii="Times New Roman" w:hAnsi="Times New Roman"/>
                <w:sz w:val="21"/>
                <w:szCs w:val="22"/>
              </w:rPr>
            </w:pPr>
            <w:r>
              <w:rPr>
                <w:rFonts w:hint="eastAsia" w:ascii="Times New Roman" w:hAnsi="Times New Roman"/>
                <w:sz w:val="21"/>
                <w:szCs w:val="22"/>
              </w:rPr>
              <w:t>东</w:t>
            </w:r>
          </w:p>
        </w:tc>
        <w:tc>
          <w:tcPr>
            <w:tcW w:w="1275" w:type="pct"/>
            <w:vAlign w:val="center"/>
          </w:tcPr>
          <w:p>
            <w:pPr>
              <w:spacing w:line="240" w:lineRule="auto"/>
              <w:ind w:firstLine="0" w:firstLineChars="0"/>
              <w:jc w:val="center"/>
              <w:rPr>
                <w:rFonts w:cs="Times New Roman"/>
                <w:sz w:val="21"/>
              </w:rPr>
            </w:pPr>
            <w:r>
              <w:rPr>
                <w:rFonts w:hint="eastAsia" w:cs="Times New Roman"/>
                <w:sz w:val="21"/>
              </w:rPr>
              <w:t>大姚县内引燃料有限责任公司二甲醚燃料储配站4×50m</w:t>
            </w:r>
            <w:r>
              <w:rPr>
                <w:rFonts w:hint="eastAsia" w:cs="Times New Roman"/>
                <w:sz w:val="21"/>
                <w:vertAlign w:val="superscript"/>
              </w:rPr>
              <w:t>3</w:t>
            </w:r>
            <w:r>
              <w:rPr>
                <w:rFonts w:hint="eastAsia" w:cs="Times New Roman"/>
                <w:sz w:val="21"/>
              </w:rPr>
              <w:t>储罐</w:t>
            </w:r>
          </w:p>
        </w:tc>
        <w:tc>
          <w:tcPr>
            <w:tcW w:w="434" w:type="pct"/>
            <w:vAlign w:val="center"/>
          </w:tcPr>
          <w:p>
            <w:pPr>
              <w:pStyle w:val="49"/>
              <w:spacing w:before="156" w:beforeLines="50" w:after="156" w:afterLines="50"/>
              <w:ind w:firstLine="0" w:firstLineChars="0"/>
              <w:jc w:val="center"/>
              <w:rPr>
                <w:rFonts w:cs="宋体"/>
                <w:bCs/>
                <w:sz w:val="21"/>
                <w:szCs w:val="21"/>
              </w:rPr>
            </w:pPr>
            <w:r>
              <w:rPr>
                <w:rFonts w:hint="eastAsia" w:cs="宋体"/>
                <w:bCs/>
                <w:sz w:val="21"/>
                <w:szCs w:val="21"/>
              </w:rPr>
              <w:t>75</w:t>
            </w:r>
          </w:p>
        </w:tc>
        <w:tc>
          <w:tcPr>
            <w:tcW w:w="359" w:type="pct"/>
            <w:vAlign w:val="center"/>
          </w:tcPr>
          <w:p>
            <w:pPr>
              <w:pStyle w:val="49"/>
              <w:spacing w:before="156" w:beforeLines="50" w:after="156" w:afterLines="50"/>
              <w:ind w:firstLine="0" w:firstLineChars="0"/>
              <w:jc w:val="center"/>
              <w:rPr>
                <w:rFonts w:cs="宋体"/>
                <w:bCs/>
                <w:sz w:val="21"/>
                <w:szCs w:val="21"/>
              </w:rPr>
            </w:pPr>
            <w:r>
              <w:rPr>
                <w:rFonts w:hint="eastAsia" w:cs="宋体"/>
                <w:bCs/>
                <w:sz w:val="21"/>
                <w:szCs w:val="21"/>
              </w:rPr>
              <w:t>55</w:t>
            </w:r>
          </w:p>
        </w:tc>
        <w:tc>
          <w:tcPr>
            <w:tcW w:w="804" w:type="pct"/>
            <w:vAlign w:val="center"/>
          </w:tcPr>
          <w:p>
            <w:pPr>
              <w:pStyle w:val="49"/>
              <w:spacing w:before="156" w:beforeLines="50" w:after="156" w:afterLines="50"/>
              <w:ind w:firstLine="0" w:firstLineChars="0"/>
              <w:jc w:val="center"/>
              <w:rPr>
                <w:rFonts w:cs="宋体"/>
                <w:bCs/>
                <w:sz w:val="21"/>
                <w:szCs w:val="21"/>
              </w:rPr>
            </w:pPr>
            <w:r>
              <w:rPr>
                <w:rFonts w:hint="eastAsia" w:cs="宋体"/>
                <w:bCs/>
                <w:sz w:val="21"/>
                <w:szCs w:val="21"/>
              </w:rPr>
              <w:t>符合</w:t>
            </w:r>
          </w:p>
        </w:tc>
      </w:tr>
    </w:tbl>
    <w:p>
      <w:pPr>
        <w:ind w:firstLine="560"/>
        <w:sectPr>
          <w:pgSz w:w="11906" w:h="16838"/>
          <w:pgMar w:top="1440" w:right="1800" w:bottom="1440" w:left="1800" w:header="851" w:footer="992" w:gutter="0"/>
          <w:cols w:space="425" w:num="1"/>
          <w:docGrid w:type="lines" w:linePitch="312" w:charSpace="0"/>
        </w:sectPr>
      </w:pPr>
      <w:r>
        <w:rPr>
          <w:rFonts w:hint="eastAsia"/>
        </w:rPr>
        <w:t>建设项目厂址未发现已探明的矿产资源，同时尚未发现该选址地区其他相关压覆矿产资源的报告和探矿、采矿权设置。项目选址对当地的防洪和排涝没有影响。本项目占地及附近没有军事设施，所以对国防设施没有影响。建设项目周边环境图见下页图2.3-1。</w:t>
      </w:r>
    </w:p>
    <w:p>
      <w:pPr>
        <w:ind w:firstLine="482"/>
        <w:jc w:val="center"/>
        <w:rPr>
          <w:b/>
          <w:bCs/>
          <w:sz w:val="24"/>
          <w:szCs w:val="21"/>
        </w:rPr>
        <w:sectPr>
          <w:pgSz w:w="16838" w:h="11906" w:orient="landscape"/>
          <w:pgMar w:top="1800" w:right="1440" w:bottom="1800" w:left="1440" w:header="851" w:footer="992" w:gutter="0"/>
          <w:cols w:space="425" w:num="1"/>
          <w:docGrid w:type="lines" w:linePitch="312" w:charSpace="0"/>
        </w:sectPr>
      </w:pPr>
      <w:r>
        <w:rPr>
          <w:b/>
          <w:bCs/>
          <w:sz w:val="24"/>
          <w:szCs w:val="21"/>
        </w:rPr>
        <w:drawing>
          <wp:anchor distT="0" distB="0" distL="114300" distR="114300" simplePos="0" relativeHeight="251685888" behindDoc="0" locked="0" layoutInCell="1" allowOverlap="1">
            <wp:simplePos x="0" y="0"/>
            <wp:positionH relativeFrom="column">
              <wp:posOffset>419735</wp:posOffset>
            </wp:positionH>
            <wp:positionV relativeFrom="paragraph">
              <wp:posOffset>-118745</wp:posOffset>
            </wp:positionV>
            <wp:extent cx="7642225" cy="5418455"/>
            <wp:effectExtent l="0" t="0" r="8255" b="6985"/>
            <wp:wrapTopAndBottom/>
            <wp:docPr id="5" name="图片 5" descr="大姚祥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大姚祥华"/>
                    <pic:cNvPicPr>
                      <a:picLocks noChangeAspect="1"/>
                    </pic:cNvPicPr>
                  </pic:nvPicPr>
                  <pic:blipFill>
                    <a:blip r:embed="rId23"/>
                    <a:stretch>
                      <a:fillRect/>
                    </a:stretch>
                  </pic:blipFill>
                  <pic:spPr>
                    <a:xfrm>
                      <a:off x="0" y="0"/>
                      <a:ext cx="7642225" cy="5418455"/>
                    </a:xfrm>
                    <a:prstGeom prst="rect">
                      <a:avLst/>
                    </a:prstGeom>
                  </pic:spPr>
                </pic:pic>
              </a:graphicData>
            </a:graphic>
          </wp:anchor>
        </w:drawing>
      </w:r>
      <w:r>
        <w:rPr>
          <w:b/>
          <w:bCs/>
          <w:sz w:val="24"/>
          <w:szCs w:val="21"/>
        </w:rPr>
        <w:t xml:space="preserve">图 </w:t>
      </w:r>
      <w:r>
        <w:rPr>
          <w:b/>
          <w:bCs/>
          <w:sz w:val="24"/>
          <w:szCs w:val="21"/>
        </w:rPr>
        <w:fldChar w:fldCharType="begin"/>
      </w:r>
      <w:r>
        <w:rPr>
          <w:b/>
          <w:bCs/>
          <w:sz w:val="24"/>
          <w:szCs w:val="21"/>
        </w:rPr>
        <w:instrText xml:space="preserve"> STYLEREF 2 \s </w:instrText>
      </w:r>
      <w:r>
        <w:rPr>
          <w:b/>
          <w:bCs/>
          <w:sz w:val="24"/>
          <w:szCs w:val="21"/>
        </w:rPr>
        <w:fldChar w:fldCharType="separate"/>
      </w:r>
      <w:r>
        <w:rPr>
          <w:b/>
          <w:bCs/>
          <w:sz w:val="24"/>
          <w:szCs w:val="21"/>
        </w:rPr>
        <w:t>2.3</w:t>
      </w:r>
      <w:r>
        <w:rPr>
          <w:b/>
          <w:bCs/>
          <w:sz w:val="24"/>
          <w:szCs w:val="21"/>
        </w:rPr>
        <w:fldChar w:fldCharType="end"/>
      </w:r>
      <w:r>
        <w:rPr>
          <w:rFonts w:hint="eastAsia"/>
          <w:b/>
          <w:bCs/>
          <w:sz w:val="24"/>
          <w:szCs w:val="21"/>
        </w:rPr>
        <w:t>-</w:t>
      </w:r>
      <w:r>
        <w:rPr>
          <w:b/>
          <w:bCs/>
          <w:sz w:val="24"/>
          <w:szCs w:val="21"/>
        </w:rPr>
        <w:fldChar w:fldCharType="begin"/>
      </w:r>
      <w:r>
        <w:rPr>
          <w:b/>
          <w:bCs/>
          <w:sz w:val="24"/>
          <w:szCs w:val="21"/>
        </w:rPr>
        <w:instrText xml:space="preserve"> SEQ 图 \* ARABIC \s 2 </w:instrText>
      </w:r>
      <w:r>
        <w:rPr>
          <w:b/>
          <w:bCs/>
          <w:sz w:val="24"/>
          <w:szCs w:val="21"/>
        </w:rPr>
        <w:fldChar w:fldCharType="separate"/>
      </w:r>
      <w:r>
        <w:rPr>
          <w:b/>
          <w:bCs/>
          <w:sz w:val="24"/>
          <w:szCs w:val="21"/>
        </w:rPr>
        <w:t>3</w:t>
      </w:r>
      <w:r>
        <w:rPr>
          <w:b/>
          <w:bCs/>
          <w:sz w:val="24"/>
          <w:szCs w:val="21"/>
        </w:rPr>
        <w:fldChar w:fldCharType="end"/>
      </w:r>
      <w:r>
        <w:rPr>
          <w:rFonts w:hint="eastAsia"/>
          <w:b/>
          <w:bCs/>
          <w:sz w:val="24"/>
          <w:szCs w:val="21"/>
        </w:rPr>
        <w:t>建设项目周边环境图</w:t>
      </w:r>
    </w:p>
    <w:bookmarkEnd w:id="30"/>
    <w:p>
      <w:pPr>
        <w:pStyle w:val="6"/>
        <w:spacing w:before="156" w:after="156"/>
        <w:ind w:left="720" w:hanging="720"/>
      </w:pPr>
      <w:bookmarkStart w:id="40" w:name="_Toc76119851"/>
      <w:bookmarkStart w:id="41" w:name="_Toc19951"/>
      <w:r>
        <w:rPr>
          <w:rFonts w:hint="eastAsia"/>
        </w:rPr>
        <w:t>产品方案及设计生产规模</w:t>
      </w:r>
      <w:bookmarkEnd w:id="40"/>
      <w:bookmarkEnd w:id="41"/>
    </w:p>
    <w:p>
      <w:pPr>
        <w:pStyle w:val="7"/>
        <w:spacing w:before="156" w:after="156"/>
        <w:ind w:left="864" w:hanging="864"/>
      </w:pPr>
      <w:r>
        <w:rPr>
          <w:rFonts w:hint="eastAsia"/>
        </w:rPr>
        <w:t>产品方案</w:t>
      </w:r>
    </w:p>
    <w:p>
      <w:pPr>
        <w:spacing w:line="360" w:lineRule="auto"/>
        <w:ind w:firstLine="560"/>
        <w:jc w:val="both"/>
        <w:rPr>
          <w:rFonts w:ascii="宋体" w:hAnsi="宋体" w:cs="宋体"/>
        </w:rPr>
      </w:pPr>
      <w:r>
        <w:rPr>
          <w:rFonts w:hint="eastAsia" w:ascii="宋体" w:hAnsi="宋体" w:cs="宋体"/>
        </w:rPr>
        <w:t>本项目的详细产品方案及产品规格详见表2.2-2。</w:t>
      </w:r>
    </w:p>
    <w:p>
      <w:pPr>
        <w:spacing w:line="360" w:lineRule="auto"/>
        <w:ind w:firstLine="482"/>
        <w:jc w:val="center"/>
        <w:rPr>
          <w:rFonts w:ascii="宋体" w:hAnsi="宋体" w:cs="宋体"/>
          <w:b/>
          <w:sz w:val="24"/>
          <w:szCs w:val="24"/>
        </w:rPr>
      </w:pPr>
      <w:r>
        <w:rPr>
          <w:rFonts w:hint="eastAsia" w:ascii="宋体" w:hAnsi="宋体" w:cs="宋体"/>
          <w:b/>
          <w:sz w:val="24"/>
          <w:szCs w:val="24"/>
        </w:rPr>
        <w:t xml:space="preserve">表 </w:t>
      </w:r>
      <w:r>
        <w:rPr>
          <w:rFonts w:hint="eastAsia" w:ascii="宋体" w:hAnsi="宋体" w:cs="宋体"/>
          <w:b/>
          <w:sz w:val="24"/>
          <w:szCs w:val="24"/>
        </w:rPr>
        <w:fldChar w:fldCharType="begin"/>
      </w:r>
      <w:r>
        <w:rPr>
          <w:rFonts w:hint="eastAsia" w:ascii="宋体" w:hAnsi="宋体" w:cs="宋体"/>
          <w:b/>
          <w:sz w:val="24"/>
          <w:szCs w:val="24"/>
        </w:rPr>
        <w:instrText xml:space="preserve"> STYLEREF 2 \s </w:instrText>
      </w:r>
      <w:r>
        <w:rPr>
          <w:rFonts w:hint="eastAsia" w:ascii="宋体" w:hAnsi="宋体" w:cs="宋体"/>
          <w:b/>
          <w:sz w:val="24"/>
          <w:szCs w:val="24"/>
        </w:rPr>
        <w:fldChar w:fldCharType="separate"/>
      </w:r>
      <w:r>
        <w:rPr>
          <w:rFonts w:hint="eastAsia" w:ascii="宋体" w:hAnsi="宋体" w:cs="宋体"/>
          <w:b/>
          <w:sz w:val="24"/>
          <w:szCs w:val="24"/>
        </w:rPr>
        <w:t>2.3</w:t>
      </w:r>
      <w:r>
        <w:rPr>
          <w:rFonts w:hint="eastAsia" w:ascii="宋体" w:hAnsi="宋体" w:cs="宋体"/>
          <w:b/>
          <w:sz w:val="24"/>
          <w:szCs w:val="24"/>
        </w:rPr>
        <w:fldChar w:fldCharType="end"/>
      </w:r>
      <w:r>
        <w:rPr>
          <w:rFonts w:hint="eastAsia" w:ascii="宋体" w:hAnsi="宋体" w:cs="宋体"/>
          <w:b/>
          <w:sz w:val="24"/>
          <w:szCs w:val="24"/>
        </w:rPr>
        <w:t>-</w:t>
      </w:r>
      <w:r>
        <w:rPr>
          <w:rFonts w:hint="eastAsia" w:ascii="宋体" w:hAnsi="宋体" w:cs="宋体"/>
          <w:b/>
          <w:sz w:val="24"/>
          <w:szCs w:val="24"/>
        </w:rPr>
        <w:fldChar w:fldCharType="begin"/>
      </w:r>
      <w:r>
        <w:rPr>
          <w:rFonts w:hint="eastAsia" w:ascii="宋体" w:hAnsi="宋体" w:cs="宋体"/>
          <w:b/>
          <w:sz w:val="24"/>
          <w:szCs w:val="24"/>
        </w:rPr>
        <w:instrText xml:space="preserve"> SEQ 表 \* ARABIC \s 2 </w:instrText>
      </w:r>
      <w:r>
        <w:rPr>
          <w:rFonts w:hint="eastAsia" w:ascii="宋体" w:hAnsi="宋体" w:cs="宋体"/>
          <w:b/>
          <w:sz w:val="24"/>
          <w:szCs w:val="24"/>
        </w:rPr>
        <w:fldChar w:fldCharType="separate"/>
      </w:r>
      <w:r>
        <w:rPr>
          <w:rFonts w:hint="eastAsia" w:ascii="宋体" w:hAnsi="宋体" w:cs="宋体"/>
          <w:b/>
          <w:sz w:val="24"/>
          <w:szCs w:val="24"/>
        </w:rPr>
        <w:t>4</w:t>
      </w:r>
      <w:r>
        <w:rPr>
          <w:rFonts w:hint="eastAsia" w:ascii="宋体" w:hAnsi="宋体" w:cs="宋体"/>
          <w:b/>
          <w:sz w:val="24"/>
          <w:szCs w:val="24"/>
        </w:rPr>
        <w:fldChar w:fldCharType="end"/>
      </w:r>
      <w:r>
        <w:rPr>
          <w:rFonts w:hint="eastAsia" w:ascii="宋体" w:hAnsi="宋体" w:cs="宋体"/>
          <w:b/>
          <w:sz w:val="24"/>
          <w:szCs w:val="24"/>
        </w:rPr>
        <w:t>产品方案一览表</w:t>
      </w:r>
    </w:p>
    <w:tbl>
      <w:tblPr>
        <w:tblStyle w:val="29"/>
        <w:tblW w:w="868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31"/>
        <w:gridCol w:w="2779"/>
        <w:gridCol w:w="2163"/>
        <w:gridCol w:w="1720"/>
        <w:gridCol w:w="119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831" w:type="dxa"/>
            <w:vMerge w:val="restart"/>
            <w:vAlign w:val="center"/>
          </w:tcPr>
          <w:p>
            <w:pPr>
              <w:snapToGrid w:val="0"/>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序号</w:t>
            </w:r>
          </w:p>
        </w:tc>
        <w:tc>
          <w:tcPr>
            <w:tcW w:w="2779" w:type="dxa"/>
            <w:vMerge w:val="restart"/>
            <w:vAlign w:val="center"/>
          </w:tcPr>
          <w:p>
            <w:pPr>
              <w:snapToGrid w:val="0"/>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产品名称</w:t>
            </w:r>
          </w:p>
        </w:tc>
        <w:tc>
          <w:tcPr>
            <w:tcW w:w="2163" w:type="dxa"/>
            <w:vMerge w:val="restart"/>
            <w:vAlign w:val="center"/>
          </w:tcPr>
          <w:p>
            <w:pPr>
              <w:snapToGrid w:val="0"/>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年生产能力（件）</w:t>
            </w:r>
          </w:p>
        </w:tc>
        <w:tc>
          <w:tcPr>
            <w:tcW w:w="1720" w:type="dxa"/>
            <w:vMerge w:val="restart"/>
            <w:vAlign w:val="center"/>
          </w:tcPr>
          <w:p>
            <w:pPr>
              <w:snapToGrid w:val="0"/>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单件毛坯重量(公斤）</w:t>
            </w:r>
          </w:p>
        </w:tc>
        <w:tc>
          <w:tcPr>
            <w:tcW w:w="1196" w:type="dxa"/>
            <w:vMerge w:val="restart"/>
            <w:vAlign w:val="center"/>
          </w:tcPr>
          <w:p>
            <w:pPr>
              <w:snapToGrid w:val="0"/>
              <w:spacing w:line="240" w:lineRule="auto"/>
              <w:ind w:firstLine="0" w:firstLineChars="0"/>
              <w:jc w:val="both"/>
              <w:rPr>
                <w:rFonts w:ascii="宋体" w:hAnsi="宋体" w:cs="宋体"/>
                <w:kern w:val="0"/>
                <w:sz w:val="24"/>
                <w:szCs w:val="24"/>
              </w:rPr>
            </w:pPr>
            <w:r>
              <w:rPr>
                <w:rFonts w:hint="eastAsia" w:ascii="宋体" w:hAnsi="宋体" w:cs="宋体"/>
                <w:kern w:val="0"/>
                <w:sz w:val="24"/>
                <w:szCs w:val="24"/>
              </w:rPr>
              <w:t>合计毛坯   重量（吨）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831" w:type="dxa"/>
            <w:vMerge w:val="continue"/>
            <w:vAlign w:val="center"/>
          </w:tcPr>
          <w:p>
            <w:pPr>
              <w:snapToGrid w:val="0"/>
              <w:spacing w:line="240" w:lineRule="auto"/>
              <w:ind w:firstLine="0" w:firstLineChars="0"/>
              <w:rPr>
                <w:rFonts w:ascii="宋体" w:hAnsi="宋体" w:cs="宋体"/>
                <w:kern w:val="0"/>
                <w:sz w:val="24"/>
                <w:szCs w:val="24"/>
              </w:rPr>
            </w:pPr>
          </w:p>
        </w:tc>
        <w:tc>
          <w:tcPr>
            <w:tcW w:w="2779" w:type="dxa"/>
            <w:vMerge w:val="continue"/>
            <w:vAlign w:val="center"/>
          </w:tcPr>
          <w:p>
            <w:pPr>
              <w:snapToGrid w:val="0"/>
              <w:spacing w:line="240" w:lineRule="auto"/>
              <w:ind w:firstLine="0" w:firstLineChars="0"/>
              <w:rPr>
                <w:rFonts w:ascii="宋体" w:hAnsi="宋体" w:cs="宋体"/>
                <w:kern w:val="0"/>
                <w:sz w:val="24"/>
                <w:szCs w:val="24"/>
              </w:rPr>
            </w:pPr>
          </w:p>
        </w:tc>
        <w:tc>
          <w:tcPr>
            <w:tcW w:w="2163" w:type="dxa"/>
            <w:vMerge w:val="continue"/>
            <w:vAlign w:val="center"/>
          </w:tcPr>
          <w:p>
            <w:pPr>
              <w:snapToGrid w:val="0"/>
              <w:spacing w:line="240" w:lineRule="auto"/>
              <w:ind w:firstLine="0" w:firstLineChars="0"/>
              <w:rPr>
                <w:rFonts w:ascii="宋体" w:hAnsi="宋体" w:cs="宋体"/>
                <w:kern w:val="0"/>
                <w:sz w:val="24"/>
                <w:szCs w:val="24"/>
              </w:rPr>
            </w:pPr>
          </w:p>
        </w:tc>
        <w:tc>
          <w:tcPr>
            <w:tcW w:w="1720" w:type="dxa"/>
            <w:vMerge w:val="continue"/>
            <w:vAlign w:val="center"/>
          </w:tcPr>
          <w:p>
            <w:pPr>
              <w:snapToGrid w:val="0"/>
              <w:spacing w:line="240" w:lineRule="auto"/>
              <w:ind w:firstLine="0" w:firstLineChars="0"/>
              <w:rPr>
                <w:rFonts w:ascii="宋体" w:hAnsi="宋体" w:cs="宋体"/>
                <w:kern w:val="0"/>
                <w:sz w:val="24"/>
                <w:szCs w:val="24"/>
              </w:rPr>
            </w:pPr>
          </w:p>
        </w:tc>
        <w:tc>
          <w:tcPr>
            <w:tcW w:w="1196" w:type="dxa"/>
            <w:vMerge w:val="continue"/>
            <w:vAlign w:val="center"/>
          </w:tcPr>
          <w:p>
            <w:pPr>
              <w:snapToGrid w:val="0"/>
              <w:spacing w:line="240" w:lineRule="auto"/>
              <w:ind w:firstLine="0" w:firstLineChars="0"/>
              <w:rPr>
                <w:rFonts w:ascii="宋体" w:hAnsi="宋体" w:cs="宋体"/>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1" w:hRule="atLeast"/>
          <w:jc w:val="center"/>
        </w:trPr>
        <w:tc>
          <w:tcPr>
            <w:tcW w:w="831" w:type="dxa"/>
            <w:vAlign w:val="center"/>
          </w:tcPr>
          <w:p>
            <w:pPr>
              <w:snapToGrid w:val="0"/>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一</w:t>
            </w:r>
          </w:p>
        </w:tc>
        <w:tc>
          <w:tcPr>
            <w:tcW w:w="2779" w:type="dxa"/>
            <w:vAlign w:val="center"/>
          </w:tcPr>
          <w:p>
            <w:pPr>
              <w:snapToGrid w:val="0"/>
              <w:spacing w:line="240" w:lineRule="auto"/>
              <w:ind w:firstLine="0" w:firstLineChars="0"/>
              <w:rPr>
                <w:rFonts w:ascii="宋体" w:hAnsi="宋体" w:cs="宋体"/>
                <w:kern w:val="0"/>
                <w:sz w:val="24"/>
                <w:szCs w:val="24"/>
              </w:rPr>
            </w:pPr>
            <w:r>
              <w:rPr>
                <w:rFonts w:hint="eastAsia" w:ascii="宋体" w:hAnsi="宋体" w:cs="宋体"/>
                <w:kern w:val="0"/>
                <w:sz w:val="24"/>
                <w:szCs w:val="24"/>
              </w:rPr>
              <w:t>粘土砂铸造车间（一期）</w:t>
            </w:r>
          </w:p>
        </w:tc>
        <w:tc>
          <w:tcPr>
            <w:tcW w:w="2163" w:type="dxa"/>
            <w:vAlign w:val="center"/>
          </w:tcPr>
          <w:p>
            <w:pPr>
              <w:snapToGrid w:val="0"/>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　</w:t>
            </w:r>
          </w:p>
        </w:tc>
        <w:tc>
          <w:tcPr>
            <w:tcW w:w="1720" w:type="dxa"/>
            <w:vAlign w:val="center"/>
          </w:tcPr>
          <w:p>
            <w:pPr>
              <w:snapToGrid w:val="0"/>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　</w:t>
            </w:r>
          </w:p>
        </w:tc>
        <w:tc>
          <w:tcPr>
            <w:tcW w:w="1196" w:type="dxa"/>
            <w:vAlign w:val="center"/>
          </w:tcPr>
          <w:p>
            <w:pPr>
              <w:snapToGrid w:val="0"/>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1" w:hRule="atLeast"/>
          <w:jc w:val="center"/>
        </w:trPr>
        <w:tc>
          <w:tcPr>
            <w:tcW w:w="831" w:type="dxa"/>
            <w:vAlign w:val="center"/>
          </w:tcPr>
          <w:p>
            <w:pPr>
              <w:snapToGrid w:val="0"/>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1</w:t>
            </w:r>
          </w:p>
        </w:tc>
        <w:tc>
          <w:tcPr>
            <w:tcW w:w="2779" w:type="dxa"/>
            <w:vAlign w:val="center"/>
          </w:tcPr>
          <w:p>
            <w:pPr>
              <w:snapToGrid w:val="0"/>
              <w:spacing w:line="240" w:lineRule="auto"/>
              <w:ind w:firstLine="0" w:firstLineChars="0"/>
              <w:rPr>
                <w:rFonts w:ascii="宋体" w:hAnsi="宋体" w:cs="宋体"/>
                <w:kern w:val="0"/>
                <w:sz w:val="24"/>
                <w:szCs w:val="24"/>
              </w:rPr>
            </w:pPr>
            <w:r>
              <w:rPr>
                <w:rFonts w:hint="eastAsia" w:ascii="宋体" w:hAnsi="宋体" w:cs="宋体"/>
                <w:kern w:val="0"/>
                <w:sz w:val="24"/>
                <w:szCs w:val="24"/>
              </w:rPr>
              <w:t>排气管</w:t>
            </w:r>
          </w:p>
        </w:tc>
        <w:tc>
          <w:tcPr>
            <w:tcW w:w="2163" w:type="dxa"/>
            <w:vAlign w:val="center"/>
          </w:tcPr>
          <w:p>
            <w:pPr>
              <w:snapToGrid w:val="0"/>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200000</w:t>
            </w:r>
          </w:p>
        </w:tc>
        <w:tc>
          <w:tcPr>
            <w:tcW w:w="1720" w:type="dxa"/>
            <w:vAlign w:val="center"/>
          </w:tcPr>
          <w:p>
            <w:pPr>
              <w:snapToGrid w:val="0"/>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6</w:t>
            </w:r>
          </w:p>
        </w:tc>
        <w:tc>
          <w:tcPr>
            <w:tcW w:w="1196" w:type="dxa"/>
            <w:vAlign w:val="center"/>
          </w:tcPr>
          <w:p>
            <w:pPr>
              <w:snapToGrid w:val="0"/>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1200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1" w:hRule="atLeast"/>
          <w:jc w:val="center"/>
        </w:trPr>
        <w:tc>
          <w:tcPr>
            <w:tcW w:w="831" w:type="dxa"/>
            <w:vAlign w:val="center"/>
          </w:tcPr>
          <w:p>
            <w:pPr>
              <w:snapToGrid w:val="0"/>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2</w:t>
            </w:r>
          </w:p>
        </w:tc>
        <w:tc>
          <w:tcPr>
            <w:tcW w:w="2779" w:type="dxa"/>
            <w:vAlign w:val="center"/>
          </w:tcPr>
          <w:p>
            <w:pPr>
              <w:snapToGrid w:val="0"/>
              <w:spacing w:line="240" w:lineRule="auto"/>
              <w:ind w:firstLine="0" w:firstLineChars="0"/>
              <w:rPr>
                <w:rFonts w:ascii="宋体" w:hAnsi="宋体" w:cs="宋体"/>
                <w:kern w:val="0"/>
                <w:sz w:val="24"/>
                <w:szCs w:val="24"/>
              </w:rPr>
            </w:pPr>
            <w:r>
              <w:rPr>
                <w:rFonts w:hint="eastAsia" w:ascii="宋体" w:hAnsi="宋体" w:cs="宋体"/>
                <w:kern w:val="0"/>
                <w:sz w:val="24"/>
                <w:szCs w:val="24"/>
              </w:rPr>
              <w:t>排气尾管</w:t>
            </w:r>
          </w:p>
        </w:tc>
        <w:tc>
          <w:tcPr>
            <w:tcW w:w="2163" w:type="dxa"/>
            <w:vAlign w:val="center"/>
          </w:tcPr>
          <w:p>
            <w:pPr>
              <w:snapToGrid w:val="0"/>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400000</w:t>
            </w:r>
          </w:p>
        </w:tc>
        <w:tc>
          <w:tcPr>
            <w:tcW w:w="1720" w:type="dxa"/>
            <w:vAlign w:val="center"/>
          </w:tcPr>
          <w:p>
            <w:pPr>
              <w:snapToGrid w:val="0"/>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3</w:t>
            </w:r>
          </w:p>
        </w:tc>
        <w:tc>
          <w:tcPr>
            <w:tcW w:w="1196" w:type="dxa"/>
            <w:vAlign w:val="center"/>
          </w:tcPr>
          <w:p>
            <w:pPr>
              <w:snapToGrid w:val="0"/>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1200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1" w:hRule="atLeast"/>
          <w:jc w:val="center"/>
        </w:trPr>
        <w:tc>
          <w:tcPr>
            <w:tcW w:w="831" w:type="dxa"/>
            <w:vAlign w:val="center"/>
          </w:tcPr>
          <w:p>
            <w:pPr>
              <w:snapToGrid w:val="0"/>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3</w:t>
            </w:r>
          </w:p>
        </w:tc>
        <w:tc>
          <w:tcPr>
            <w:tcW w:w="2779" w:type="dxa"/>
            <w:vAlign w:val="center"/>
          </w:tcPr>
          <w:p>
            <w:pPr>
              <w:snapToGrid w:val="0"/>
              <w:spacing w:line="240" w:lineRule="auto"/>
              <w:ind w:firstLine="0" w:firstLineChars="0"/>
              <w:rPr>
                <w:rFonts w:ascii="宋体" w:hAnsi="宋体" w:cs="宋体"/>
                <w:kern w:val="0"/>
                <w:sz w:val="24"/>
                <w:szCs w:val="24"/>
              </w:rPr>
            </w:pPr>
            <w:r>
              <w:rPr>
                <w:rFonts w:hint="eastAsia" w:ascii="宋体" w:hAnsi="宋体" w:cs="宋体"/>
                <w:kern w:val="0"/>
                <w:sz w:val="24"/>
                <w:szCs w:val="24"/>
              </w:rPr>
              <w:t>机油滤联接板</w:t>
            </w:r>
          </w:p>
        </w:tc>
        <w:tc>
          <w:tcPr>
            <w:tcW w:w="2163" w:type="dxa"/>
            <w:vAlign w:val="center"/>
          </w:tcPr>
          <w:p>
            <w:pPr>
              <w:snapToGrid w:val="0"/>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200000</w:t>
            </w:r>
          </w:p>
        </w:tc>
        <w:tc>
          <w:tcPr>
            <w:tcW w:w="1720" w:type="dxa"/>
            <w:vAlign w:val="center"/>
          </w:tcPr>
          <w:p>
            <w:pPr>
              <w:snapToGrid w:val="0"/>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2</w:t>
            </w:r>
          </w:p>
        </w:tc>
        <w:tc>
          <w:tcPr>
            <w:tcW w:w="1196" w:type="dxa"/>
            <w:vAlign w:val="center"/>
          </w:tcPr>
          <w:p>
            <w:pPr>
              <w:snapToGrid w:val="0"/>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400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1" w:hRule="atLeast"/>
          <w:jc w:val="center"/>
        </w:trPr>
        <w:tc>
          <w:tcPr>
            <w:tcW w:w="831" w:type="dxa"/>
            <w:vAlign w:val="center"/>
          </w:tcPr>
          <w:p>
            <w:pPr>
              <w:snapToGrid w:val="0"/>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4</w:t>
            </w:r>
          </w:p>
        </w:tc>
        <w:tc>
          <w:tcPr>
            <w:tcW w:w="2779" w:type="dxa"/>
            <w:vAlign w:val="center"/>
          </w:tcPr>
          <w:p>
            <w:pPr>
              <w:snapToGrid w:val="0"/>
              <w:spacing w:line="240" w:lineRule="auto"/>
              <w:ind w:firstLine="0" w:firstLineChars="0"/>
              <w:rPr>
                <w:rFonts w:ascii="宋体" w:hAnsi="宋体" w:cs="宋体"/>
                <w:kern w:val="0"/>
                <w:sz w:val="24"/>
                <w:szCs w:val="24"/>
              </w:rPr>
            </w:pPr>
            <w:r>
              <w:rPr>
                <w:rFonts w:hint="eastAsia" w:ascii="宋体" w:hAnsi="宋体" w:cs="宋体"/>
                <w:kern w:val="0"/>
                <w:sz w:val="24"/>
                <w:szCs w:val="24"/>
              </w:rPr>
              <w:t>机油泵上轴套盖</w:t>
            </w:r>
          </w:p>
        </w:tc>
        <w:tc>
          <w:tcPr>
            <w:tcW w:w="2163" w:type="dxa"/>
            <w:vAlign w:val="center"/>
          </w:tcPr>
          <w:p>
            <w:pPr>
              <w:snapToGrid w:val="0"/>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500000</w:t>
            </w:r>
          </w:p>
        </w:tc>
        <w:tc>
          <w:tcPr>
            <w:tcW w:w="1720" w:type="dxa"/>
            <w:vAlign w:val="center"/>
          </w:tcPr>
          <w:p>
            <w:pPr>
              <w:snapToGrid w:val="0"/>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1</w:t>
            </w:r>
          </w:p>
        </w:tc>
        <w:tc>
          <w:tcPr>
            <w:tcW w:w="1196" w:type="dxa"/>
            <w:vAlign w:val="center"/>
          </w:tcPr>
          <w:p>
            <w:pPr>
              <w:snapToGrid w:val="0"/>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500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1" w:hRule="atLeast"/>
          <w:jc w:val="center"/>
        </w:trPr>
        <w:tc>
          <w:tcPr>
            <w:tcW w:w="831" w:type="dxa"/>
            <w:vAlign w:val="center"/>
          </w:tcPr>
          <w:p>
            <w:pPr>
              <w:snapToGrid w:val="0"/>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5</w:t>
            </w:r>
          </w:p>
        </w:tc>
        <w:tc>
          <w:tcPr>
            <w:tcW w:w="2779" w:type="dxa"/>
            <w:vAlign w:val="center"/>
          </w:tcPr>
          <w:p>
            <w:pPr>
              <w:snapToGrid w:val="0"/>
              <w:spacing w:line="240" w:lineRule="auto"/>
              <w:ind w:firstLine="0" w:firstLineChars="0"/>
              <w:rPr>
                <w:rFonts w:ascii="宋体" w:hAnsi="宋体" w:cs="宋体"/>
                <w:kern w:val="0"/>
                <w:sz w:val="24"/>
                <w:szCs w:val="24"/>
              </w:rPr>
            </w:pPr>
            <w:r>
              <w:rPr>
                <w:rFonts w:hint="eastAsia" w:ascii="宋体" w:hAnsi="宋体" w:cs="宋体"/>
                <w:kern w:val="0"/>
                <w:sz w:val="24"/>
                <w:szCs w:val="24"/>
              </w:rPr>
              <w:t>轮芯</w:t>
            </w:r>
          </w:p>
        </w:tc>
        <w:tc>
          <w:tcPr>
            <w:tcW w:w="2163" w:type="dxa"/>
            <w:vAlign w:val="center"/>
          </w:tcPr>
          <w:p>
            <w:pPr>
              <w:snapToGrid w:val="0"/>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50000</w:t>
            </w:r>
          </w:p>
        </w:tc>
        <w:tc>
          <w:tcPr>
            <w:tcW w:w="1720" w:type="dxa"/>
            <w:vAlign w:val="center"/>
          </w:tcPr>
          <w:p>
            <w:pPr>
              <w:snapToGrid w:val="0"/>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12</w:t>
            </w:r>
          </w:p>
        </w:tc>
        <w:tc>
          <w:tcPr>
            <w:tcW w:w="1196" w:type="dxa"/>
            <w:vAlign w:val="center"/>
          </w:tcPr>
          <w:p>
            <w:pPr>
              <w:snapToGrid w:val="0"/>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600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1" w:hRule="atLeast"/>
          <w:jc w:val="center"/>
        </w:trPr>
        <w:tc>
          <w:tcPr>
            <w:tcW w:w="831" w:type="dxa"/>
            <w:vAlign w:val="center"/>
          </w:tcPr>
          <w:p>
            <w:pPr>
              <w:snapToGrid w:val="0"/>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6</w:t>
            </w:r>
          </w:p>
        </w:tc>
        <w:tc>
          <w:tcPr>
            <w:tcW w:w="2779" w:type="dxa"/>
            <w:vAlign w:val="center"/>
          </w:tcPr>
          <w:p>
            <w:pPr>
              <w:snapToGrid w:val="0"/>
              <w:spacing w:line="240" w:lineRule="auto"/>
              <w:ind w:firstLine="0" w:firstLineChars="0"/>
              <w:rPr>
                <w:rFonts w:ascii="宋体" w:hAnsi="宋体" w:cs="宋体"/>
                <w:kern w:val="0"/>
                <w:sz w:val="24"/>
                <w:szCs w:val="24"/>
              </w:rPr>
            </w:pPr>
            <w:r>
              <w:rPr>
                <w:rFonts w:hint="eastAsia" w:ascii="宋体" w:hAnsi="宋体" w:cs="宋体"/>
                <w:kern w:val="0"/>
                <w:sz w:val="24"/>
                <w:szCs w:val="24"/>
              </w:rPr>
              <w:t>差速器壳</w:t>
            </w:r>
          </w:p>
        </w:tc>
        <w:tc>
          <w:tcPr>
            <w:tcW w:w="2163" w:type="dxa"/>
            <w:vAlign w:val="center"/>
          </w:tcPr>
          <w:p>
            <w:pPr>
              <w:snapToGrid w:val="0"/>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70000</w:t>
            </w:r>
          </w:p>
        </w:tc>
        <w:tc>
          <w:tcPr>
            <w:tcW w:w="1720" w:type="dxa"/>
            <w:vAlign w:val="center"/>
          </w:tcPr>
          <w:p>
            <w:pPr>
              <w:snapToGrid w:val="0"/>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20</w:t>
            </w:r>
          </w:p>
        </w:tc>
        <w:tc>
          <w:tcPr>
            <w:tcW w:w="1196" w:type="dxa"/>
            <w:vAlign w:val="center"/>
          </w:tcPr>
          <w:p>
            <w:pPr>
              <w:snapToGrid w:val="0"/>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1400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1" w:hRule="atLeast"/>
          <w:jc w:val="center"/>
        </w:trPr>
        <w:tc>
          <w:tcPr>
            <w:tcW w:w="831" w:type="dxa"/>
            <w:vAlign w:val="center"/>
          </w:tcPr>
          <w:p>
            <w:pPr>
              <w:snapToGrid w:val="0"/>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7</w:t>
            </w:r>
          </w:p>
        </w:tc>
        <w:tc>
          <w:tcPr>
            <w:tcW w:w="2779" w:type="dxa"/>
            <w:vAlign w:val="center"/>
          </w:tcPr>
          <w:p>
            <w:pPr>
              <w:snapToGrid w:val="0"/>
              <w:spacing w:line="240" w:lineRule="auto"/>
              <w:ind w:firstLine="0" w:firstLineChars="0"/>
              <w:rPr>
                <w:rFonts w:ascii="宋体" w:hAnsi="宋体" w:cs="宋体"/>
                <w:kern w:val="0"/>
                <w:sz w:val="24"/>
                <w:szCs w:val="24"/>
              </w:rPr>
            </w:pPr>
            <w:r>
              <w:rPr>
                <w:rFonts w:hint="eastAsia" w:ascii="宋体" w:hAnsi="宋体" w:cs="宋体"/>
                <w:kern w:val="0"/>
                <w:sz w:val="24"/>
                <w:szCs w:val="24"/>
              </w:rPr>
              <w:t>减速器壳</w:t>
            </w:r>
          </w:p>
        </w:tc>
        <w:tc>
          <w:tcPr>
            <w:tcW w:w="2163" w:type="dxa"/>
            <w:vAlign w:val="center"/>
          </w:tcPr>
          <w:p>
            <w:pPr>
              <w:snapToGrid w:val="0"/>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70000</w:t>
            </w:r>
          </w:p>
        </w:tc>
        <w:tc>
          <w:tcPr>
            <w:tcW w:w="1720" w:type="dxa"/>
            <w:vAlign w:val="center"/>
          </w:tcPr>
          <w:p>
            <w:pPr>
              <w:snapToGrid w:val="0"/>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12</w:t>
            </w:r>
          </w:p>
        </w:tc>
        <w:tc>
          <w:tcPr>
            <w:tcW w:w="1196" w:type="dxa"/>
            <w:vAlign w:val="center"/>
          </w:tcPr>
          <w:p>
            <w:pPr>
              <w:snapToGrid w:val="0"/>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840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1" w:hRule="atLeast"/>
          <w:jc w:val="center"/>
        </w:trPr>
        <w:tc>
          <w:tcPr>
            <w:tcW w:w="831" w:type="dxa"/>
            <w:vAlign w:val="center"/>
          </w:tcPr>
          <w:p>
            <w:pPr>
              <w:snapToGrid w:val="0"/>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8</w:t>
            </w:r>
          </w:p>
        </w:tc>
        <w:tc>
          <w:tcPr>
            <w:tcW w:w="2779" w:type="dxa"/>
            <w:vAlign w:val="center"/>
          </w:tcPr>
          <w:p>
            <w:pPr>
              <w:snapToGrid w:val="0"/>
              <w:spacing w:line="240" w:lineRule="auto"/>
              <w:ind w:firstLine="0" w:firstLineChars="0"/>
              <w:rPr>
                <w:rFonts w:ascii="宋体" w:hAnsi="宋体" w:cs="宋体"/>
                <w:kern w:val="0"/>
                <w:sz w:val="24"/>
                <w:szCs w:val="24"/>
              </w:rPr>
            </w:pPr>
            <w:r>
              <w:rPr>
                <w:rFonts w:hint="eastAsia" w:ascii="宋体" w:hAnsi="宋体" w:cs="宋体"/>
                <w:kern w:val="0"/>
                <w:sz w:val="24"/>
                <w:szCs w:val="24"/>
              </w:rPr>
              <w:t>轮毂</w:t>
            </w:r>
          </w:p>
        </w:tc>
        <w:tc>
          <w:tcPr>
            <w:tcW w:w="2163" w:type="dxa"/>
            <w:vAlign w:val="center"/>
          </w:tcPr>
          <w:p>
            <w:pPr>
              <w:snapToGrid w:val="0"/>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120000</w:t>
            </w:r>
          </w:p>
        </w:tc>
        <w:tc>
          <w:tcPr>
            <w:tcW w:w="1720" w:type="dxa"/>
            <w:vAlign w:val="center"/>
          </w:tcPr>
          <w:p>
            <w:pPr>
              <w:snapToGrid w:val="0"/>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9</w:t>
            </w:r>
          </w:p>
        </w:tc>
        <w:tc>
          <w:tcPr>
            <w:tcW w:w="1196" w:type="dxa"/>
            <w:vAlign w:val="center"/>
          </w:tcPr>
          <w:p>
            <w:pPr>
              <w:snapToGrid w:val="0"/>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1080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1" w:hRule="atLeast"/>
          <w:jc w:val="center"/>
        </w:trPr>
        <w:tc>
          <w:tcPr>
            <w:tcW w:w="831" w:type="dxa"/>
            <w:vAlign w:val="center"/>
          </w:tcPr>
          <w:p>
            <w:pPr>
              <w:snapToGrid w:val="0"/>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9</w:t>
            </w:r>
          </w:p>
        </w:tc>
        <w:tc>
          <w:tcPr>
            <w:tcW w:w="2779" w:type="dxa"/>
            <w:vAlign w:val="center"/>
          </w:tcPr>
          <w:p>
            <w:pPr>
              <w:snapToGrid w:val="0"/>
              <w:spacing w:line="240" w:lineRule="auto"/>
              <w:ind w:firstLine="0" w:firstLineChars="0"/>
              <w:rPr>
                <w:rFonts w:ascii="宋体" w:hAnsi="宋体" w:cs="宋体"/>
                <w:kern w:val="0"/>
                <w:sz w:val="24"/>
                <w:szCs w:val="24"/>
              </w:rPr>
            </w:pPr>
            <w:r>
              <w:rPr>
                <w:rFonts w:hint="eastAsia" w:ascii="宋体" w:hAnsi="宋体" w:cs="宋体"/>
                <w:kern w:val="0"/>
                <w:sz w:val="24"/>
                <w:szCs w:val="24"/>
              </w:rPr>
              <w:t>盖板、托板</w:t>
            </w:r>
          </w:p>
        </w:tc>
        <w:tc>
          <w:tcPr>
            <w:tcW w:w="2163" w:type="dxa"/>
            <w:vAlign w:val="center"/>
          </w:tcPr>
          <w:p>
            <w:pPr>
              <w:snapToGrid w:val="0"/>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200000</w:t>
            </w:r>
          </w:p>
        </w:tc>
        <w:tc>
          <w:tcPr>
            <w:tcW w:w="1720" w:type="dxa"/>
            <w:vAlign w:val="center"/>
          </w:tcPr>
          <w:p>
            <w:pPr>
              <w:snapToGrid w:val="0"/>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5</w:t>
            </w:r>
          </w:p>
        </w:tc>
        <w:tc>
          <w:tcPr>
            <w:tcW w:w="1196" w:type="dxa"/>
            <w:vAlign w:val="center"/>
          </w:tcPr>
          <w:p>
            <w:pPr>
              <w:snapToGrid w:val="0"/>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1000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1" w:hRule="atLeast"/>
          <w:jc w:val="center"/>
        </w:trPr>
        <w:tc>
          <w:tcPr>
            <w:tcW w:w="831" w:type="dxa"/>
            <w:vAlign w:val="center"/>
          </w:tcPr>
          <w:p>
            <w:pPr>
              <w:snapToGrid w:val="0"/>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10</w:t>
            </w:r>
          </w:p>
        </w:tc>
        <w:tc>
          <w:tcPr>
            <w:tcW w:w="2779" w:type="dxa"/>
            <w:vAlign w:val="center"/>
          </w:tcPr>
          <w:p>
            <w:pPr>
              <w:snapToGrid w:val="0"/>
              <w:spacing w:line="240" w:lineRule="auto"/>
              <w:ind w:firstLine="0" w:firstLineChars="0"/>
              <w:rPr>
                <w:rFonts w:ascii="宋体" w:hAnsi="宋体" w:cs="宋体"/>
                <w:kern w:val="0"/>
                <w:sz w:val="24"/>
                <w:szCs w:val="24"/>
              </w:rPr>
            </w:pPr>
            <w:r>
              <w:rPr>
                <w:rFonts w:hint="eastAsia" w:ascii="宋体" w:hAnsi="宋体" w:cs="宋体"/>
                <w:kern w:val="0"/>
                <w:sz w:val="24"/>
                <w:szCs w:val="24"/>
              </w:rPr>
              <w:t>支架</w:t>
            </w:r>
          </w:p>
        </w:tc>
        <w:tc>
          <w:tcPr>
            <w:tcW w:w="2163" w:type="dxa"/>
            <w:vAlign w:val="center"/>
          </w:tcPr>
          <w:p>
            <w:pPr>
              <w:snapToGrid w:val="0"/>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100000</w:t>
            </w:r>
          </w:p>
        </w:tc>
        <w:tc>
          <w:tcPr>
            <w:tcW w:w="1720" w:type="dxa"/>
            <w:vAlign w:val="center"/>
          </w:tcPr>
          <w:p>
            <w:pPr>
              <w:snapToGrid w:val="0"/>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4</w:t>
            </w:r>
          </w:p>
        </w:tc>
        <w:tc>
          <w:tcPr>
            <w:tcW w:w="1196" w:type="dxa"/>
            <w:vAlign w:val="center"/>
          </w:tcPr>
          <w:p>
            <w:pPr>
              <w:snapToGrid w:val="0"/>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400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1" w:hRule="atLeast"/>
          <w:jc w:val="center"/>
        </w:trPr>
        <w:tc>
          <w:tcPr>
            <w:tcW w:w="831" w:type="dxa"/>
            <w:vAlign w:val="center"/>
          </w:tcPr>
          <w:p>
            <w:pPr>
              <w:snapToGrid w:val="0"/>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11</w:t>
            </w:r>
          </w:p>
        </w:tc>
        <w:tc>
          <w:tcPr>
            <w:tcW w:w="2779" w:type="dxa"/>
            <w:vAlign w:val="center"/>
          </w:tcPr>
          <w:p>
            <w:pPr>
              <w:snapToGrid w:val="0"/>
              <w:spacing w:line="240" w:lineRule="auto"/>
              <w:ind w:firstLine="0" w:firstLineChars="0"/>
              <w:rPr>
                <w:rFonts w:ascii="宋体" w:hAnsi="宋体" w:cs="宋体"/>
                <w:kern w:val="0"/>
                <w:sz w:val="24"/>
                <w:szCs w:val="24"/>
              </w:rPr>
            </w:pPr>
            <w:r>
              <w:rPr>
                <w:rFonts w:hint="eastAsia" w:ascii="宋体" w:hAnsi="宋体" w:cs="宋体"/>
                <w:kern w:val="0"/>
                <w:sz w:val="24"/>
                <w:szCs w:val="24"/>
              </w:rPr>
              <w:t>车轮毂</w:t>
            </w:r>
          </w:p>
        </w:tc>
        <w:tc>
          <w:tcPr>
            <w:tcW w:w="2163" w:type="dxa"/>
            <w:vAlign w:val="center"/>
          </w:tcPr>
          <w:p>
            <w:pPr>
              <w:snapToGrid w:val="0"/>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38607.580</w:t>
            </w:r>
          </w:p>
        </w:tc>
        <w:tc>
          <w:tcPr>
            <w:tcW w:w="1720" w:type="dxa"/>
            <w:vAlign w:val="center"/>
          </w:tcPr>
          <w:p>
            <w:pPr>
              <w:snapToGrid w:val="0"/>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7</w:t>
            </w:r>
          </w:p>
        </w:tc>
        <w:tc>
          <w:tcPr>
            <w:tcW w:w="1196" w:type="dxa"/>
            <w:vAlign w:val="center"/>
          </w:tcPr>
          <w:p>
            <w:pPr>
              <w:snapToGrid w:val="0"/>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560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1" w:hRule="atLeast"/>
          <w:jc w:val="center"/>
        </w:trPr>
        <w:tc>
          <w:tcPr>
            <w:tcW w:w="831" w:type="dxa"/>
            <w:vAlign w:val="center"/>
          </w:tcPr>
          <w:p>
            <w:pPr>
              <w:snapToGrid w:val="0"/>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12</w:t>
            </w:r>
          </w:p>
        </w:tc>
        <w:tc>
          <w:tcPr>
            <w:tcW w:w="2779" w:type="dxa"/>
            <w:vAlign w:val="center"/>
          </w:tcPr>
          <w:p>
            <w:pPr>
              <w:snapToGrid w:val="0"/>
              <w:spacing w:line="240" w:lineRule="auto"/>
              <w:ind w:firstLine="0" w:firstLineChars="0"/>
              <w:rPr>
                <w:rFonts w:ascii="宋体" w:hAnsi="宋体" w:cs="宋体"/>
                <w:kern w:val="0"/>
                <w:sz w:val="24"/>
                <w:szCs w:val="24"/>
              </w:rPr>
            </w:pPr>
            <w:r>
              <w:rPr>
                <w:rFonts w:hint="eastAsia" w:ascii="宋体" w:hAnsi="宋体" w:cs="宋体"/>
                <w:kern w:val="0"/>
                <w:sz w:val="24"/>
                <w:szCs w:val="24"/>
              </w:rPr>
              <w:t>挂接框</w:t>
            </w:r>
          </w:p>
        </w:tc>
        <w:tc>
          <w:tcPr>
            <w:tcW w:w="2163" w:type="dxa"/>
            <w:vAlign w:val="center"/>
          </w:tcPr>
          <w:p>
            <w:pPr>
              <w:snapToGrid w:val="0"/>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40000</w:t>
            </w:r>
          </w:p>
        </w:tc>
        <w:tc>
          <w:tcPr>
            <w:tcW w:w="1720" w:type="dxa"/>
            <w:vAlign w:val="center"/>
          </w:tcPr>
          <w:p>
            <w:pPr>
              <w:snapToGrid w:val="0"/>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6</w:t>
            </w:r>
          </w:p>
        </w:tc>
        <w:tc>
          <w:tcPr>
            <w:tcW w:w="1196" w:type="dxa"/>
            <w:vAlign w:val="center"/>
          </w:tcPr>
          <w:p>
            <w:pPr>
              <w:snapToGrid w:val="0"/>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240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1" w:hRule="atLeast"/>
          <w:jc w:val="center"/>
        </w:trPr>
        <w:tc>
          <w:tcPr>
            <w:tcW w:w="831" w:type="dxa"/>
            <w:vAlign w:val="center"/>
          </w:tcPr>
          <w:p>
            <w:pPr>
              <w:snapToGrid w:val="0"/>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13</w:t>
            </w:r>
          </w:p>
        </w:tc>
        <w:tc>
          <w:tcPr>
            <w:tcW w:w="2779" w:type="dxa"/>
            <w:vAlign w:val="center"/>
          </w:tcPr>
          <w:p>
            <w:pPr>
              <w:snapToGrid w:val="0"/>
              <w:spacing w:line="240" w:lineRule="auto"/>
              <w:ind w:firstLine="0" w:firstLineChars="0"/>
              <w:rPr>
                <w:rFonts w:ascii="宋体" w:hAnsi="宋体" w:cs="宋体"/>
                <w:kern w:val="0"/>
                <w:sz w:val="24"/>
                <w:szCs w:val="24"/>
              </w:rPr>
            </w:pPr>
            <w:r>
              <w:rPr>
                <w:rFonts w:hint="eastAsia" w:ascii="宋体" w:hAnsi="宋体" w:cs="宋体"/>
                <w:kern w:val="0"/>
                <w:sz w:val="24"/>
                <w:szCs w:val="24"/>
              </w:rPr>
              <w:t>变速箱体</w:t>
            </w:r>
          </w:p>
        </w:tc>
        <w:tc>
          <w:tcPr>
            <w:tcW w:w="2163" w:type="dxa"/>
            <w:vAlign w:val="center"/>
          </w:tcPr>
          <w:p>
            <w:pPr>
              <w:snapToGrid w:val="0"/>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40000</w:t>
            </w:r>
          </w:p>
        </w:tc>
        <w:tc>
          <w:tcPr>
            <w:tcW w:w="1720" w:type="dxa"/>
            <w:vAlign w:val="center"/>
          </w:tcPr>
          <w:p>
            <w:pPr>
              <w:snapToGrid w:val="0"/>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28</w:t>
            </w:r>
          </w:p>
        </w:tc>
        <w:tc>
          <w:tcPr>
            <w:tcW w:w="1196" w:type="dxa"/>
            <w:vAlign w:val="center"/>
          </w:tcPr>
          <w:p>
            <w:pPr>
              <w:snapToGrid w:val="0"/>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1120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1" w:hRule="atLeast"/>
          <w:jc w:val="center"/>
        </w:trPr>
        <w:tc>
          <w:tcPr>
            <w:tcW w:w="831" w:type="dxa"/>
            <w:vAlign w:val="center"/>
          </w:tcPr>
          <w:p>
            <w:pPr>
              <w:snapToGrid w:val="0"/>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14</w:t>
            </w:r>
          </w:p>
        </w:tc>
        <w:tc>
          <w:tcPr>
            <w:tcW w:w="2779" w:type="dxa"/>
            <w:vAlign w:val="center"/>
          </w:tcPr>
          <w:p>
            <w:pPr>
              <w:snapToGrid w:val="0"/>
              <w:spacing w:line="240" w:lineRule="auto"/>
              <w:ind w:firstLine="0" w:firstLineChars="0"/>
              <w:rPr>
                <w:rFonts w:ascii="宋体" w:hAnsi="宋体" w:cs="宋体"/>
                <w:kern w:val="0"/>
                <w:sz w:val="24"/>
                <w:szCs w:val="24"/>
              </w:rPr>
            </w:pPr>
            <w:r>
              <w:rPr>
                <w:rFonts w:hint="eastAsia" w:ascii="宋体" w:hAnsi="宋体" w:cs="宋体"/>
                <w:kern w:val="0"/>
                <w:sz w:val="24"/>
                <w:szCs w:val="24"/>
              </w:rPr>
              <w:t>轴承座</w:t>
            </w:r>
          </w:p>
        </w:tc>
        <w:tc>
          <w:tcPr>
            <w:tcW w:w="2163" w:type="dxa"/>
            <w:vAlign w:val="center"/>
          </w:tcPr>
          <w:p>
            <w:pPr>
              <w:snapToGrid w:val="0"/>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30000</w:t>
            </w:r>
          </w:p>
        </w:tc>
        <w:tc>
          <w:tcPr>
            <w:tcW w:w="1720" w:type="dxa"/>
            <w:vAlign w:val="center"/>
          </w:tcPr>
          <w:p>
            <w:pPr>
              <w:snapToGrid w:val="0"/>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5</w:t>
            </w:r>
          </w:p>
        </w:tc>
        <w:tc>
          <w:tcPr>
            <w:tcW w:w="1196" w:type="dxa"/>
            <w:vAlign w:val="center"/>
          </w:tcPr>
          <w:p>
            <w:pPr>
              <w:snapToGrid w:val="0"/>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150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1" w:hRule="atLeast"/>
          <w:jc w:val="center"/>
        </w:trPr>
        <w:tc>
          <w:tcPr>
            <w:tcW w:w="831" w:type="dxa"/>
            <w:vAlign w:val="center"/>
          </w:tcPr>
          <w:p>
            <w:pPr>
              <w:snapToGrid w:val="0"/>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15</w:t>
            </w:r>
          </w:p>
        </w:tc>
        <w:tc>
          <w:tcPr>
            <w:tcW w:w="2779" w:type="dxa"/>
            <w:vAlign w:val="center"/>
          </w:tcPr>
          <w:p>
            <w:pPr>
              <w:snapToGrid w:val="0"/>
              <w:spacing w:line="240" w:lineRule="auto"/>
              <w:ind w:firstLine="0" w:firstLineChars="0"/>
              <w:rPr>
                <w:rFonts w:ascii="宋体" w:hAnsi="宋体" w:cs="宋体"/>
                <w:kern w:val="0"/>
                <w:sz w:val="24"/>
                <w:szCs w:val="24"/>
              </w:rPr>
            </w:pPr>
            <w:r>
              <w:rPr>
                <w:rFonts w:hint="eastAsia" w:ascii="宋体" w:hAnsi="宋体" w:cs="宋体"/>
                <w:kern w:val="0"/>
                <w:sz w:val="24"/>
                <w:szCs w:val="24"/>
              </w:rPr>
              <w:t>牵引座</w:t>
            </w:r>
          </w:p>
        </w:tc>
        <w:tc>
          <w:tcPr>
            <w:tcW w:w="2163" w:type="dxa"/>
            <w:vAlign w:val="center"/>
          </w:tcPr>
          <w:p>
            <w:pPr>
              <w:snapToGrid w:val="0"/>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20000</w:t>
            </w:r>
          </w:p>
        </w:tc>
        <w:tc>
          <w:tcPr>
            <w:tcW w:w="1720" w:type="dxa"/>
            <w:vAlign w:val="center"/>
          </w:tcPr>
          <w:p>
            <w:pPr>
              <w:snapToGrid w:val="0"/>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12</w:t>
            </w:r>
          </w:p>
        </w:tc>
        <w:tc>
          <w:tcPr>
            <w:tcW w:w="1196" w:type="dxa"/>
            <w:vAlign w:val="center"/>
          </w:tcPr>
          <w:p>
            <w:pPr>
              <w:snapToGrid w:val="0"/>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240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1" w:hRule="atLeast"/>
          <w:jc w:val="center"/>
        </w:trPr>
        <w:tc>
          <w:tcPr>
            <w:tcW w:w="831" w:type="dxa"/>
            <w:vAlign w:val="center"/>
          </w:tcPr>
          <w:p>
            <w:pPr>
              <w:snapToGrid w:val="0"/>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16</w:t>
            </w:r>
          </w:p>
        </w:tc>
        <w:tc>
          <w:tcPr>
            <w:tcW w:w="2779" w:type="dxa"/>
            <w:vAlign w:val="center"/>
          </w:tcPr>
          <w:p>
            <w:pPr>
              <w:snapToGrid w:val="0"/>
              <w:spacing w:line="240" w:lineRule="auto"/>
              <w:ind w:firstLine="0" w:firstLineChars="0"/>
              <w:rPr>
                <w:rFonts w:ascii="宋体" w:hAnsi="宋体" w:cs="宋体"/>
                <w:kern w:val="0"/>
                <w:sz w:val="24"/>
                <w:szCs w:val="24"/>
              </w:rPr>
            </w:pPr>
            <w:r>
              <w:rPr>
                <w:rFonts w:hint="eastAsia" w:ascii="宋体" w:hAnsi="宋体" w:cs="宋体"/>
                <w:kern w:val="0"/>
                <w:sz w:val="24"/>
                <w:szCs w:val="24"/>
              </w:rPr>
              <w:t>最终传动箱壳体</w:t>
            </w:r>
          </w:p>
        </w:tc>
        <w:tc>
          <w:tcPr>
            <w:tcW w:w="2163" w:type="dxa"/>
            <w:vAlign w:val="center"/>
          </w:tcPr>
          <w:p>
            <w:pPr>
              <w:snapToGrid w:val="0"/>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50000</w:t>
            </w:r>
          </w:p>
        </w:tc>
        <w:tc>
          <w:tcPr>
            <w:tcW w:w="1720" w:type="dxa"/>
            <w:vAlign w:val="center"/>
          </w:tcPr>
          <w:p>
            <w:pPr>
              <w:snapToGrid w:val="0"/>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7</w:t>
            </w:r>
          </w:p>
        </w:tc>
        <w:tc>
          <w:tcPr>
            <w:tcW w:w="1196" w:type="dxa"/>
            <w:vAlign w:val="center"/>
          </w:tcPr>
          <w:p>
            <w:pPr>
              <w:snapToGrid w:val="0"/>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350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1" w:hRule="atLeast"/>
          <w:jc w:val="center"/>
        </w:trPr>
        <w:tc>
          <w:tcPr>
            <w:tcW w:w="831" w:type="dxa"/>
            <w:vAlign w:val="center"/>
          </w:tcPr>
          <w:p>
            <w:pPr>
              <w:snapToGrid w:val="0"/>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17</w:t>
            </w:r>
          </w:p>
        </w:tc>
        <w:tc>
          <w:tcPr>
            <w:tcW w:w="2779" w:type="dxa"/>
            <w:vAlign w:val="center"/>
          </w:tcPr>
          <w:p>
            <w:pPr>
              <w:snapToGrid w:val="0"/>
              <w:spacing w:line="240" w:lineRule="auto"/>
              <w:ind w:firstLine="0" w:firstLineChars="0"/>
              <w:rPr>
                <w:rFonts w:ascii="宋体" w:hAnsi="宋体" w:cs="宋体"/>
                <w:kern w:val="0"/>
                <w:sz w:val="24"/>
                <w:szCs w:val="24"/>
              </w:rPr>
            </w:pPr>
            <w:r>
              <w:rPr>
                <w:rFonts w:hint="eastAsia" w:ascii="宋体" w:hAnsi="宋体" w:cs="宋体"/>
                <w:kern w:val="0"/>
                <w:sz w:val="24"/>
                <w:szCs w:val="24"/>
              </w:rPr>
              <w:t>离合器</w:t>
            </w:r>
          </w:p>
        </w:tc>
        <w:tc>
          <w:tcPr>
            <w:tcW w:w="2163" w:type="dxa"/>
            <w:vAlign w:val="center"/>
          </w:tcPr>
          <w:p>
            <w:pPr>
              <w:snapToGrid w:val="0"/>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15000</w:t>
            </w:r>
          </w:p>
        </w:tc>
        <w:tc>
          <w:tcPr>
            <w:tcW w:w="1720" w:type="dxa"/>
            <w:vAlign w:val="center"/>
          </w:tcPr>
          <w:p>
            <w:pPr>
              <w:snapToGrid w:val="0"/>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50</w:t>
            </w:r>
          </w:p>
        </w:tc>
        <w:tc>
          <w:tcPr>
            <w:tcW w:w="1196" w:type="dxa"/>
            <w:vAlign w:val="center"/>
          </w:tcPr>
          <w:p>
            <w:pPr>
              <w:snapToGrid w:val="0"/>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750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1" w:hRule="atLeast"/>
          <w:jc w:val="center"/>
        </w:trPr>
        <w:tc>
          <w:tcPr>
            <w:tcW w:w="831" w:type="dxa"/>
            <w:vAlign w:val="center"/>
          </w:tcPr>
          <w:p>
            <w:pPr>
              <w:snapToGrid w:val="0"/>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　</w:t>
            </w:r>
          </w:p>
        </w:tc>
        <w:tc>
          <w:tcPr>
            <w:tcW w:w="2779" w:type="dxa"/>
            <w:vAlign w:val="center"/>
          </w:tcPr>
          <w:p>
            <w:pPr>
              <w:snapToGrid w:val="0"/>
              <w:spacing w:line="240" w:lineRule="auto"/>
              <w:ind w:firstLine="0" w:firstLineChars="0"/>
              <w:jc w:val="right"/>
              <w:rPr>
                <w:rFonts w:ascii="宋体" w:hAnsi="宋体" w:cs="宋体"/>
                <w:kern w:val="0"/>
                <w:sz w:val="24"/>
                <w:szCs w:val="24"/>
              </w:rPr>
            </w:pPr>
            <w:r>
              <w:rPr>
                <w:rFonts w:hint="eastAsia" w:ascii="宋体" w:hAnsi="宋体" w:cs="宋体"/>
                <w:kern w:val="0"/>
                <w:sz w:val="24"/>
                <w:szCs w:val="24"/>
              </w:rPr>
              <w:t>小计</w:t>
            </w:r>
          </w:p>
        </w:tc>
        <w:tc>
          <w:tcPr>
            <w:tcW w:w="2163" w:type="dxa"/>
            <w:vAlign w:val="center"/>
          </w:tcPr>
          <w:p>
            <w:pPr>
              <w:snapToGrid w:val="0"/>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　</w:t>
            </w:r>
          </w:p>
        </w:tc>
        <w:tc>
          <w:tcPr>
            <w:tcW w:w="1720" w:type="dxa"/>
            <w:vAlign w:val="center"/>
          </w:tcPr>
          <w:p>
            <w:pPr>
              <w:snapToGrid w:val="0"/>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　</w:t>
            </w:r>
          </w:p>
        </w:tc>
        <w:tc>
          <w:tcPr>
            <w:tcW w:w="1196" w:type="dxa"/>
            <w:vAlign w:val="center"/>
          </w:tcPr>
          <w:p>
            <w:pPr>
              <w:snapToGrid w:val="0"/>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12030</w:t>
            </w:r>
          </w:p>
        </w:tc>
      </w:tr>
    </w:tbl>
    <w:p>
      <w:pPr>
        <w:pStyle w:val="7"/>
        <w:keepNext w:val="0"/>
        <w:keepLines w:val="0"/>
        <w:spacing w:before="156" w:after="156"/>
        <w:ind w:left="864" w:hanging="864"/>
      </w:pPr>
      <w:r>
        <w:rPr>
          <w:rFonts w:hint="eastAsia"/>
        </w:rPr>
        <w:t>设计生产规模</w:t>
      </w:r>
    </w:p>
    <w:p>
      <w:pPr>
        <w:ind w:firstLine="560"/>
      </w:pPr>
      <w:bookmarkStart w:id="42" w:name="_Toc25734"/>
      <w:bookmarkStart w:id="43" w:name="_Toc21071"/>
      <w:bookmarkStart w:id="44" w:name="_Toc27147"/>
      <w:bookmarkStart w:id="45" w:name="_Toc27179"/>
      <w:bookmarkStart w:id="46" w:name="_Toc1314"/>
      <w:bookmarkStart w:id="47" w:name="_Toc2562"/>
      <w:r>
        <w:rPr>
          <w:rFonts w:hint="eastAsia"/>
        </w:rPr>
        <w:t>本项目建成达产后产能：</w:t>
      </w:r>
      <w:bookmarkEnd w:id="42"/>
      <w:bookmarkEnd w:id="43"/>
      <w:bookmarkEnd w:id="44"/>
      <w:bookmarkEnd w:id="45"/>
      <w:bookmarkEnd w:id="46"/>
      <w:bookmarkEnd w:id="47"/>
      <w:r>
        <w:rPr>
          <w:rFonts w:hint="eastAsia"/>
        </w:rPr>
        <w:t>项目（一期）年生产各式配件12030吨。</w:t>
      </w:r>
    </w:p>
    <w:p>
      <w:pPr>
        <w:pStyle w:val="6"/>
        <w:keepNext w:val="0"/>
        <w:keepLines w:val="0"/>
        <w:spacing w:before="156" w:after="156"/>
        <w:ind w:left="720" w:hanging="720"/>
      </w:pPr>
      <w:bookmarkStart w:id="48" w:name="_Toc76119852"/>
      <w:bookmarkStart w:id="49" w:name="_Toc10272"/>
      <w:r>
        <w:rPr>
          <w:rFonts w:hint="eastAsia"/>
        </w:rPr>
        <w:t>项目的工艺流程、主要装置（设备、设施）及特种设备</w:t>
      </w:r>
      <w:bookmarkEnd w:id="48"/>
      <w:bookmarkEnd w:id="49"/>
    </w:p>
    <w:p>
      <w:pPr>
        <w:pStyle w:val="7"/>
        <w:keepNext w:val="0"/>
        <w:keepLines w:val="0"/>
        <w:spacing w:before="156" w:after="156"/>
      </w:pPr>
      <w:r>
        <w:rPr>
          <w:rFonts w:hint="eastAsia"/>
        </w:rPr>
        <w:t>工艺流程</w:t>
      </w:r>
    </w:p>
    <w:p>
      <w:pPr>
        <w:spacing w:line="360" w:lineRule="auto"/>
        <w:ind w:firstLine="560"/>
        <w:rPr>
          <w:rFonts w:ascii="宋体" w:hAnsi="宋体" w:cs="宋体"/>
        </w:rPr>
      </w:pPr>
      <w:r>
        <w:rPr>
          <w:rFonts w:hint="eastAsia" w:ascii="宋体" w:hAnsi="宋体" w:cs="宋体"/>
        </w:rPr>
        <w:t>项目产品生产制造工艺包括铸造及机加工。</w:t>
      </w:r>
    </w:p>
    <w:p>
      <w:pPr>
        <w:pStyle w:val="2"/>
        <w:numPr>
          <w:ilvl w:val="0"/>
          <w:numId w:val="9"/>
        </w:numPr>
        <w:ind w:firstLine="560"/>
      </w:pPr>
      <w:r>
        <w:rPr>
          <w:rFonts w:hint="eastAsia"/>
        </w:rPr>
        <w:t>铸造</w:t>
      </w:r>
    </w:p>
    <w:p>
      <w:pPr>
        <w:ind w:firstLine="560"/>
      </w:pPr>
      <w:r>
        <w:rPr>
          <w:rFonts w:hint="eastAsia"/>
        </w:rPr>
        <w:t>粘土砂铸造车间工艺流程：包括砂处理工部、制芯工部、造型工部、熔化工部、清理工部等。对有粉尘的砂处理、制芯、熔化浇铸工部配置吸风罩、集尘罩、布袋除尘系统，粉尘经布袋除尘器过滤达标后向大气排放，清理工部采用吊挂式封闭抛丸机，整个生产工艺流程不产生无组织排放。项目产品工艺流程图如下所示：</w:t>
      </w:r>
    </w:p>
    <w:p>
      <w:pPr>
        <w:spacing w:line="360" w:lineRule="auto"/>
        <w:ind w:firstLine="482"/>
        <w:jc w:val="center"/>
        <w:rPr>
          <w:rFonts w:ascii="宋体" w:hAnsi="宋体" w:cs="宋体"/>
          <w:b/>
          <w:sz w:val="24"/>
        </w:rPr>
      </w:pPr>
      <w:r>
        <w:rPr>
          <w:rFonts w:ascii="宋体" w:hAnsi="宋体" w:cs="宋体"/>
          <w:b/>
          <w:sz w:val="24"/>
        </w:rPr>
        <w:pict>
          <v:shape id="_x0000_s2051" o:spid="_x0000_s2051" o:spt="75" type="#_x0000_t75" style="position:absolute;left:0pt;margin-left:42.35pt;margin-top:7.3pt;height:222.05pt;width:313.05pt;mso-wrap-distance-bottom:0pt;mso-wrap-distance-top:0pt;z-index:251665408;mso-width-relative:page;mso-height-relative:page;" o:ole="t" filled="f" o:preferrelative="t" stroked="f" coordsize="21600,21600">
            <v:path/>
            <v:fill on="f" focussize="0,0"/>
            <v:stroke on="f" joinstyle="miter"/>
            <v:imagedata r:id="rId25" o:title=""/>
            <o:lock v:ext="edit" aspectratio="t"/>
            <w10:wrap type="topAndBottom"/>
          </v:shape>
          <o:OLEObject Type="Embed" ProgID="Visio.Drawing.11" ShapeID="_x0000_s2051" DrawAspect="Content" ObjectID="_1468075725" r:id="rId24">
            <o:LockedField>false</o:LockedField>
          </o:OLEObject>
        </w:pict>
      </w:r>
      <w:r>
        <w:rPr>
          <w:rFonts w:hint="eastAsia" w:ascii="宋体" w:hAnsi="宋体" w:cs="宋体"/>
          <w:b/>
          <w:sz w:val="24"/>
        </w:rPr>
        <w:t xml:space="preserve">图 </w:t>
      </w:r>
      <w:r>
        <w:rPr>
          <w:rFonts w:hint="eastAsia" w:ascii="宋体" w:hAnsi="宋体" w:cs="宋体"/>
          <w:b/>
          <w:sz w:val="24"/>
        </w:rPr>
        <w:fldChar w:fldCharType="begin"/>
      </w:r>
      <w:r>
        <w:rPr>
          <w:rFonts w:hint="eastAsia" w:ascii="宋体" w:hAnsi="宋体" w:cs="宋体"/>
          <w:b/>
          <w:sz w:val="24"/>
        </w:rPr>
        <w:instrText xml:space="preserve"> STYLEREF 2 \s </w:instrText>
      </w:r>
      <w:r>
        <w:rPr>
          <w:rFonts w:hint="eastAsia" w:ascii="宋体" w:hAnsi="宋体" w:cs="宋体"/>
          <w:b/>
          <w:sz w:val="24"/>
        </w:rPr>
        <w:fldChar w:fldCharType="separate"/>
      </w:r>
      <w:r>
        <w:rPr>
          <w:rFonts w:hint="eastAsia" w:ascii="宋体" w:hAnsi="宋体" w:cs="宋体"/>
          <w:b/>
          <w:sz w:val="24"/>
        </w:rPr>
        <w:t>2.3</w:t>
      </w:r>
      <w:r>
        <w:rPr>
          <w:rFonts w:hint="eastAsia" w:ascii="宋体" w:hAnsi="宋体" w:cs="宋体"/>
          <w:b/>
          <w:sz w:val="24"/>
        </w:rPr>
        <w:fldChar w:fldCharType="end"/>
      </w:r>
      <w:r>
        <w:rPr>
          <w:rFonts w:hint="eastAsia" w:ascii="宋体" w:hAnsi="宋体" w:cs="宋体"/>
          <w:b/>
          <w:sz w:val="24"/>
        </w:rPr>
        <w:t>-</w:t>
      </w:r>
      <w:r>
        <w:rPr>
          <w:rFonts w:hint="eastAsia" w:ascii="宋体" w:hAnsi="宋体" w:cs="宋体"/>
          <w:b/>
          <w:sz w:val="24"/>
        </w:rPr>
        <w:fldChar w:fldCharType="begin"/>
      </w:r>
      <w:r>
        <w:rPr>
          <w:rFonts w:hint="eastAsia" w:ascii="宋体" w:hAnsi="宋体" w:cs="宋体"/>
          <w:b/>
          <w:sz w:val="24"/>
        </w:rPr>
        <w:instrText xml:space="preserve"> SEQ 图 \* ARABIC \s 2 </w:instrText>
      </w:r>
      <w:r>
        <w:rPr>
          <w:rFonts w:hint="eastAsia" w:ascii="宋体" w:hAnsi="宋体" w:cs="宋体"/>
          <w:b/>
          <w:sz w:val="24"/>
        </w:rPr>
        <w:fldChar w:fldCharType="separate"/>
      </w:r>
      <w:r>
        <w:rPr>
          <w:rFonts w:hint="eastAsia" w:ascii="宋体" w:hAnsi="宋体" w:cs="宋体"/>
          <w:b/>
          <w:sz w:val="24"/>
        </w:rPr>
        <w:t>4</w:t>
      </w:r>
      <w:r>
        <w:rPr>
          <w:rFonts w:hint="eastAsia" w:ascii="宋体" w:hAnsi="宋体" w:cs="宋体"/>
          <w:b/>
          <w:sz w:val="24"/>
        </w:rPr>
        <w:fldChar w:fldCharType="end"/>
      </w:r>
      <w:r>
        <w:rPr>
          <w:rFonts w:hint="eastAsia" w:ascii="宋体" w:hAnsi="宋体" w:cs="宋体"/>
          <w:b/>
          <w:sz w:val="24"/>
        </w:rPr>
        <w:t>粘土砂铸造车间工艺流程图</w:t>
      </w:r>
    </w:p>
    <w:p>
      <w:pPr>
        <w:numPr>
          <w:ilvl w:val="0"/>
          <w:numId w:val="10"/>
        </w:numPr>
        <w:ind w:firstLine="560"/>
        <w:rPr>
          <w:rFonts w:ascii="宋体" w:hAnsi="宋体" w:cs="宋体"/>
        </w:rPr>
      </w:pPr>
      <w:r>
        <w:rPr>
          <w:rFonts w:hint="eastAsia" w:ascii="宋体" w:hAnsi="宋体" w:cs="宋体"/>
        </w:rPr>
        <w:t>砂处理工部</w:t>
      </w:r>
    </w:p>
    <w:p>
      <w:pPr>
        <w:ind w:firstLine="560"/>
      </w:pPr>
      <w:r>
        <w:rPr>
          <w:rFonts w:hint="eastAsia"/>
        </w:rPr>
        <w:t>砂处理系统生产能力按40t/h配置。包括：旧砂回收处理、新砂及辅料处理、型砂混制及输送。对型砂性能要求：</w:t>
      </w:r>
    </w:p>
    <w:p>
      <w:pPr>
        <w:ind w:firstLine="560"/>
      </w:pPr>
      <w:r>
        <w:rPr>
          <w:rFonts w:hint="eastAsia"/>
        </w:rPr>
        <w:t>紧实率：38±2%</w:t>
      </w:r>
    </w:p>
    <w:p>
      <w:pPr>
        <w:ind w:firstLine="560"/>
      </w:pPr>
      <w:r>
        <w:rPr>
          <w:rFonts w:hint="eastAsia"/>
        </w:rPr>
        <w:t>湿压强度：≥0.14Mpa（1.4kgf/cm²）</w:t>
      </w:r>
    </w:p>
    <w:p>
      <w:pPr>
        <w:ind w:firstLine="560"/>
      </w:pPr>
      <w:r>
        <w:rPr>
          <w:rFonts w:hint="eastAsia"/>
        </w:rPr>
        <w:t>透气性：≥120</w:t>
      </w:r>
    </w:p>
    <w:p>
      <w:pPr>
        <w:ind w:firstLine="560"/>
      </w:pPr>
      <w:r>
        <w:rPr>
          <w:rFonts w:hint="eastAsia"/>
        </w:rPr>
        <w:t>含泥量：11%～14%</w:t>
      </w:r>
    </w:p>
    <w:p>
      <w:pPr>
        <w:ind w:firstLine="560"/>
      </w:pPr>
      <w:r>
        <w:rPr>
          <w:rFonts w:hint="eastAsia"/>
        </w:rPr>
        <w:t>有效膨润土含量：≥7.5%</w:t>
      </w:r>
    </w:p>
    <w:p>
      <w:pPr>
        <w:ind w:firstLine="560"/>
      </w:pPr>
      <w:r>
        <w:rPr>
          <w:rFonts w:hint="eastAsia"/>
        </w:rPr>
        <w:t>有效煤粉含量：3%～4%</w:t>
      </w:r>
    </w:p>
    <w:p>
      <w:pPr>
        <w:numPr>
          <w:ilvl w:val="0"/>
          <w:numId w:val="10"/>
        </w:numPr>
        <w:ind w:firstLine="560"/>
        <w:rPr>
          <w:rFonts w:ascii="宋体" w:hAnsi="宋体" w:cs="宋体"/>
        </w:rPr>
      </w:pPr>
      <w:r>
        <w:rPr>
          <w:rFonts w:hint="eastAsia" w:ascii="宋体" w:hAnsi="宋体" w:cs="宋体"/>
        </w:rPr>
        <w:t>制芯工部</w:t>
      </w:r>
    </w:p>
    <w:p>
      <w:pPr>
        <w:ind w:firstLine="560"/>
      </w:pPr>
      <w:r>
        <w:rPr>
          <w:rFonts w:hint="eastAsia"/>
        </w:rPr>
        <w:t>泥芯采用Z8660壳芯机制作。外购袋装腹膜砂使用单轨吊提升转运到制芯机上方砂斗。制好的砂芯使用带储芯架的小车，通过行车吊运至下芯辊道前。</w:t>
      </w:r>
    </w:p>
    <w:p>
      <w:pPr>
        <w:numPr>
          <w:ilvl w:val="0"/>
          <w:numId w:val="10"/>
        </w:numPr>
        <w:ind w:firstLine="560"/>
        <w:rPr>
          <w:rFonts w:ascii="宋体" w:hAnsi="宋体" w:cs="宋体"/>
        </w:rPr>
      </w:pPr>
      <w:r>
        <w:rPr>
          <w:rFonts w:hint="eastAsia" w:ascii="宋体" w:hAnsi="宋体" w:cs="宋体"/>
        </w:rPr>
        <w:t>造型工部</w:t>
      </w:r>
    </w:p>
    <w:p>
      <w:pPr>
        <w:ind w:firstLine="560"/>
      </w:pPr>
      <w:r>
        <w:rPr>
          <w:rFonts w:hint="eastAsia"/>
        </w:rPr>
        <w:t>采用2条无箱射压造型铸造生产线，其工艺特点：</w:t>
      </w:r>
    </w:p>
    <w:p>
      <w:pPr>
        <w:ind w:firstLine="560"/>
      </w:pPr>
      <w:r>
        <w:rPr>
          <w:rFonts w:hint="eastAsia"/>
        </w:rPr>
        <w:t>1）采用射砂+模板反压紧砂工艺——分型面及型腔紧实度高且分布均匀，分型面硬度（在比压≥0.7Mpa 时）可达85-90 单位以上，能更好地承受铸件铁水“胀力”，获得尺寸精度高、表面质量好的铸件，更好地满足刹车盘等铸件的要求。</w:t>
      </w:r>
    </w:p>
    <w:p>
      <w:pPr>
        <w:ind w:firstLine="560"/>
      </w:pPr>
      <w:r>
        <w:rPr>
          <w:rFonts w:hint="eastAsia"/>
        </w:rPr>
        <w:t>2）采用十字穿梭方式，有两个下芯工位，操作方便、安全、下芯时间较长（～30秒内不停机生产，并可根据需要任意设定需要延长的下芯时间）。</w:t>
      </w:r>
    </w:p>
    <w:p>
      <w:pPr>
        <w:ind w:firstLine="560"/>
      </w:pPr>
      <w:r>
        <w:rPr>
          <w:rFonts w:hint="eastAsia"/>
        </w:rPr>
        <w:t>3）合型精度高：铸件错箱值≤0.3mm。</w:t>
      </w:r>
    </w:p>
    <w:p>
      <w:pPr>
        <w:ind w:firstLine="560"/>
      </w:pPr>
      <w:r>
        <w:rPr>
          <w:rFonts w:hint="eastAsia"/>
        </w:rPr>
        <w:t>4）配置有随砂型移动、定位准确、夹紧可靠的压铁夹紧装置，可有效防止脱箱造型砂型浇注跑火情况的发生。</w:t>
      </w:r>
    </w:p>
    <w:p>
      <w:pPr>
        <w:ind w:firstLine="560"/>
      </w:pPr>
      <w:r>
        <w:rPr>
          <w:rFonts w:hint="eastAsia"/>
        </w:rPr>
        <w:t>5）采用PLC+触摸屏电控系统，全线工作过程图文全程监控，故障自诊断，运行稳定可靠——为大批量生产铸件提供可靠保证。</w:t>
      </w:r>
    </w:p>
    <w:p>
      <w:pPr>
        <w:ind w:firstLine="560"/>
      </w:pPr>
      <w:r>
        <w:rPr>
          <w:rFonts w:hint="eastAsia"/>
        </w:rPr>
        <w:t>6）设有模板快换机构，更换模板方便快捷，既适合大批量生产也适合多品种生产。</w:t>
      </w:r>
    </w:p>
    <w:p>
      <w:pPr>
        <w:ind w:firstLine="560"/>
      </w:pPr>
      <w:r>
        <w:rPr>
          <w:rFonts w:hint="eastAsia"/>
        </w:rPr>
        <w:t>无箱射压造型线主要技术参数</w:t>
      </w:r>
    </w:p>
    <w:p>
      <w:pPr>
        <w:ind w:firstLine="560"/>
      </w:pPr>
      <w:r>
        <w:rPr>
          <w:rFonts w:hint="eastAsia"/>
        </w:rPr>
        <w:t>_ 砂型尺寸（mm）：550×450×200/200</w:t>
      </w:r>
    </w:p>
    <w:p>
      <w:pPr>
        <w:ind w:firstLine="560"/>
      </w:pPr>
      <w:r>
        <w:rPr>
          <w:rFonts w:hint="eastAsia"/>
        </w:rPr>
        <w:t>_ 最大生产率：200 型/小时，柔性可调。</w:t>
      </w:r>
    </w:p>
    <w:p>
      <w:pPr>
        <w:ind w:firstLine="560"/>
      </w:pPr>
      <w:r>
        <w:rPr>
          <w:rFonts w:hint="eastAsia"/>
        </w:rPr>
        <w:t>_ 铸件在铸型内冷却时间：总冷却时间≥60 分钟</w:t>
      </w:r>
    </w:p>
    <w:p>
      <w:pPr>
        <w:ind w:firstLine="560"/>
      </w:pPr>
      <w:r>
        <w:rPr>
          <w:rFonts w:hint="eastAsia"/>
        </w:rPr>
        <w:t>_ 全线压缩空气耗量：≥10m</w:t>
      </w:r>
      <w:r>
        <w:rPr>
          <w:rFonts w:hint="eastAsia"/>
          <w:vertAlign w:val="superscript"/>
        </w:rPr>
        <w:t>3</w:t>
      </w:r>
      <w:r>
        <w:rPr>
          <w:rFonts w:hint="eastAsia"/>
        </w:rPr>
        <w:t>/分</w:t>
      </w:r>
    </w:p>
    <w:p>
      <w:pPr>
        <w:ind w:firstLine="560"/>
      </w:pPr>
      <w:r>
        <w:rPr>
          <w:rFonts w:hint="eastAsia"/>
        </w:rPr>
        <w:t>_ 主机液压系统功率：37kw</w:t>
      </w:r>
    </w:p>
    <w:p>
      <w:pPr>
        <w:ind w:firstLine="560"/>
      </w:pPr>
      <w:r>
        <w:rPr>
          <w:rFonts w:hint="eastAsia"/>
        </w:rPr>
        <w:t>_ 型砂消耗量：约20 吨/小时</w:t>
      </w:r>
    </w:p>
    <w:p>
      <w:pPr>
        <w:numPr>
          <w:ilvl w:val="0"/>
          <w:numId w:val="10"/>
        </w:numPr>
        <w:ind w:firstLine="560"/>
        <w:rPr>
          <w:rFonts w:ascii="宋体" w:hAnsi="宋体" w:cs="宋体"/>
        </w:rPr>
      </w:pPr>
      <w:r>
        <w:rPr>
          <w:rFonts w:hint="eastAsia" w:ascii="宋体" w:hAnsi="宋体" w:cs="宋体"/>
        </w:rPr>
        <w:t>熔化工部</w:t>
      </w:r>
    </w:p>
    <w:p>
      <w:pPr>
        <w:ind w:firstLine="560"/>
      </w:pPr>
      <w:r>
        <w:rPr>
          <w:rFonts w:hint="eastAsia"/>
        </w:rPr>
        <w:t>为便于生产组织，熔化设备采用3套2t/h的中频感应电炉。根据车间厂房柱距情况，每套炉体配一台自动加料车及过渡转运车。铁水采用吊车、</w:t>
      </w:r>
      <w:r>
        <w:rPr>
          <w:rFonts w:hint="eastAsia"/>
          <w:lang w:val="en-US" w:eastAsia="zh-CN"/>
        </w:rPr>
        <w:t>叉</w:t>
      </w:r>
      <w:r>
        <w:rPr>
          <w:rFonts w:hint="eastAsia"/>
        </w:rPr>
        <w:t>车转运。炉体配备除尘器。</w:t>
      </w:r>
    </w:p>
    <w:p>
      <w:pPr>
        <w:ind w:firstLine="480"/>
      </w:pPr>
      <w:r>
        <w:rPr>
          <w:rFonts w:ascii="宋体" w:hAnsi="宋体" w:cs="宋体"/>
          <w:sz w:val="24"/>
          <w:szCs w:val="24"/>
        </w:rPr>
        <w:drawing>
          <wp:anchor distT="0" distB="0" distL="114300" distR="114300" simplePos="0" relativeHeight="251666432" behindDoc="0" locked="0" layoutInCell="1" allowOverlap="1">
            <wp:simplePos x="0" y="0"/>
            <wp:positionH relativeFrom="column">
              <wp:posOffset>341630</wp:posOffset>
            </wp:positionH>
            <wp:positionV relativeFrom="paragraph">
              <wp:posOffset>341630</wp:posOffset>
            </wp:positionV>
            <wp:extent cx="4803775" cy="2331085"/>
            <wp:effectExtent l="0" t="0" r="12065" b="0"/>
            <wp:wrapTopAndBottom/>
            <wp:docPr id="9"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 descr="IMG_256"/>
                    <pic:cNvPicPr>
                      <a:picLocks noChangeAspect="1"/>
                    </pic:cNvPicPr>
                  </pic:nvPicPr>
                  <pic:blipFill>
                    <a:blip r:embed="rId26"/>
                    <a:stretch>
                      <a:fillRect/>
                    </a:stretch>
                  </pic:blipFill>
                  <pic:spPr>
                    <a:xfrm>
                      <a:off x="0" y="0"/>
                      <a:ext cx="4803775" cy="2331085"/>
                    </a:xfrm>
                    <a:prstGeom prst="rect">
                      <a:avLst/>
                    </a:prstGeom>
                    <a:noFill/>
                    <a:ln w="9525">
                      <a:noFill/>
                    </a:ln>
                  </pic:spPr>
                </pic:pic>
              </a:graphicData>
            </a:graphic>
          </wp:anchor>
        </w:drawing>
      </w:r>
      <w:r>
        <w:rPr>
          <w:rFonts w:hint="eastAsia"/>
        </w:rPr>
        <w:t>熔炼工艺流程见下图：</w:t>
      </w:r>
    </w:p>
    <w:p>
      <w:pPr>
        <w:pStyle w:val="14"/>
        <w:spacing w:before="156" w:after="156"/>
        <w:ind w:firstLine="482" w:firstLineChars="200"/>
      </w:pPr>
      <w:r>
        <w:t xml:space="preserve">图 </w:t>
      </w:r>
      <w:r>
        <w:fldChar w:fldCharType="begin"/>
      </w:r>
      <w:r>
        <w:instrText xml:space="preserve"> STYLEREF 2 \s </w:instrText>
      </w:r>
      <w:r>
        <w:fldChar w:fldCharType="separate"/>
      </w:r>
      <w:r>
        <w:t>2.3</w:t>
      </w:r>
      <w:r>
        <w:fldChar w:fldCharType="end"/>
      </w:r>
      <w:r>
        <w:rPr>
          <w:rFonts w:hint="eastAsia"/>
        </w:rPr>
        <w:t>-</w:t>
      </w:r>
      <w:r>
        <w:fldChar w:fldCharType="begin"/>
      </w:r>
      <w:r>
        <w:instrText xml:space="preserve"> SEQ 图 \* ARABIC \s 2 </w:instrText>
      </w:r>
      <w:r>
        <w:fldChar w:fldCharType="separate"/>
      </w:r>
      <w:r>
        <w:t>5</w:t>
      </w:r>
      <w:r>
        <w:fldChar w:fldCharType="end"/>
      </w:r>
      <w:r>
        <w:rPr>
          <w:rFonts w:hint="eastAsia"/>
        </w:rPr>
        <w:t>熔炼工艺流程图</w:t>
      </w:r>
    </w:p>
    <w:p>
      <w:pPr>
        <w:numPr>
          <w:ilvl w:val="0"/>
          <w:numId w:val="10"/>
        </w:numPr>
        <w:ind w:firstLine="560"/>
      </w:pPr>
      <w:r>
        <w:rPr>
          <w:rFonts w:hint="eastAsia"/>
        </w:rPr>
        <w:t>清理工部</w:t>
      </w:r>
    </w:p>
    <w:p>
      <w:pPr>
        <w:ind w:firstLine="560"/>
      </w:pPr>
      <w:r>
        <w:rPr>
          <w:rFonts w:hint="eastAsia"/>
        </w:rPr>
        <w:t>对于较大的铸件采用吊挂式封闭抛丸机清理。清理工艺流程</w:t>
      </w:r>
      <w:r>
        <w:rPr>
          <w:rFonts w:hint="eastAsia"/>
          <w:lang w:eastAsia="zh-CN"/>
        </w:rPr>
        <w:t>如</w:t>
      </w:r>
      <w:r>
        <w:rPr>
          <w:rFonts w:hint="eastAsia"/>
        </w:rPr>
        <w:t>下：</w:t>
      </w:r>
    </w:p>
    <w:p>
      <w:pPr>
        <w:pStyle w:val="14"/>
        <w:spacing w:before="156" w:after="156"/>
        <w:ind w:firstLine="482" w:firstLineChars="200"/>
      </w:pPr>
      <w:r>
        <w:drawing>
          <wp:anchor distT="0" distB="0" distL="114300" distR="114300" simplePos="0" relativeHeight="251661312" behindDoc="0" locked="0" layoutInCell="1" allowOverlap="1">
            <wp:simplePos x="0" y="0"/>
            <wp:positionH relativeFrom="column">
              <wp:posOffset>131445</wp:posOffset>
            </wp:positionH>
            <wp:positionV relativeFrom="paragraph">
              <wp:posOffset>22225</wp:posOffset>
            </wp:positionV>
            <wp:extent cx="4984115" cy="1023620"/>
            <wp:effectExtent l="0" t="0" r="14605" b="12700"/>
            <wp:wrapTopAndBottom/>
            <wp:docPr id="19" name="图片 7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780"/>
                    <pic:cNvPicPr>
                      <a:picLocks noChangeAspect="1"/>
                    </pic:cNvPicPr>
                  </pic:nvPicPr>
                  <pic:blipFill>
                    <a:blip r:embed="rId27"/>
                    <a:stretch>
                      <a:fillRect/>
                    </a:stretch>
                  </pic:blipFill>
                  <pic:spPr>
                    <a:xfrm>
                      <a:off x="0" y="0"/>
                      <a:ext cx="4984115" cy="1023620"/>
                    </a:xfrm>
                    <a:prstGeom prst="rect">
                      <a:avLst/>
                    </a:prstGeom>
                    <a:noFill/>
                    <a:ln>
                      <a:noFill/>
                    </a:ln>
                  </pic:spPr>
                </pic:pic>
              </a:graphicData>
            </a:graphic>
          </wp:anchor>
        </w:drawing>
      </w:r>
      <w:r>
        <w:rPr>
          <w:rFonts w:hint="eastAsia"/>
        </w:rPr>
        <w:t xml:space="preserve">图 </w:t>
      </w:r>
      <w:r>
        <w:rPr>
          <w:rFonts w:hint="eastAsia"/>
        </w:rPr>
        <w:fldChar w:fldCharType="begin"/>
      </w:r>
      <w:r>
        <w:rPr>
          <w:rFonts w:hint="eastAsia"/>
        </w:rPr>
        <w:instrText xml:space="preserve"> STYLEREF 2 \s </w:instrText>
      </w:r>
      <w:r>
        <w:rPr>
          <w:rFonts w:hint="eastAsia"/>
        </w:rPr>
        <w:fldChar w:fldCharType="separate"/>
      </w:r>
      <w:r>
        <w:rPr>
          <w:rFonts w:hint="eastAsia"/>
        </w:rPr>
        <w:t>2.</w:t>
      </w:r>
      <w:r>
        <w:rPr>
          <w:rFonts w:hint="eastAsia"/>
        </w:rPr>
        <w:fldChar w:fldCharType="end"/>
      </w:r>
      <w:r>
        <w:rPr>
          <w:rFonts w:hint="eastAsia"/>
        </w:rPr>
        <w:t>3-</w:t>
      </w:r>
      <w:r>
        <w:rPr>
          <w:rFonts w:hint="eastAsia"/>
        </w:rPr>
        <w:fldChar w:fldCharType="begin"/>
      </w:r>
      <w:r>
        <w:rPr>
          <w:rFonts w:hint="eastAsia"/>
        </w:rPr>
        <w:instrText xml:space="preserve"> SEQ 图 \* ARABIC \s 2 </w:instrText>
      </w:r>
      <w:r>
        <w:rPr>
          <w:rFonts w:hint="eastAsia"/>
        </w:rPr>
        <w:fldChar w:fldCharType="separate"/>
      </w:r>
      <w:r>
        <w:rPr>
          <w:rFonts w:hint="eastAsia"/>
        </w:rPr>
        <w:t>6</w:t>
      </w:r>
      <w:r>
        <w:rPr>
          <w:rFonts w:hint="eastAsia"/>
        </w:rPr>
        <w:fldChar w:fldCharType="end"/>
      </w:r>
      <w:r>
        <w:rPr>
          <w:rFonts w:hint="eastAsia"/>
        </w:rPr>
        <w:t xml:space="preserve"> 清理工艺流程图</w:t>
      </w:r>
    </w:p>
    <w:p>
      <w:pPr>
        <w:pStyle w:val="2"/>
        <w:numPr>
          <w:ilvl w:val="0"/>
          <w:numId w:val="9"/>
        </w:numPr>
        <w:ind w:firstLine="560"/>
      </w:pPr>
      <w:r>
        <w:rPr>
          <w:rFonts w:hint="eastAsia"/>
        </w:rPr>
        <w:t>机加工</w:t>
      </w:r>
    </w:p>
    <w:p>
      <w:pPr>
        <w:pStyle w:val="2"/>
        <w:ind w:firstLine="482"/>
        <w:jc w:val="center"/>
        <w:rPr>
          <w:b/>
          <w:bCs/>
          <w:sz w:val="24"/>
          <w:szCs w:val="24"/>
        </w:rPr>
      </w:pPr>
      <w:r>
        <w:rPr>
          <w:b/>
          <w:bCs/>
          <w:sz w:val="24"/>
          <w:szCs w:val="24"/>
        </w:rPr>
        <w:drawing>
          <wp:anchor distT="0" distB="0" distL="114300" distR="114300" simplePos="0" relativeHeight="251663360" behindDoc="0" locked="0" layoutInCell="1" allowOverlap="1">
            <wp:simplePos x="0" y="0"/>
            <wp:positionH relativeFrom="column">
              <wp:posOffset>526415</wp:posOffset>
            </wp:positionH>
            <wp:positionV relativeFrom="paragraph">
              <wp:posOffset>7620</wp:posOffset>
            </wp:positionV>
            <wp:extent cx="4250690" cy="1584960"/>
            <wp:effectExtent l="0" t="0" r="0" b="0"/>
            <wp:wrapTopAndBottom/>
            <wp:docPr id="3" name="图片 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5" descr="IMG_256"/>
                    <pic:cNvPicPr>
                      <a:picLocks noChangeAspect="1"/>
                    </pic:cNvPicPr>
                  </pic:nvPicPr>
                  <pic:blipFill>
                    <a:blip r:embed="rId28"/>
                    <a:stretch>
                      <a:fillRect/>
                    </a:stretch>
                  </pic:blipFill>
                  <pic:spPr>
                    <a:xfrm>
                      <a:off x="0" y="0"/>
                      <a:ext cx="4250690" cy="1584960"/>
                    </a:xfrm>
                    <a:prstGeom prst="rect">
                      <a:avLst/>
                    </a:prstGeom>
                    <a:noFill/>
                    <a:ln w="9525">
                      <a:noFill/>
                    </a:ln>
                  </pic:spPr>
                </pic:pic>
              </a:graphicData>
            </a:graphic>
          </wp:anchor>
        </w:drawing>
      </w:r>
      <w:r>
        <w:rPr>
          <w:b/>
          <w:bCs/>
          <w:sz w:val="24"/>
          <w:szCs w:val="24"/>
        </w:rPr>
        <w:t xml:space="preserve">图 </w:t>
      </w:r>
      <w:r>
        <w:rPr>
          <w:b/>
          <w:bCs/>
          <w:sz w:val="24"/>
          <w:szCs w:val="24"/>
        </w:rPr>
        <w:fldChar w:fldCharType="begin"/>
      </w:r>
      <w:r>
        <w:rPr>
          <w:b/>
          <w:bCs/>
          <w:sz w:val="24"/>
          <w:szCs w:val="24"/>
        </w:rPr>
        <w:instrText xml:space="preserve"> STYLEREF 2 \s </w:instrText>
      </w:r>
      <w:r>
        <w:rPr>
          <w:b/>
          <w:bCs/>
          <w:sz w:val="24"/>
          <w:szCs w:val="24"/>
        </w:rPr>
        <w:fldChar w:fldCharType="separate"/>
      </w:r>
      <w:r>
        <w:rPr>
          <w:b/>
          <w:bCs/>
          <w:sz w:val="24"/>
          <w:szCs w:val="24"/>
        </w:rPr>
        <w:t>2.</w:t>
      </w:r>
      <w:r>
        <w:rPr>
          <w:b/>
          <w:bCs/>
          <w:sz w:val="24"/>
          <w:szCs w:val="24"/>
        </w:rPr>
        <w:fldChar w:fldCharType="end"/>
      </w:r>
      <w:r>
        <w:rPr>
          <w:rFonts w:hint="eastAsia"/>
          <w:b/>
          <w:bCs/>
          <w:sz w:val="24"/>
          <w:szCs w:val="24"/>
        </w:rPr>
        <w:t>3-</w:t>
      </w:r>
      <w:r>
        <w:rPr>
          <w:b/>
          <w:bCs/>
          <w:sz w:val="24"/>
          <w:szCs w:val="24"/>
        </w:rPr>
        <w:fldChar w:fldCharType="begin"/>
      </w:r>
      <w:r>
        <w:rPr>
          <w:b/>
          <w:bCs/>
          <w:sz w:val="24"/>
          <w:szCs w:val="24"/>
        </w:rPr>
        <w:instrText xml:space="preserve"> SEQ 图 \* ARABIC \s 2 </w:instrText>
      </w:r>
      <w:r>
        <w:rPr>
          <w:b/>
          <w:bCs/>
          <w:sz w:val="24"/>
          <w:szCs w:val="24"/>
        </w:rPr>
        <w:fldChar w:fldCharType="separate"/>
      </w:r>
      <w:r>
        <w:rPr>
          <w:b/>
          <w:bCs/>
          <w:sz w:val="24"/>
          <w:szCs w:val="24"/>
        </w:rPr>
        <w:t>7</w:t>
      </w:r>
      <w:r>
        <w:rPr>
          <w:b/>
          <w:bCs/>
          <w:sz w:val="24"/>
          <w:szCs w:val="24"/>
        </w:rPr>
        <w:fldChar w:fldCharType="end"/>
      </w:r>
      <w:r>
        <w:rPr>
          <w:rFonts w:hint="eastAsia"/>
          <w:b/>
          <w:bCs/>
          <w:sz w:val="24"/>
          <w:szCs w:val="24"/>
        </w:rPr>
        <w:t>机加工车间生产工艺流程</w:t>
      </w:r>
    </w:p>
    <w:p>
      <w:pPr>
        <w:pStyle w:val="7"/>
        <w:keepNext w:val="0"/>
        <w:keepLines w:val="0"/>
        <w:spacing w:before="156" w:after="156"/>
      </w:pPr>
      <w:r>
        <w:rPr>
          <w:rFonts w:hint="eastAsia"/>
        </w:rPr>
        <w:t>主要装置（设备、设施）</w:t>
      </w:r>
    </w:p>
    <w:p>
      <w:pPr>
        <w:ind w:firstLine="560"/>
      </w:pPr>
      <w:r>
        <w:rPr>
          <w:rFonts w:hint="eastAsia"/>
        </w:rPr>
        <w:t>本项目主要装置（设备、设施）见下表：</w:t>
      </w:r>
    </w:p>
    <w:p>
      <w:pPr>
        <w:ind w:firstLine="0" w:firstLineChars="0"/>
        <w:jc w:val="center"/>
        <w:rPr>
          <w:b/>
          <w:bCs/>
          <w:sz w:val="24"/>
          <w:szCs w:val="21"/>
        </w:rPr>
      </w:pPr>
      <w:r>
        <w:rPr>
          <w:b/>
          <w:bCs/>
          <w:sz w:val="24"/>
          <w:szCs w:val="21"/>
        </w:rPr>
        <w:t xml:space="preserve">表 </w:t>
      </w:r>
      <w:r>
        <w:rPr>
          <w:b/>
          <w:bCs/>
          <w:sz w:val="24"/>
          <w:szCs w:val="21"/>
        </w:rPr>
        <w:fldChar w:fldCharType="begin"/>
      </w:r>
      <w:r>
        <w:rPr>
          <w:b/>
          <w:bCs/>
          <w:sz w:val="24"/>
          <w:szCs w:val="21"/>
        </w:rPr>
        <w:instrText xml:space="preserve"> STYLEREF 2 \s </w:instrText>
      </w:r>
      <w:r>
        <w:rPr>
          <w:b/>
          <w:bCs/>
          <w:sz w:val="24"/>
          <w:szCs w:val="21"/>
        </w:rPr>
        <w:fldChar w:fldCharType="separate"/>
      </w:r>
      <w:r>
        <w:rPr>
          <w:b/>
          <w:bCs/>
          <w:sz w:val="24"/>
          <w:szCs w:val="21"/>
        </w:rPr>
        <w:t>2.3</w:t>
      </w:r>
      <w:r>
        <w:rPr>
          <w:b/>
          <w:bCs/>
          <w:sz w:val="24"/>
          <w:szCs w:val="21"/>
        </w:rPr>
        <w:fldChar w:fldCharType="end"/>
      </w:r>
      <w:r>
        <w:rPr>
          <w:rFonts w:hint="eastAsia"/>
          <w:b/>
          <w:bCs/>
          <w:sz w:val="24"/>
          <w:szCs w:val="21"/>
        </w:rPr>
        <w:t>-</w:t>
      </w:r>
      <w:r>
        <w:rPr>
          <w:b/>
          <w:bCs/>
          <w:sz w:val="24"/>
          <w:szCs w:val="21"/>
        </w:rPr>
        <w:fldChar w:fldCharType="begin"/>
      </w:r>
      <w:r>
        <w:rPr>
          <w:b/>
          <w:bCs/>
          <w:sz w:val="24"/>
          <w:szCs w:val="21"/>
        </w:rPr>
        <w:instrText xml:space="preserve"> SEQ 表 \* ARABIC \s 2 </w:instrText>
      </w:r>
      <w:r>
        <w:rPr>
          <w:b/>
          <w:bCs/>
          <w:sz w:val="24"/>
          <w:szCs w:val="21"/>
        </w:rPr>
        <w:fldChar w:fldCharType="separate"/>
      </w:r>
      <w:r>
        <w:rPr>
          <w:b/>
          <w:bCs/>
          <w:sz w:val="24"/>
          <w:szCs w:val="21"/>
        </w:rPr>
        <w:t>5</w:t>
      </w:r>
      <w:r>
        <w:rPr>
          <w:b/>
          <w:bCs/>
          <w:sz w:val="24"/>
          <w:szCs w:val="21"/>
        </w:rPr>
        <w:fldChar w:fldCharType="end"/>
      </w:r>
      <w:r>
        <w:rPr>
          <w:rFonts w:hint="eastAsia"/>
          <w:b/>
          <w:bCs/>
          <w:sz w:val="24"/>
          <w:szCs w:val="21"/>
        </w:rPr>
        <w:t>项目主要设备一览表</w:t>
      </w:r>
    </w:p>
    <w:tbl>
      <w:tblPr>
        <w:tblStyle w:val="29"/>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49"/>
        <w:gridCol w:w="3179"/>
        <w:gridCol w:w="2413"/>
        <w:gridCol w:w="695"/>
        <w:gridCol w:w="138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498" w:type="pct"/>
            <w:noWrap/>
            <w:vAlign w:val="center"/>
          </w:tcPr>
          <w:p>
            <w:pPr>
              <w:adjustRightInd w:val="0"/>
              <w:snapToGrid w:val="0"/>
              <w:spacing w:line="240" w:lineRule="auto"/>
              <w:ind w:firstLine="0" w:firstLineChars="0"/>
              <w:jc w:val="center"/>
              <w:rPr>
                <w:rFonts w:ascii="宋体" w:hAnsi="宋体" w:cs="宋体"/>
                <w:b/>
                <w:bCs/>
                <w:kern w:val="0"/>
                <w:sz w:val="21"/>
                <w:szCs w:val="21"/>
              </w:rPr>
            </w:pPr>
            <w:r>
              <w:rPr>
                <w:rFonts w:hint="eastAsia" w:ascii="宋体" w:hAnsi="宋体" w:cs="宋体"/>
                <w:b/>
                <w:bCs/>
                <w:kern w:val="0"/>
                <w:sz w:val="21"/>
                <w:szCs w:val="21"/>
              </w:rPr>
              <w:t>序号</w:t>
            </w:r>
          </w:p>
        </w:tc>
        <w:tc>
          <w:tcPr>
            <w:tcW w:w="1865" w:type="pct"/>
            <w:noWrap/>
            <w:vAlign w:val="center"/>
          </w:tcPr>
          <w:p>
            <w:pPr>
              <w:adjustRightInd w:val="0"/>
              <w:snapToGrid w:val="0"/>
              <w:spacing w:line="240" w:lineRule="auto"/>
              <w:ind w:firstLine="0" w:firstLineChars="0"/>
              <w:jc w:val="center"/>
              <w:rPr>
                <w:rFonts w:ascii="宋体" w:hAnsi="宋体" w:cs="宋体"/>
                <w:b/>
                <w:bCs/>
                <w:kern w:val="0"/>
                <w:sz w:val="21"/>
                <w:szCs w:val="21"/>
              </w:rPr>
            </w:pPr>
            <w:r>
              <w:rPr>
                <w:rFonts w:hint="eastAsia" w:ascii="宋体" w:hAnsi="宋体" w:cs="宋体"/>
                <w:b/>
                <w:bCs/>
                <w:kern w:val="0"/>
                <w:sz w:val="21"/>
                <w:szCs w:val="21"/>
              </w:rPr>
              <w:t>设备名称</w:t>
            </w:r>
          </w:p>
        </w:tc>
        <w:tc>
          <w:tcPr>
            <w:tcW w:w="1416" w:type="pct"/>
            <w:noWrap/>
            <w:vAlign w:val="center"/>
          </w:tcPr>
          <w:p>
            <w:pPr>
              <w:adjustRightInd w:val="0"/>
              <w:snapToGrid w:val="0"/>
              <w:spacing w:line="240" w:lineRule="auto"/>
              <w:ind w:firstLine="0" w:firstLineChars="0"/>
              <w:jc w:val="center"/>
              <w:rPr>
                <w:rFonts w:ascii="宋体" w:hAnsi="宋体" w:cs="宋体"/>
                <w:b/>
                <w:bCs/>
                <w:kern w:val="0"/>
                <w:sz w:val="21"/>
                <w:szCs w:val="21"/>
              </w:rPr>
            </w:pPr>
            <w:r>
              <w:rPr>
                <w:rFonts w:hint="eastAsia" w:ascii="宋体" w:hAnsi="宋体" w:cs="宋体"/>
                <w:b/>
                <w:bCs/>
                <w:kern w:val="0"/>
                <w:sz w:val="21"/>
                <w:szCs w:val="21"/>
              </w:rPr>
              <w:t>型号及规格</w:t>
            </w:r>
          </w:p>
        </w:tc>
        <w:tc>
          <w:tcPr>
            <w:tcW w:w="407" w:type="pct"/>
            <w:noWrap/>
            <w:vAlign w:val="center"/>
          </w:tcPr>
          <w:p>
            <w:pPr>
              <w:adjustRightInd w:val="0"/>
              <w:snapToGrid w:val="0"/>
              <w:spacing w:line="240" w:lineRule="auto"/>
              <w:ind w:firstLine="0" w:firstLineChars="0"/>
              <w:jc w:val="center"/>
              <w:rPr>
                <w:rFonts w:ascii="宋体" w:hAnsi="宋体" w:cs="宋体"/>
                <w:b/>
                <w:bCs/>
                <w:kern w:val="0"/>
                <w:sz w:val="21"/>
                <w:szCs w:val="21"/>
              </w:rPr>
            </w:pPr>
            <w:r>
              <w:rPr>
                <w:rFonts w:hint="eastAsia" w:ascii="宋体" w:hAnsi="宋体" w:cs="宋体"/>
                <w:b/>
                <w:bCs/>
                <w:kern w:val="0"/>
                <w:sz w:val="21"/>
                <w:szCs w:val="21"/>
              </w:rPr>
              <w:t>数量（台）</w:t>
            </w:r>
          </w:p>
        </w:tc>
        <w:tc>
          <w:tcPr>
            <w:tcW w:w="811" w:type="pct"/>
            <w:noWrap/>
            <w:vAlign w:val="center"/>
          </w:tcPr>
          <w:p>
            <w:pPr>
              <w:adjustRightInd w:val="0"/>
              <w:snapToGrid w:val="0"/>
              <w:spacing w:line="240" w:lineRule="auto"/>
              <w:ind w:firstLine="0" w:firstLineChars="0"/>
              <w:jc w:val="center"/>
              <w:rPr>
                <w:rFonts w:ascii="宋体" w:hAnsi="宋体" w:cs="宋体"/>
                <w:b/>
                <w:bCs/>
                <w:kern w:val="0"/>
                <w:sz w:val="21"/>
                <w:szCs w:val="21"/>
              </w:rPr>
            </w:pPr>
            <w:r>
              <w:rPr>
                <w:rFonts w:hint="eastAsia" w:ascii="宋体" w:hAnsi="宋体" w:cs="宋体"/>
                <w:b/>
                <w:bCs/>
                <w:kern w:val="0"/>
                <w:sz w:val="21"/>
                <w:szCs w:val="21"/>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snapToGrid w:val="0"/>
              <w:spacing w:line="240" w:lineRule="auto"/>
              <w:ind w:firstLine="0" w:firstLineChars="0"/>
              <w:jc w:val="center"/>
              <w:rPr>
                <w:rFonts w:ascii="宋体" w:hAnsi="宋体" w:cs="宋体"/>
                <w:b/>
                <w:bCs/>
                <w:kern w:val="0"/>
                <w:sz w:val="21"/>
                <w:szCs w:val="21"/>
              </w:rPr>
            </w:pPr>
            <w:r>
              <w:rPr>
                <w:rFonts w:hint="eastAsia" w:ascii="宋体" w:hAnsi="宋体" w:cs="宋体"/>
                <w:b/>
                <w:bCs/>
                <w:kern w:val="0"/>
                <w:sz w:val="21"/>
                <w:szCs w:val="21"/>
              </w:rPr>
              <w:t>一</w:t>
            </w:r>
          </w:p>
        </w:tc>
        <w:tc>
          <w:tcPr>
            <w:tcW w:w="1865" w:type="pct"/>
            <w:noWrap/>
            <w:vAlign w:val="center"/>
          </w:tcPr>
          <w:p>
            <w:pPr>
              <w:snapToGrid w:val="0"/>
              <w:spacing w:line="240" w:lineRule="auto"/>
              <w:ind w:firstLine="0" w:firstLineChars="0"/>
              <w:jc w:val="center"/>
              <w:rPr>
                <w:rFonts w:ascii="宋体" w:hAnsi="宋体" w:cs="宋体"/>
                <w:b/>
                <w:bCs/>
                <w:kern w:val="0"/>
                <w:sz w:val="21"/>
                <w:szCs w:val="21"/>
              </w:rPr>
            </w:pPr>
            <w:r>
              <w:rPr>
                <w:rFonts w:hint="eastAsia" w:ascii="宋体" w:hAnsi="宋体" w:cs="宋体"/>
                <w:b/>
                <w:bCs/>
                <w:kern w:val="0"/>
                <w:sz w:val="21"/>
                <w:szCs w:val="21"/>
              </w:rPr>
              <w:t>粘土砂铸造车间（一期）</w:t>
            </w:r>
          </w:p>
        </w:tc>
        <w:tc>
          <w:tcPr>
            <w:tcW w:w="1416" w:type="pct"/>
            <w:noWrap/>
            <w:vAlign w:val="center"/>
          </w:tcPr>
          <w:p>
            <w:pPr>
              <w:snapToGrid w:val="0"/>
              <w:spacing w:line="240" w:lineRule="auto"/>
              <w:ind w:firstLine="0" w:firstLineChars="0"/>
              <w:jc w:val="center"/>
              <w:rPr>
                <w:rFonts w:ascii="宋体" w:hAnsi="宋体" w:cs="宋体"/>
                <w:b/>
                <w:bCs/>
                <w:kern w:val="0"/>
                <w:sz w:val="21"/>
                <w:szCs w:val="21"/>
              </w:rPr>
            </w:pPr>
          </w:p>
        </w:tc>
        <w:tc>
          <w:tcPr>
            <w:tcW w:w="407" w:type="pct"/>
            <w:noWrap/>
            <w:vAlign w:val="center"/>
          </w:tcPr>
          <w:p>
            <w:pPr>
              <w:snapToGrid w:val="0"/>
              <w:spacing w:line="240" w:lineRule="auto"/>
              <w:ind w:firstLine="0" w:firstLineChars="0"/>
              <w:jc w:val="center"/>
              <w:rPr>
                <w:rFonts w:ascii="宋体" w:hAnsi="宋体" w:cs="宋体"/>
                <w:b/>
                <w:bCs/>
                <w:kern w:val="0"/>
                <w:sz w:val="21"/>
                <w:szCs w:val="21"/>
              </w:rPr>
            </w:pPr>
          </w:p>
        </w:tc>
        <w:tc>
          <w:tcPr>
            <w:tcW w:w="811" w:type="pct"/>
            <w:noWrap/>
            <w:vAlign w:val="center"/>
          </w:tcPr>
          <w:p>
            <w:pPr>
              <w:snapToGrid w:val="0"/>
              <w:spacing w:line="240" w:lineRule="auto"/>
              <w:ind w:firstLine="0" w:firstLineChars="0"/>
              <w:jc w:val="center"/>
              <w:rPr>
                <w:rFonts w:ascii="宋体" w:hAnsi="宋体" w:cs="宋体"/>
                <w:b/>
                <w:bCs/>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（一）</w:t>
            </w:r>
          </w:p>
        </w:tc>
        <w:tc>
          <w:tcPr>
            <w:tcW w:w="1865" w:type="pct"/>
            <w:noWrap/>
            <w:vAlign w:val="center"/>
          </w:tcPr>
          <w:p>
            <w:pPr>
              <w:snapToGrid w:val="0"/>
              <w:spacing w:line="240" w:lineRule="auto"/>
              <w:ind w:firstLine="0" w:firstLineChars="0"/>
              <w:jc w:val="center"/>
              <w:rPr>
                <w:rFonts w:ascii="宋体" w:hAnsi="宋体" w:cs="宋体"/>
                <w:b/>
                <w:bCs/>
                <w:kern w:val="0"/>
                <w:sz w:val="21"/>
                <w:szCs w:val="21"/>
              </w:rPr>
            </w:pPr>
            <w:r>
              <w:rPr>
                <w:rFonts w:hint="eastAsia" w:ascii="宋体" w:hAnsi="宋体" w:cs="宋体"/>
                <w:b/>
                <w:bCs/>
                <w:kern w:val="0"/>
                <w:sz w:val="21"/>
                <w:szCs w:val="21"/>
              </w:rPr>
              <w:t>砂处理工部</w:t>
            </w:r>
          </w:p>
        </w:tc>
        <w:tc>
          <w:tcPr>
            <w:tcW w:w="1416" w:type="pct"/>
            <w:noWrap/>
            <w:vAlign w:val="center"/>
          </w:tcPr>
          <w:p>
            <w:pPr>
              <w:snapToGrid w:val="0"/>
              <w:spacing w:line="240" w:lineRule="auto"/>
              <w:ind w:firstLine="0" w:firstLineChars="0"/>
              <w:jc w:val="center"/>
              <w:rPr>
                <w:rFonts w:ascii="宋体" w:hAnsi="宋体" w:cs="宋体"/>
                <w:b/>
                <w:bCs/>
                <w:kern w:val="0"/>
                <w:sz w:val="21"/>
                <w:szCs w:val="21"/>
              </w:rPr>
            </w:pPr>
          </w:p>
        </w:tc>
        <w:tc>
          <w:tcPr>
            <w:tcW w:w="407" w:type="pct"/>
            <w:noWrap/>
            <w:vAlign w:val="center"/>
          </w:tcPr>
          <w:p>
            <w:pPr>
              <w:snapToGrid w:val="0"/>
              <w:spacing w:line="240" w:lineRule="auto"/>
              <w:ind w:firstLine="0" w:firstLineChars="0"/>
              <w:jc w:val="center"/>
              <w:rPr>
                <w:rFonts w:ascii="宋体" w:hAnsi="宋体" w:cs="宋体"/>
                <w:kern w:val="0"/>
                <w:sz w:val="21"/>
                <w:szCs w:val="21"/>
              </w:rPr>
            </w:pPr>
          </w:p>
        </w:tc>
        <w:tc>
          <w:tcPr>
            <w:tcW w:w="811" w:type="pct"/>
            <w:noWrap/>
            <w:vAlign w:val="center"/>
          </w:tcPr>
          <w:p>
            <w:pPr>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numPr>
                <w:ilvl w:val="0"/>
                <w:numId w:val="11"/>
              </w:numPr>
              <w:snapToGrid w:val="0"/>
              <w:spacing w:line="240" w:lineRule="auto"/>
              <w:ind w:firstLineChars="0"/>
              <w:jc w:val="center"/>
              <w:rPr>
                <w:rFonts w:ascii="宋体" w:hAnsi="宋体" w:cs="宋体"/>
                <w:b/>
                <w:bCs/>
                <w:kern w:val="0"/>
                <w:sz w:val="21"/>
                <w:szCs w:val="21"/>
              </w:rPr>
            </w:pPr>
          </w:p>
        </w:tc>
        <w:tc>
          <w:tcPr>
            <w:tcW w:w="1865" w:type="pct"/>
            <w:noWrap/>
            <w:vAlign w:val="center"/>
          </w:tcPr>
          <w:p>
            <w:pPr>
              <w:snapToGrid w:val="0"/>
              <w:spacing w:line="240" w:lineRule="auto"/>
              <w:ind w:firstLine="0" w:firstLineChars="0"/>
              <w:rPr>
                <w:rFonts w:ascii="宋体" w:hAnsi="宋体" w:cs="宋体"/>
                <w:kern w:val="0"/>
                <w:sz w:val="21"/>
                <w:szCs w:val="21"/>
              </w:rPr>
            </w:pPr>
            <w:r>
              <w:rPr>
                <w:rFonts w:hint="eastAsia" w:ascii="宋体" w:hAnsi="宋体" w:cs="宋体"/>
                <w:kern w:val="0"/>
                <w:sz w:val="21"/>
                <w:szCs w:val="21"/>
              </w:rPr>
              <w:t>振动输送机</w:t>
            </w:r>
          </w:p>
        </w:tc>
        <w:tc>
          <w:tcPr>
            <w:tcW w:w="1416"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Y34A0830</w:t>
            </w:r>
          </w:p>
        </w:tc>
        <w:tc>
          <w:tcPr>
            <w:tcW w:w="407"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1</w:t>
            </w:r>
          </w:p>
        </w:tc>
        <w:tc>
          <w:tcPr>
            <w:tcW w:w="811" w:type="pct"/>
            <w:noWrap/>
            <w:vAlign w:val="center"/>
          </w:tcPr>
          <w:p>
            <w:pPr>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numPr>
                <w:ilvl w:val="0"/>
                <w:numId w:val="11"/>
              </w:numPr>
              <w:snapToGrid w:val="0"/>
              <w:spacing w:line="240" w:lineRule="auto"/>
              <w:ind w:firstLineChars="0"/>
              <w:jc w:val="center"/>
              <w:rPr>
                <w:rFonts w:ascii="宋体" w:hAnsi="宋体" w:cs="宋体"/>
                <w:b/>
                <w:bCs/>
                <w:kern w:val="0"/>
                <w:sz w:val="21"/>
                <w:szCs w:val="21"/>
              </w:rPr>
            </w:pPr>
          </w:p>
        </w:tc>
        <w:tc>
          <w:tcPr>
            <w:tcW w:w="1865" w:type="pct"/>
            <w:noWrap/>
            <w:vAlign w:val="center"/>
          </w:tcPr>
          <w:p>
            <w:pPr>
              <w:snapToGrid w:val="0"/>
              <w:spacing w:line="240" w:lineRule="auto"/>
              <w:ind w:firstLine="0" w:firstLineChars="0"/>
              <w:rPr>
                <w:rFonts w:ascii="宋体" w:hAnsi="宋体" w:cs="宋体"/>
                <w:kern w:val="0"/>
                <w:sz w:val="21"/>
                <w:szCs w:val="21"/>
              </w:rPr>
            </w:pPr>
            <w:r>
              <w:rPr>
                <w:rFonts w:hint="eastAsia" w:ascii="宋体" w:hAnsi="宋体" w:cs="宋体"/>
                <w:kern w:val="0"/>
                <w:sz w:val="21"/>
                <w:szCs w:val="21"/>
              </w:rPr>
              <w:t>落砂滚筒</w:t>
            </w:r>
          </w:p>
        </w:tc>
        <w:tc>
          <w:tcPr>
            <w:tcW w:w="1416"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LG3225</w:t>
            </w:r>
          </w:p>
        </w:tc>
        <w:tc>
          <w:tcPr>
            <w:tcW w:w="407"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1</w:t>
            </w:r>
          </w:p>
        </w:tc>
        <w:tc>
          <w:tcPr>
            <w:tcW w:w="811" w:type="pct"/>
            <w:noWrap/>
            <w:vAlign w:val="center"/>
          </w:tcPr>
          <w:p>
            <w:pPr>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numPr>
                <w:ilvl w:val="0"/>
                <w:numId w:val="11"/>
              </w:numPr>
              <w:snapToGrid w:val="0"/>
              <w:spacing w:line="240" w:lineRule="auto"/>
              <w:ind w:firstLineChars="0"/>
              <w:jc w:val="center"/>
              <w:rPr>
                <w:rFonts w:ascii="宋体" w:hAnsi="宋体" w:cs="宋体"/>
                <w:b/>
                <w:bCs/>
                <w:kern w:val="0"/>
                <w:sz w:val="21"/>
                <w:szCs w:val="21"/>
              </w:rPr>
            </w:pPr>
          </w:p>
        </w:tc>
        <w:tc>
          <w:tcPr>
            <w:tcW w:w="1865" w:type="pct"/>
            <w:noWrap/>
            <w:vAlign w:val="center"/>
          </w:tcPr>
          <w:p>
            <w:pPr>
              <w:snapToGrid w:val="0"/>
              <w:spacing w:line="240" w:lineRule="auto"/>
              <w:ind w:firstLine="0" w:firstLineChars="0"/>
              <w:rPr>
                <w:rFonts w:ascii="宋体" w:hAnsi="宋体" w:cs="宋体"/>
                <w:kern w:val="0"/>
                <w:sz w:val="21"/>
                <w:szCs w:val="21"/>
              </w:rPr>
            </w:pPr>
            <w:r>
              <w:rPr>
                <w:rFonts w:hint="eastAsia" w:ascii="宋体" w:hAnsi="宋体" w:cs="宋体"/>
                <w:kern w:val="0"/>
                <w:sz w:val="21"/>
                <w:szCs w:val="21"/>
              </w:rPr>
              <w:t>P-1皮带机</w:t>
            </w:r>
          </w:p>
        </w:tc>
        <w:tc>
          <w:tcPr>
            <w:tcW w:w="1416"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Y337</w:t>
            </w:r>
          </w:p>
        </w:tc>
        <w:tc>
          <w:tcPr>
            <w:tcW w:w="407"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1</w:t>
            </w:r>
          </w:p>
        </w:tc>
        <w:tc>
          <w:tcPr>
            <w:tcW w:w="811" w:type="pct"/>
            <w:noWrap/>
            <w:vAlign w:val="center"/>
          </w:tcPr>
          <w:p>
            <w:pPr>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numPr>
                <w:ilvl w:val="0"/>
                <w:numId w:val="11"/>
              </w:numPr>
              <w:snapToGrid w:val="0"/>
              <w:spacing w:line="240" w:lineRule="auto"/>
              <w:ind w:firstLineChars="0"/>
              <w:jc w:val="center"/>
              <w:rPr>
                <w:rFonts w:ascii="宋体" w:hAnsi="宋体" w:cs="宋体"/>
                <w:b/>
                <w:bCs/>
                <w:kern w:val="0"/>
                <w:sz w:val="21"/>
                <w:szCs w:val="21"/>
              </w:rPr>
            </w:pPr>
          </w:p>
        </w:tc>
        <w:tc>
          <w:tcPr>
            <w:tcW w:w="1865" w:type="pct"/>
            <w:noWrap/>
            <w:vAlign w:val="center"/>
          </w:tcPr>
          <w:p>
            <w:pPr>
              <w:snapToGrid w:val="0"/>
              <w:spacing w:line="240" w:lineRule="auto"/>
              <w:ind w:firstLine="0" w:firstLineChars="0"/>
              <w:rPr>
                <w:rFonts w:ascii="宋体" w:hAnsi="宋体" w:cs="宋体"/>
                <w:kern w:val="0"/>
                <w:sz w:val="21"/>
                <w:szCs w:val="21"/>
              </w:rPr>
            </w:pPr>
            <w:r>
              <w:rPr>
                <w:rFonts w:hint="eastAsia" w:ascii="宋体" w:hAnsi="宋体" w:cs="宋体"/>
                <w:kern w:val="0"/>
                <w:sz w:val="21"/>
                <w:szCs w:val="21"/>
              </w:rPr>
              <w:t>磁选头轮</w:t>
            </w:r>
          </w:p>
        </w:tc>
        <w:tc>
          <w:tcPr>
            <w:tcW w:w="1416"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S977</w:t>
            </w:r>
          </w:p>
        </w:tc>
        <w:tc>
          <w:tcPr>
            <w:tcW w:w="407"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1</w:t>
            </w:r>
          </w:p>
        </w:tc>
        <w:tc>
          <w:tcPr>
            <w:tcW w:w="811" w:type="pct"/>
            <w:noWrap/>
            <w:vAlign w:val="center"/>
          </w:tcPr>
          <w:p>
            <w:pPr>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numPr>
                <w:ilvl w:val="0"/>
                <w:numId w:val="11"/>
              </w:numPr>
              <w:snapToGrid w:val="0"/>
              <w:spacing w:line="240" w:lineRule="auto"/>
              <w:ind w:firstLineChars="0"/>
              <w:jc w:val="center"/>
              <w:rPr>
                <w:rFonts w:ascii="宋体" w:hAnsi="宋体" w:cs="宋体"/>
                <w:b/>
                <w:bCs/>
                <w:kern w:val="0"/>
                <w:sz w:val="21"/>
                <w:szCs w:val="21"/>
              </w:rPr>
            </w:pPr>
          </w:p>
        </w:tc>
        <w:tc>
          <w:tcPr>
            <w:tcW w:w="1865" w:type="pct"/>
            <w:noWrap/>
            <w:vAlign w:val="center"/>
          </w:tcPr>
          <w:p>
            <w:pPr>
              <w:snapToGrid w:val="0"/>
              <w:spacing w:line="240" w:lineRule="auto"/>
              <w:ind w:firstLine="0" w:firstLineChars="0"/>
              <w:rPr>
                <w:rFonts w:ascii="宋体" w:hAnsi="宋体" w:cs="宋体"/>
                <w:kern w:val="0"/>
                <w:sz w:val="21"/>
                <w:szCs w:val="21"/>
              </w:rPr>
            </w:pPr>
            <w:r>
              <w:rPr>
                <w:rFonts w:hint="eastAsia" w:ascii="宋体" w:hAnsi="宋体" w:cs="宋体"/>
                <w:kern w:val="0"/>
                <w:sz w:val="21"/>
                <w:szCs w:val="21"/>
              </w:rPr>
              <w:t>悬挂磁选机</w:t>
            </w:r>
          </w:p>
        </w:tc>
        <w:tc>
          <w:tcPr>
            <w:tcW w:w="1416"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S997</w:t>
            </w:r>
          </w:p>
        </w:tc>
        <w:tc>
          <w:tcPr>
            <w:tcW w:w="407"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1</w:t>
            </w:r>
          </w:p>
        </w:tc>
        <w:tc>
          <w:tcPr>
            <w:tcW w:w="811" w:type="pct"/>
            <w:noWrap/>
            <w:vAlign w:val="center"/>
          </w:tcPr>
          <w:p>
            <w:pPr>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numPr>
                <w:ilvl w:val="0"/>
                <w:numId w:val="11"/>
              </w:numPr>
              <w:snapToGrid w:val="0"/>
              <w:spacing w:line="240" w:lineRule="auto"/>
              <w:ind w:firstLineChars="0"/>
              <w:jc w:val="center"/>
              <w:rPr>
                <w:rFonts w:ascii="宋体" w:hAnsi="宋体" w:cs="宋体"/>
                <w:b/>
                <w:bCs/>
                <w:kern w:val="0"/>
                <w:sz w:val="21"/>
                <w:szCs w:val="21"/>
              </w:rPr>
            </w:pPr>
          </w:p>
        </w:tc>
        <w:tc>
          <w:tcPr>
            <w:tcW w:w="1865" w:type="pct"/>
            <w:noWrap/>
            <w:vAlign w:val="center"/>
          </w:tcPr>
          <w:p>
            <w:pPr>
              <w:snapToGrid w:val="0"/>
              <w:spacing w:line="240" w:lineRule="auto"/>
              <w:ind w:firstLine="0" w:firstLineChars="0"/>
              <w:rPr>
                <w:rFonts w:ascii="宋体" w:hAnsi="宋体" w:cs="宋体"/>
                <w:kern w:val="0"/>
                <w:sz w:val="21"/>
                <w:szCs w:val="21"/>
              </w:rPr>
            </w:pPr>
            <w:r>
              <w:rPr>
                <w:rFonts w:hint="eastAsia" w:ascii="宋体" w:hAnsi="宋体" w:cs="宋体"/>
                <w:kern w:val="0"/>
                <w:sz w:val="21"/>
                <w:szCs w:val="21"/>
              </w:rPr>
              <w:t>P-2皮带机</w:t>
            </w:r>
          </w:p>
        </w:tc>
        <w:tc>
          <w:tcPr>
            <w:tcW w:w="1416"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Y337</w:t>
            </w:r>
          </w:p>
        </w:tc>
        <w:tc>
          <w:tcPr>
            <w:tcW w:w="407"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1</w:t>
            </w:r>
          </w:p>
        </w:tc>
        <w:tc>
          <w:tcPr>
            <w:tcW w:w="811" w:type="pct"/>
            <w:noWrap/>
            <w:vAlign w:val="center"/>
          </w:tcPr>
          <w:p>
            <w:pPr>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numPr>
                <w:ilvl w:val="0"/>
                <w:numId w:val="11"/>
              </w:numPr>
              <w:snapToGrid w:val="0"/>
              <w:spacing w:line="240" w:lineRule="auto"/>
              <w:ind w:firstLineChars="0"/>
              <w:jc w:val="center"/>
              <w:rPr>
                <w:rFonts w:ascii="宋体" w:hAnsi="宋体" w:cs="宋体"/>
                <w:b/>
                <w:bCs/>
                <w:kern w:val="0"/>
                <w:sz w:val="21"/>
                <w:szCs w:val="21"/>
              </w:rPr>
            </w:pPr>
          </w:p>
        </w:tc>
        <w:tc>
          <w:tcPr>
            <w:tcW w:w="1865" w:type="pct"/>
            <w:noWrap/>
            <w:vAlign w:val="center"/>
          </w:tcPr>
          <w:p>
            <w:pPr>
              <w:snapToGrid w:val="0"/>
              <w:spacing w:line="240" w:lineRule="auto"/>
              <w:ind w:firstLine="0" w:firstLineChars="0"/>
              <w:rPr>
                <w:rFonts w:ascii="宋体" w:hAnsi="宋体" w:cs="宋体"/>
                <w:kern w:val="0"/>
                <w:sz w:val="21"/>
                <w:szCs w:val="21"/>
              </w:rPr>
            </w:pPr>
            <w:r>
              <w:rPr>
                <w:rFonts w:hint="eastAsia" w:ascii="宋体" w:hAnsi="宋体" w:cs="宋体"/>
                <w:kern w:val="0"/>
                <w:sz w:val="21"/>
                <w:szCs w:val="21"/>
              </w:rPr>
              <w:t>P-3皮带机</w:t>
            </w:r>
          </w:p>
        </w:tc>
        <w:tc>
          <w:tcPr>
            <w:tcW w:w="1416"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Y337</w:t>
            </w:r>
          </w:p>
        </w:tc>
        <w:tc>
          <w:tcPr>
            <w:tcW w:w="407"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1</w:t>
            </w:r>
          </w:p>
        </w:tc>
        <w:tc>
          <w:tcPr>
            <w:tcW w:w="811" w:type="pct"/>
            <w:noWrap/>
            <w:vAlign w:val="center"/>
          </w:tcPr>
          <w:p>
            <w:pPr>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numPr>
                <w:ilvl w:val="0"/>
                <w:numId w:val="11"/>
              </w:numPr>
              <w:snapToGrid w:val="0"/>
              <w:spacing w:line="240" w:lineRule="auto"/>
              <w:ind w:firstLineChars="0"/>
              <w:jc w:val="center"/>
              <w:rPr>
                <w:rFonts w:ascii="宋体" w:hAnsi="宋体" w:cs="宋体"/>
                <w:b/>
                <w:bCs/>
                <w:kern w:val="0"/>
                <w:sz w:val="21"/>
                <w:szCs w:val="21"/>
              </w:rPr>
            </w:pPr>
          </w:p>
        </w:tc>
        <w:tc>
          <w:tcPr>
            <w:tcW w:w="1865" w:type="pct"/>
            <w:noWrap/>
            <w:vAlign w:val="center"/>
          </w:tcPr>
          <w:p>
            <w:pPr>
              <w:snapToGrid w:val="0"/>
              <w:spacing w:line="240" w:lineRule="auto"/>
              <w:ind w:firstLine="0" w:firstLineChars="0"/>
              <w:rPr>
                <w:rFonts w:ascii="宋体" w:hAnsi="宋体" w:cs="宋体"/>
                <w:kern w:val="0"/>
                <w:sz w:val="21"/>
                <w:szCs w:val="21"/>
              </w:rPr>
            </w:pPr>
            <w:r>
              <w:rPr>
                <w:rFonts w:hint="eastAsia" w:ascii="宋体" w:hAnsi="宋体" w:cs="宋体"/>
                <w:kern w:val="0"/>
                <w:sz w:val="21"/>
                <w:szCs w:val="21"/>
              </w:rPr>
              <w:t>精细八角筛</w:t>
            </w:r>
          </w:p>
        </w:tc>
        <w:tc>
          <w:tcPr>
            <w:tcW w:w="1416"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SATEP300</w:t>
            </w:r>
          </w:p>
        </w:tc>
        <w:tc>
          <w:tcPr>
            <w:tcW w:w="407"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1</w:t>
            </w:r>
          </w:p>
        </w:tc>
        <w:tc>
          <w:tcPr>
            <w:tcW w:w="811" w:type="pct"/>
            <w:noWrap/>
            <w:vAlign w:val="center"/>
          </w:tcPr>
          <w:p>
            <w:pPr>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numPr>
                <w:ilvl w:val="0"/>
                <w:numId w:val="11"/>
              </w:numPr>
              <w:snapToGrid w:val="0"/>
              <w:spacing w:line="240" w:lineRule="auto"/>
              <w:ind w:firstLineChars="0"/>
              <w:jc w:val="center"/>
              <w:rPr>
                <w:rFonts w:ascii="宋体" w:hAnsi="宋体" w:cs="宋体"/>
                <w:b/>
                <w:bCs/>
                <w:kern w:val="0"/>
                <w:sz w:val="21"/>
                <w:szCs w:val="21"/>
              </w:rPr>
            </w:pPr>
          </w:p>
        </w:tc>
        <w:tc>
          <w:tcPr>
            <w:tcW w:w="1865" w:type="pct"/>
            <w:noWrap/>
            <w:vAlign w:val="center"/>
          </w:tcPr>
          <w:p>
            <w:pPr>
              <w:snapToGrid w:val="0"/>
              <w:spacing w:line="240" w:lineRule="auto"/>
              <w:ind w:firstLine="0" w:firstLineChars="0"/>
              <w:rPr>
                <w:rFonts w:ascii="宋体" w:hAnsi="宋体" w:cs="宋体"/>
                <w:kern w:val="0"/>
                <w:sz w:val="21"/>
                <w:szCs w:val="21"/>
              </w:rPr>
            </w:pPr>
            <w:r>
              <w:rPr>
                <w:rFonts w:hint="eastAsia" w:ascii="宋体" w:hAnsi="宋体" w:cs="宋体"/>
                <w:kern w:val="0"/>
                <w:sz w:val="21"/>
                <w:szCs w:val="21"/>
              </w:rPr>
              <w:t>圆盘给料机</w:t>
            </w:r>
          </w:p>
        </w:tc>
        <w:tc>
          <w:tcPr>
            <w:tcW w:w="1416"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YP15</w:t>
            </w:r>
          </w:p>
        </w:tc>
        <w:tc>
          <w:tcPr>
            <w:tcW w:w="407"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1</w:t>
            </w:r>
          </w:p>
        </w:tc>
        <w:tc>
          <w:tcPr>
            <w:tcW w:w="811" w:type="pct"/>
            <w:noWrap/>
            <w:vAlign w:val="center"/>
          </w:tcPr>
          <w:p>
            <w:pPr>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numPr>
                <w:ilvl w:val="0"/>
                <w:numId w:val="11"/>
              </w:numPr>
              <w:snapToGrid w:val="0"/>
              <w:spacing w:line="240" w:lineRule="auto"/>
              <w:ind w:firstLineChars="0"/>
              <w:jc w:val="center"/>
              <w:rPr>
                <w:rFonts w:ascii="宋体" w:hAnsi="宋体" w:cs="宋体"/>
                <w:b/>
                <w:bCs/>
                <w:kern w:val="0"/>
                <w:sz w:val="21"/>
                <w:szCs w:val="21"/>
              </w:rPr>
            </w:pPr>
          </w:p>
        </w:tc>
        <w:tc>
          <w:tcPr>
            <w:tcW w:w="1865" w:type="pct"/>
            <w:noWrap/>
            <w:vAlign w:val="center"/>
          </w:tcPr>
          <w:p>
            <w:pPr>
              <w:snapToGrid w:val="0"/>
              <w:spacing w:line="240" w:lineRule="auto"/>
              <w:ind w:firstLine="0" w:firstLineChars="0"/>
              <w:rPr>
                <w:rFonts w:ascii="宋体" w:hAnsi="宋体" w:cs="宋体"/>
                <w:kern w:val="0"/>
                <w:sz w:val="21"/>
                <w:szCs w:val="21"/>
              </w:rPr>
            </w:pPr>
            <w:r>
              <w:rPr>
                <w:rFonts w:hint="eastAsia" w:ascii="宋体" w:hAnsi="宋体" w:cs="宋体"/>
                <w:kern w:val="0"/>
                <w:sz w:val="21"/>
                <w:szCs w:val="21"/>
              </w:rPr>
              <w:t>新砂螺旋给料机</w:t>
            </w:r>
          </w:p>
        </w:tc>
        <w:tc>
          <w:tcPr>
            <w:tcW w:w="1416"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Y4220</w:t>
            </w:r>
          </w:p>
        </w:tc>
        <w:tc>
          <w:tcPr>
            <w:tcW w:w="407"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1</w:t>
            </w:r>
          </w:p>
        </w:tc>
        <w:tc>
          <w:tcPr>
            <w:tcW w:w="811" w:type="pct"/>
            <w:noWrap/>
            <w:vAlign w:val="center"/>
          </w:tcPr>
          <w:p>
            <w:pPr>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numPr>
                <w:ilvl w:val="0"/>
                <w:numId w:val="11"/>
              </w:numPr>
              <w:snapToGrid w:val="0"/>
              <w:spacing w:line="240" w:lineRule="auto"/>
              <w:ind w:firstLineChars="0"/>
              <w:jc w:val="center"/>
              <w:rPr>
                <w:rFonts w:ascii="宋体" w:hAnsi="宋体" w:cs="宋体"/>
                <w:b/>
                <w:bCs/>
                <w:kern w:val="0"/>
                <w:sz w:val="21"/>
                <w:szCs w:val="21"/>
              </w:rPr>
            </w:pPr>
          </w:p>
        </w:tc>
        <w:tc>
          <w:tcPr>
            <w:tcW w:w="1865" w:type="pct"/>
            <w:noWrap/>
            <w:vAlign w:val="center"/>
          </w:tcPr>
          <w:p>
            <w:pPr>
              <w:snapToGrid w:val="0"/>
              <w:spacing w:line="240" w:lineRule="auto"/>
              <w:ind w:firstLine="0" w:firstLineChars="0"/>
              <w:rPr>
                <w:rFonts w:ascii="宋体" w:hAnsi="宋体" w:cs="宋体"/>
                <w:kern w:val="0"/>
                <w:sz w:val="21"/>
                <w:szCs w:val="21"/>
              </w:rPr>
            </w:pPr>
            <w:r>
              <w:rPr>
                <w:rFonts w:hint="eastAsia" w:ascii="宋体" w:hAnsi="宋体" w:cs="宋体"/>
                <w:kern w:val="0"/>
                <w:sz w:val="21"/>
                <w:szCs w:val="21"/>
              </w:rPr>
              <w:t>P-4皮带机</w:t>
            </w:r>
          </w:p>
        </w:tc>
        <w:tc>
          <w:tcPr>
            <w:tcW w:w="1416"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Y337</w:t>
            </w:r>
          </w:p>
        </w:tc>
        <w:tc>
          <w:tcPr>
            <w:tcW w:w="407"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1</w:t>
            </w:r>
          </w:p>
        </w:tc>
        <w:tc>
          <w:tcPr>
            <w:tcW w:w="811" w:type="pct"/>
            <w:noWrap/>
            <w:vAlign w:val="center"/>
          </w:tcPr>
          <w:p>
            <w:pPr>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numPr>
                <w:ilvl w:val="0"/>
                <w:numId w:val="11"/>
              </w:numPr>
              <w:snapToGrid w:val="0"/>
              <w:spacing w:line="240" w:lineRule="auto"/>
              <w:ind w:firstLineChars="0"/>
              <w:jc w:val="center"/>
              <w:rPr>
                <w:rFonts w:ascii="宋体" w:hAnsi="宋体" w:cs="宋体"/>
                <w:b/>
                <w:bCs/>
                <w:kern w:val="0"/>
                <w:sz w:val="21"/>
                <w:szCs w:val="21"/>
              </w:rPr>
            </w:pPr>
          </w:p>
        </w:tc>
        <w:tc>
          <w:tcPr>
            <w:tcW w:w="1865" w:type="pct"/>
            <w:noWrap/>
            <w:vAlign w:val="center"/>
          </w:tcPr>
          <w:p>
            <w:pPr>
              <w:snapToGrid w:val="0"/>
              <w:spacing w:line="240" w:lineRule="auto"/>
              <w:ind w:firstLine="0" w:firstLineChars="0"/>
              <w:rPr>
                <w:rFonts w:ascii="宋体" w:hAnsi="宋体" w:cs="宋体"/>
                <w:kern w:val="0"/>
                <w:sz w:val="21"/>
                <w:szCs w:val="21"/>
              </w:rPr>
            </w:pPr>
            <w:r>
              <w:rPr>
                <w:rFonts w:hint="eastAsia" w:ascii="宋体" w:hAnsi="宋体" w:cs="宋体"/>
                <w:kern w:val="0"/>
                <w:sz w:val="21"/>
                <w:szCs w:val="21"/>
              </w:rPr>
              <w:t>新旧砂电子秤</w:t>
            </w:r>
          </w:p>
        </w:tc>
        <w:tc>
          <w:tcPr>
            <w:tcW w:w="1416"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SMC-2</w:t>
            </w:r>
          </w:p>
        </w:tc>
        <w:tc>
          <w:tcPr>
            <w:tcW w:w="407"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1</w:t>
            </w:r>
          </w:p>
        </w:tc>
        <w:tc>
          <w:tcPr>
            <w:tcW w:w="811" w:type="pct"/>
            <w:noWrap/>
            <w:vAlign w:val="center"/>
          </w:tcPr>
          <w:p>
            <w:pPr>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numPr>
                <w:ilvl w:val="0"/>
                <w:numId w:val="11"/>
              </w:numPr>
              <w:snapToGrid w:val="0"/>
              <w:spacing w:line="240" w:lineRule="auto"/>
              <w:ind w:firstLineChars="0"/>
              <w:jc w:val="center"/>
              <w:rPr>
                <w:rFonts w:ascii="宋体" w:hAnsi="宋体" w:cs="宋体"/>
                <w:b/>
                <w:bCs/>
                <w:kern w:val="0"/>
                <w:sz w:val="21"/>
                <w:szCs w:val="21"/>
              </w:rPr>
            </w:pPr>
          </w:p>
        </w:tc>
        <w:tc>
          <w:tcPr>
            <w:tcW w:w="1865" w:type="pct"/>
            <w:noWrap/>
            <w:vAlign w:val="center"/>
          </w:tcPr>
          <w:p>
            <w:pPr>
              <w:snapToGrid w:val="0"/>
              <w:spacing w:line="240" w:lineRule="auto"/>
              <w:ind w:firstLine="0" w:firstLineChars="0"/>
              <w:rPr>
                <w:rFonts w:ascii="宋体" w:hAnsi="宋体" w:cs="宋体"/>
                <w:kern w:val="0"/>
                <w:sz w:val="21"/>
                <w:szCs w:val="21"/>
              </w:rPr>
            </w:pPr>
            <w:r>
              <w:rPr>
                <w:rFonts w:hint="eastAsia" w:ascii="宋体" w:hAnsi="宋体" w:cs="宋体"/>
                <w:kern w:val="0"/>
                <w:sz w:val="21"/>
                <w:szCs w:val="21"/>
              </w:rPr>
              <w:t>辅料螺旋给料机</w:t>
            </w:r>
          </w:p>
        </w:tc>
        <w:tc>
          <w:tcPr>
            <w:tcW w:w="1416"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Y4215</w:t>
            </w:r>
          </w:p>
        </w:tc>
        <w:tc>
          <w:tcPr>
            <w:tcW w:w="407"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3</w:t>
            </w:r>
          </w:p>
        </w:tc>
        <w:tc>
          <w:tcPr>
            <w:tcW w:w="811" w:type="pct"/>
            <w:noWrap/>
            <w:vAlign w:val="center"/>
          </w:tcPr>
          <w:p>
            <w:pPr>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numPr>
                <w:ilvl w:val="0"/>
                <w:numId w:val="11"/>
              </w:numPr>
              <w:snapToGrid w:val="0"/>
              <w:spacing w:line="240" w:lineRule="auto"/>
              <w:ind w:firstLineChars="0"/>
              <w:jc w:val="center"/>
              <w:rPr>
                <w:rFonts w:ascii="宋体" w:hAnsi="宋体" w:cs="宋体"/>
                <w:b/>
                <w:bCs/>
                <w:kern w:val="0"/>
                <w:sz w:val="21"/>
                <w:szCs w:val="21"/>
              </w:rPr>
            </w:pPr>
          </w:p>
        </w:tc>
        <w:tc>
          <w:tcPr>
            <w:tcW w:w="1865" w:type="pct"/>
            <w:noWrap/>
            <w:vAlign w:val="center"/>
          </w:tcPr>
          <w:p>
            <w:pPr>
              <w:snapToGrid w:val="0"/>
              <w:spacing w:line="240" w:lineRule="auto"/>
              <w:ind w:firstLine="0" w:firstLineChars="0"/>
              <w:rPr>
                <w:rFonts w:ascii="宋体" w:hAnsi="宋体" w:cs="宋体"/>
                <w:kern w:val="0"/>
                <w:sz w:val="21"/>
                <w:szCs w:val="21"/>
              </w:rPr>
            </w:pPr>
            <w:r>
              <w:rPr>
                <w:rFonts w:hint="eastAsia" w:ascii="宋体" w:hAnsi="宋体" w:cs="宋体"/>
                <w:kern w:val="0"/>
                <w:sz w:val="21"/>
                <w:szCs w:val="21"/>
              </w:rPr>
              <w:t>辅料电子秤</w:t>
            </w:r>
          </w:p>
        </w:tc>
        <w:tc>
          <w:tcPr>
            <w:tcW w:w="1416"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SMC-0.2</w:t>
            </w:r>
          </w:p>
        </w:tc>
        <w:tc>
          <w:tcPr>
            <w:tcW w:w="407"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1</w:t>
            </w:r>
          </w:p>
        </w:tc>
        <w:tc>
          <w:tcPr>
            <w:tcW w:w="811" w:type="pct"/>
            <w:noWrap/>
            <w:vAlign w:val="center"/>
          </w:tcPr>
          <w:p>
            <w:pPr>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numPr>
                <w:ilvl w:val="0"/>
                <w:numId w:val="11"/>
              </w:numPr>
              <w:snapToGrid w:val="0"/>
              <w:spacing w:line="240" w:lineRule="auto"/>
              <w:ind w:firstLineChars="0"/>
              <w:jc w:val="center"/>
              <w:rPr>
                <w:rFonts w:ascii="宋体" w:hAnsi="宋体" w:cs="宋体"/>
                <w:b/>
                <w:bCs/>
                <w:kern w:val="0"/>
                <w:sz w:val="21"/>
                <w:szCs w:val="21"/>
              </w:rPr>
            </w:pPr>
          </w:p>
        </w:tc>
        <w:tc>
          <w:tcPr>
            <w:tcW w:w="1865" w:type="pct"/>
            <w:noWrap/>
            <w:vAlign w:val="center"/>
          </w:tcPr>
          <w:p>
            <w:pPr>
              <w:snapToGrid w:val="0"/>
              <w:spacing w:line="240" w:lineRule="auto"/>
              <w:ind w:firstLine="0" w:firstLineChars="0"/>
              <w:rPr>
                <w:rFonts w:ascii="宋体" w:hAnsi="宋体" w:cs="宋体"/>
                <w:kern w:val="0"/>
                <w:sz w:val="21"/>
                <w:szCs w:val="21"/>
              </w:rPr>
            </w:pPr>
            <w:r>
              <w:rPr>
                <w:rFonts w:hint="eastAsia" w:ascii="宋体" w:hAnsi="宋体" w:cs="宋体"/>
                <w:kern w:val="0"/>
                <w:sz w:val="21"/>
                <w:szCs w:val="21"/>
              </w:rPr>
              <w:t>辅料气送</w:t>
            </w:r>
          </w:p>
        </w:tc>
        <w:tc>
          <w:tcPr>
            <w:tcW w:w="1416"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YS100</w:t>
            </w:r>
          </w:p>
        </w:tc>
        <w:tc>
          <w:tcPr>
            <w:tcW w:w="407"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1</w:t>
            </w:r>
          </w:p>
        </w:tc>
        <w:tc>
          <w:tcPr>
            <w:tcW w:w="811" w:type="pct"/>
            <w:noWrap/>
            <w:vAlign w:val="center"/>
          </w:tcPr>
          <w:p>
            <w:pPr>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numPr>
                <w:ilvl w:val="0"/>
                <w:numId w:val="11"/>
              </w:numPr>
              <w:snapToGrid w:val="0"/>
              <w:spacing w:line="240" w:lineRule="auto"/>
              <w:ind w:firstLineChars="0"/>
              <w:jc w:val="center"/>
              <w:rPr>
                <w:rFonts w:ascii="宋体" w:hAnsi="宋体" w:cs="宋体"/>
                <w:b/>
                <w:bCs/>
                <w:kern w:val="0"/>
                <w:sz w:val="21"/>
                <w:szCs w:val="21"/>
              </w:rPr>
            </w:pPr>
          </w:p>
        </w:tc>
        <w:tc>
          <w:tcPr>
            <w:tcW w:w="1865" w:type="pct"/>
            <w:noWrap/>
            <w:vAlign w:val="center"/>
          </w:tcPr>
          <w:p>
            <w:pPr>
              <w:snapToGrid w:val="0"/>
              <w:spacing w:line="240" w:lineRule="auto"/>
              <w:ind w:firstLine="0" w:firstLineChars="0"/>
              <w:rPr>
                <w:rFonts w:ascii="宋体" w:hAnsi="宋体" w:cs="宋体"/>
                <w:kern w:val="0"/>
                <w:sz w:val="21"/>
                <w:szCs w:val="21"/>
              </w:rPr>
            </w:pPr>
            <w:r>
              <w:rPr>
                <w:rFonts w:hint="eastAsia" w:ascii="宋体" w:hAnsi="宋体" w:cs="宋体"/>
                <w:kern w:val="0"/>
                <w:sz w:val="21"/>
                <w:szCs w:val="21"/>
              </w:rPr>
              <w:t>变频冷却混砂机</w:t>
            </w:r>
          </w:p>
        </w:tc>
        <w:tc>
          <w:tcPr>
            <w:tcW w:w="1416"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MXC40</w:t>
            </w:r>
          </w:p>
        </w:tc>
        <w:tc>
          <w:tcPr>
            <w:tcW w:w="407"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1</w:t>
            </w:r>
          </w:p>
        </w:tc>
        <w:tc>
          <w:tcPr>
            <w:tcW w:w="811" w:type="pct"/>
            <w:noWrap/>
            <w:vAlign w:val="center"/>
          </w:tcPr>
          <w:p>
            <w:pPr>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numPr>
                <w:ilvl w:val="0"/>
                <w:numId w:val="11"/>
              </w:numPr>
              <w:snapToGrid w:val="0"/>
              <w:spacing w:line="240" w:lineRule="auto"/>
              <w:ind w:firstLineChars="0"/>
              <w:jc w:val="center"/>
              <w:rPr>
                <w:rFonts w:ascii="宋体" w:hAnsi="宋体" w:cs="宋体"/>
                <w:b/>
                <w:bCs/>
                <w:kern w:val="0"/>
                <w:sz w:val="21"/>
                <w:szCs w:val="21"/>
              </w:rPr>
            </w:pPr>
          </w:p>
        </w:tc>
        <w:tc>
          <w:tcPr>
            <w:tcW w:w="1865" w:type="pct"/>
            <w:noWrap/>
            <w:vAlign w:val="center"/>
          </w:tcPr>
          <w:p>
            <w:pPr>
              <w:snapToGrid w:val="0"/>
              <w:spacing w:line="240" w:lineRule="auto"/>
              <w:ind w:firstLine="0" w:firstLineChars="0"/>
              <w:rPr>
                <w:rFonts w:ascii="宋体" w:hAnsi="宋体" w:cs="宋体"/>
                <w:kern w:val="0"/>
                <w:sz w:val="21"/>
                <w:szCs w:val="21"/>
              </w:rPr>
            </w:pPr>
            <w:r>
              <w:rPr>
                <w:rFonts w:hint="eastAsia" w:ascii="宋体" w:hAnsi="宋体" w:cs="宋体"/>
                <w:kern w:val="0"/>
                <w:sz w:val="21"/>
                <w:szCs w:val="21"/>
              </w:rPr>
              <w:t>型砂在线检测仪</w:t>
            </w:r>
          </w:p>
        </w:tc>
        <w:tc>
          <w:tcPr>
            <w:tcW w:w="1416"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RTC106</w:t>
            </w:r>
          </w:p>
        </w:tc>
        <w:tc>
          <w:tcPr>
            <w:tcW w:w="407"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1</w:t>
            </w:r>
          </w:p>
        </w:tc>
        <w:tc>
          <w:tcPr>
            <w:tcW w:w="811" w:type="pct"/>
            <w:noWrap/>
            <w:vAlign w:val="center"/>
          </w:tcPr>
          <w:p>
            <w:pPr>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numPr>
                <w:ilvl w:val="0"/>
                <w:numId w:val="11"/>
              </w:numPr>
              <w:snapToGrid w:val="0"/>
              <w:spacing w:line="240" w:lineRule="auto"/>
              <w:ind w:firstLineChars="0"/>
              <w:jc w:val="center"/>
              <w:rPr>
                <w:rFonts w:ascii="宋体" w:hAnsi="宋体" w:cs="宋体"/>
                <w:b/>
                <w:bCs/>
                <w:kern w:val="0"/>
                <w:sz w:val="21"/>
                <w:szCs w:val="21"/>
              </w:rPr>
            </w:pPr>
          </w:p>
        </w:tc>
        <w:tc>
          <w:tcPr>
            <w:tcW w:w="1865" w:type="pct"/>
            <w:noWrap/>
            <w:vAlign w:val="center"/>
          </w:tcPr>
          <w:p>
            <w:pPr>
              <w:snapToGrid w:val="0"/>
              <w:spacing w:line="240" w:lineRule="auto"/>
              <w:ind w:firstLine="0" w:firstLineChars="0"/>
              <w:rPr>
                <w:rFonts w:ascii="宋体" w:hAnsi="宋体" w:cs="宋体"/>
                <w:kern w:val="0"/>
                <w:sz w:val="21"/>
                <w:szCs w:val="21"/>
              </w:rPr>
            </w:pPr>
            <w:r>
              <w:rPr>
                <w:rFonts w:hint="eastAsia" w:ascii="宋体" w:hAnsi="宋体" w:cs="宋体"/>
                <w:kern w:val="0"/>
                <w:sz w:val="21"/>
                <w:szCs w:val="21"/>
              </w:rPr>
              <w:t>旋风除尘器</w:t>
            </w:r>
          </w:p>
        </w:tc>
        <w:tc>
          <w:tcPr>
            <w:tcW w:w="1416"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DXF1200</w:t>
            </w:r>
          </w:p>
        </w:tc>
        <w:tc>
          <w:tcPr>
            <w:tcW w:w="407"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1</w:t>
            </w:r>
          </w:p>
        </w:tc>
        <w:tc>
          <w:tcPr>
            <w:tcW w:w="811" w:type="pct"/>
            <w:noWrap/>
            <w:vAlign w:val="center"/>
          </w:tcPr>
          <w:p>
            <w:pPr>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numPr>
                <w:ilvl w:val="0"/>
                <w:numId w:val="11"/>
              </w:numPr>
              <w:snapToGrid w:val="0"/>
              <w:spacing w:line="240" w:lineRule="auto"/>
              <w:ind w:firstLineChars="0"/>
              <w:jc w:val="center"/>
              <w:rPr>
                <w:rFonts w:ascii="宋体" w:hAnsi="宋体" w:cs="宋体"/>
                <w:b/>
                <w:bCs/>
                <w:kern w:val="0"/>
                <w:sz w:val="21"/>
                <w:szCs w:val="21"/>
              </w:rPr>
            </w:pPr>
          </w:p>
        </w:tc>
        <w:tc>
          <w:tcPr>
            <w:tcW w:w="1865" w:type="pct"/>
            <w:noWrap/>
            <w:vAlign w:val="center"/>
          </w:tcPr>
          <w:p>
            <w:pPr>
              <w:snapToGrid w:val="0"/>
              <w:spacing w:line="240" w:lineRule="auto"/>
              <w:ind w:firstLine="0" w:firstLineChars="0"/>
              <w:rPr>
                <w:rFonts w:ascii="宋体" w:hAnsi="宋体" w:cs="宋体"/>
                <w:kern w:val="0"/>
                <w:sz w:val="21"/>
                <w:szCs w:val="21"/>
              </w:rPr>
            </w:pPr>
            <w:r>
              <w:rPr>
                <w:rFonts w:hint="eastAsia" w:ascii="宋体" w:hAnsi="宋体" w:cs="宋体"/>
                <w:kern w:val="0"/>
                <w:sz w:val="21"/>
                <w:szCs w:val="21"/>
              </w:rPr>
              <w:t>手拉葫芦、小车</w:t>
            </w:r>
          </w:p>
        </w:tc>
        <w:tc>
          <w:tcPr>
            <w:tcW w:w="1416"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10t</w:t>
            </w:r>
          </w:p>
        </w:tc>
        <w:tc>
          <w:tcPr>
            <w:tcW w:w="407"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1</w:t>
            </w:r>
          </w:p>
        </w:tc>
        <w:tc>
          <w:tcPr>
            <w:tcW w:w="811" w:type="pct"/>
            <w:noWrap/>
            <w:vAlign w:val="center"/>
          </w:tcPr>
          <w:p>
            <w:pPr>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numPr>
                <w:ilvl w:val="0"/>
                <w:numId w:val="11"/>
              </w:numPr>
              <w:snapToGrid w:val="0"/>
              <w:spacing w:line="240" w:lineRule="auto"/>
              <w:ind w:firstLineChars="0"/>
              <w:jc w:val="center"/>
              <w:rPr>
                <w:rFonts w:ascii="宋体" w:hAnsi="宋体" w:cs="宋体"/>
                <w:b/>
                <w:bCs/>
                <w:kern w:val="0"/>
                <w:sz w:val="21"/>
                <w:szCs w:val="21"/>
              </w:rPr>
            </w:pPr>
          </w:p>
        </w:tc>
        <w:tc>
          <w:tcPr>
            <w:tcW w:w="1865" w:type="pct"/>
            <w:noWrap/>
            <w:vAlign w:val="center"/>
          </w:tcPr>
          <w:p>
            <w:pPr>
              <w:snapToGrid w:val="0"/>
              <w:spacing w:line="240" w:lineRule="auto"/>
              <w:ind w:firstLine="0" w:firstLineChars="0"/>
              <w:rPr>
                <w:rFonts w:ascii="宋体" w:hAnsi="宋体" w:cs="宋体"/>
                <w:kern w:val="0"/>
                <w:sz w:val="21"/>
                <w:szCs w:val="21"/>
              </w:rPr>
            </w:pPr>
            <w:r>
              <w:rPr>
                <w:rFonts w:hint="eastAsia" w:ascii="宋体" w:hAnsi="宋体" w:cs="宋体"/>
                <w:kern w:val="0"/>
                <w:sz w:val="21"/>
                <w:szCs w:val="21"/>
              </w:rPr>
              <w:t>P-5皮带机</w:t>
            </w:r>
          </w:p>
        </w:tc>
        <w:tc>
          <w:tcPr>
            <w:tcW w:w="1416"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Y338</w:t>
            </w:r>
          </w:p>
        </w:tc>
        <w:tc>
          <w:tcPr>
            <w:tcW w:w="407"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1</w:t>
            </w:r>
          </w:p>
        </w:tc>
        <w:tc>
          <w:tcPr>
            <w:tcW w:w="811" w:type="pct"/>
            <w:noWrap/>
            <w:vAlign w:val="center"/>
          </w:tcPr>
          <w:p>
            <w:pPr>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numPr>
                <w:ilvl w:val="0"/>
                <w:numId w:val="11"/>
              </w:numPr>
              <w:snapToGrid w:val="0"/>
              <w:spacing w:line="240" w:lineRule="auto"/>
              <w:ind w:firstLineChars="0"/>
              <w:jc w:val="center"/>
              <w:rPr>
                <w:rFonts w:ascii="宋体" w:hAnsi="宋体" w:cs="宋体"/>
                <w:b/>
                <w:bCs/>
                <w:kern w:val="0"/>
                <w:sz w:val="21"/>
                <w:szCs w:val="21"/>
              </w:rPr>
            </w:pPr>
          </w:p>
        </w:tc>
        <w:tc>
          <w:tcPr>
            <w:tcW w:w="1865" w:type="pct"/>
            <w:noWrap/>
            <w:vAlign w:val="center"/>
          </w:tcPr>
          <w:p>
            <w:pPr>
              <w:snapToGrid w:val="0"/>
              <w:spacing w:line="240" w:lineRule="auto"/>
              <w:ind w:firstLine="0" w:firstLineChars="0"/>
              <w:rPr>
                <w:rFonts w:ascii="宋体" w:hAnsi="宋体" w:cs="宋体"/>
                <w:kern w:val="0"/>
                <w:sz w:val="21"/>
                <w:szCs w:val="21"/>
              </w:rPr>
            </w:pPr>
            <w:r>
              <w:rPr>
                <w:rFonts w:hint="eastAsia" w:ascii="宋体" w:hAnsi="宋体" w:cs="宋体"/>
                <w:kern w:val="0"/>
                <w:sz w:val="21"/>
                <w:szCs w:val="21"/>
              </w:rPr>
              <w:t>P-6皮带机</w:t>
            </w:r>
          </w:p>
        </w:tc>
        <w:tc>
          <w:tcPr>
            <w:tcW w:w="1416"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Y337</w:t>
            </w:r>
          </w:p>
        </w:tc>
        <w:tc>
          <w:tcPr>
            <w:tcW w:w="407"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1</w:t>
            </w:r>
          </w:p>
        </w:tc>
        <w:tc>
          <w:tcPr>
            <w:tcW w:w="811" w:type="pct"/>
            <w:noWrap/>
            <w:vAlign w:val="center"/>
          </w:tcPr>
          <w:p>
            <w:pPr>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numPr>
                <w:ilvl w:val="0"/>
                <w:numId w:val="11"/>
              </w:numPr>
              <w:snapToGrid w:val="0"/>
              <w:spacing w:line="240" w:lineRule="auto"/>
              <w:ind w:firstLineChars="0"/>
              <w:jc w:val="center"/>
              <w:rPr>
                <w:rFonts w:ascii="宋体" w:hAnsi="宋体" w:cs="宋体"/>
                <w:b/>
                <w:bCs/>
                <w:kern w:val="0"/>
                <w:sz w:val="21"/>
                <w:szCs w:val="21"/>
              </w:rPr>
            </w:pPr>
          </w:p>
        </w:tc>
        <w:tc>
          <w:tcPr>
            <w:tcW w:w="1865" w:type="pct"/>
            <w:noWrap/>
            <w:vAlign w:val="center"/>
          </w:tcPr>
          <w:p>
            <w:pPr>
              <w:snapToGrid w:val="0"/>
              <w:spacing w:line="240" w:lineRule="auto"/>
              <w:ind w:firstLine="0" w:firstLineChars="0"/>
              <w:rPr>
                <w:rFonts w:ascii="宋体" w:hAnsi="宋体" w:cs="宋体"/>
                <w:kern w:val="0"/>
                <w:sz w:val="21"/>
                <w:szCs w:val="21"/>
              </w:rPr>
            </w:pPr>
            <w:r>
              <w:rPr>
                <w:rFonts w:hint="eastAsia" w:ascii="宋体" w:hAnsi="宋体" w:cs="宋体"/>
                <w:kern w:val="0"/>
                <w:sz w:val="21"/>
                <w:szCs w:val="21"/>
              </w:rPr>
              <w:t>P-7皮带机</w:t>
            </w:r>
          </w:p>
        </w:tc>
        <w:tc>
          <w:tcPr>
            <w:tcW w:w="1416"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Y337</w:t>
            </w:r>
          </w:p>
        </w:tc>
        <w:tc>
          <w:tcPr>
            <w:tcW w:w="407"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1</w:t>
            </w:r>
          </w:p>
        </w:tc>
        <w:tc>
          <w:tcPr>
            <w:tcW w:w="811" w:type="pct"/>
            <w:noWrap/>
            <w:vAlign w:val="center"/>
          </w:tcPr>
          <w:p>
            <w:pPr>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numPr>
                <w:ilvl w:val="0"/>
                <w:numId w:val="11"/>
              </w:numPr>
              <w:snapToGrid w:val="0"/>
              <w:spacing w:line="240" w:lineRule="auto"/>
              <w:ind w:firstLineChars="0"/>
              <w:jc w:val="center"/>
              <w:rPr>
                <w:rFonts w:ascii="宋体" w:hAnsi="宋体" w:cs="宋体"/>
                <w:b/>
                <w:bCs/>
                <w:kern w:val="0"/>
                <w:sz w:val="21"/>
                <w:szCs w:val="21"/>
              </w:rPr>
            </w:pPr>
          </w:p>
        </w:tc>
        <w:tc>
          <w:tcPr>
            <w:tcW w:w="1865" w:type="pct"/>
            <w:noWrap/>
            <w:vAlign w:val="center"/>
          </w:tcPr>
          <w:p>
            <w:pPr>
              <w:snapToGrid w:val="0"/>
              <w:spacing w:line="240" w:lineRule="auto"/>
              <w:ind w:firstLine="0" w:firstLineChars="0"/>
              <w:rPr>
                <w:rFonts w:ascii="宋体" w:hAnsi="宋体" w:cs="宋体"/>
                <w:kern w:val="0"/>
                <w:sz w:val="21"/>
                <w:szCs w:val="21"/>
              </w:rPr>
            </w:pPr>
            <w:r>
              <w:rPr>
                <w:rFonts w:hint="eastAsia" w:ascii="宋体" w:hAnsi="宋体" w:cs="宋体"/>
                <w:kern w:val="0"/>
                <w:sz w:val="21"/>
                <w:szCs w:val="21"/>
              </w:rPr>
              <w:t>P-8皮带机</w:t>
            </w:r>
          </w:p>
        </w:tc>
        <w:tc>
          <w:tcPr>
            <w:tcW w:w="1416"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Y337</w:t>
            </w:r>
          </w:p>
        </w:tc>
        <w:tc>
          <w:tcPr>
            <w:tcW w:w="407"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1</w:t>
            </w:r>
          </w:p>
        </w:tc>
        <w:tc>
          <w:tcPr>
            <w:tcW w:w="811" w:type="pct"/>
            <w:noWrap/>
            <w:vAlign w:val="center"/>
          </w:tcPr>
          <w:p>
            <w:pPr>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numPr>
                <w:ilvl w:val="0"/>
                <w:numId w:val="11"/>
              </w:numPr>
              <w:snapToGrid w:val="0"/>
              <w:spacing w:line="240" w:lineRule="auto"/>
              <w:ind w:firstLineChars="0"/>
              <w:jc w:val="center"/>
              <w:rPr>
                <w:rFonts w:ascii="宋体" w:hAnsi="宋体" w:cs="宋体"/>
                <w:b/>
                <w:bCs/>
                <w:kern w:val="0"/>
                <w:sz w:val="21"/>
                <w:szCs w:val="21"/>
              </w:rPr>
            </w:pPr>
          </w:p>
        </w:tc>
        <w:tc>
          <w:tcPr>
            <w:tcW w:w="1865" w:type="pct"/>
            <w:noWrap/>
            <w:vAlign w:val="center"/>
          </w:tcPr>
          <w:p>
            <w:pPr>
              <w:snapToGrid w:val="0"/>
              <w:spacing w:line="240" w:lineRule="auto"/>
              <w:ind w:firstLine="0" w:firstLineChars="0"/>
              <w:rPr>
                <w:rFonts w:ascii="宋体" w:hAnsi="宋体" w:cs="宋体"/>
                <w:kern w:val="0"/>
                <w:sz w:val="21"/>
                <w:szCs w:val="21"/>
              </w:rPr>
            </w:pPr>
            <w:r>
              <w:rPr>
                <w:rFonts w:hint="eastAsia" w:ascii="宋体" w:hAnsi="宋体" w:cs="宋体"/>
                <w:kern w:val="0"/>
                <w:sz w:val="21"/>
                <w:szCs w:val="21"/>
              </w:rPr>
              <w:t>离线式脉冲除尘器</w:t>
            </w:r>
          </w:p>
        </w:tc>
        <w:tc>
          <w:tcPr>
            <w:tcW w:w="1416"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LPM64-5</w:t>
            </w:r>
          </w:p>
        </w:tc>
        <w:tc>
          <w:tcPr>
            <w:tcW w:w="407"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1</w:t>
            </w:r>
          </w:p>
        </w:tc>
        <w:tc>
          <w:tcPr>
            <w:tcW w:w="811" w:type="pct"/>
            <w:noWrap/>
            <w:vAlign w:val="center"/>
          </w:tcPr>
          <w:p>
            <w:pPr>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numPr>
                <w:ilvl w:val="0"/>
                <w:numId w:val="11"/>
              </w:numPr>
              <w:snapToGrid w:val="0"/>
              <w:spacing w:line="240" w:lineRule="auto"/>
              <w:ind w:firstLineChars="0"/>
              <w:jc w:val="center"/>
              <w:rPr>
                <w:rFonts w:ascii="宋体" w:hAnsi="宋体" w:cs="宋体"/>
                <w:b/>
                <w:bCs/>
                <w:kern w:val="0"/>
                <w:sz w:val="21"/>
                <w:szCs w:val="21"/>
              </w:rPr>
            </w:pPr>
          </w:p>
        </w:tc>
        <w:tc>
          <w:tcPr>
            <w:tcW w:w="1865" w:type="pct"/>
            <w:noWrap/>
            <w:vAlign w:val="center"/>
          </w:tcPr>
          <w:p>
            <w:pPr>
              <w:snapToGrid w:val="0"/>
              <w:spacing w:line="240" w:lineRule="auto"/>
              <w:ind w:firstLine="0" w:firstLineChars="0"/>
              <w:rPr>
                <w:rFonts w:ascii="宋体" w:hAnsi="宋体" w:cs="宋体"/>
                <w:kern w:val="0"/>
                <w:sz w:val="21"/>
                <w:szCs w:val="21"/>
              </w:rPr>
            </w:pPr>
            <w:r>
              <w:rPr>
                <w:rFonts w:hint="eastAsia" w:ascii="宋体" w:hAnsi="宋体" w:cs="宋体"/>
                <w:kern w:val="0"/>
                <w:sz w:val="21"/>
                <w:szCs w:val="21"/>
              </w:rPr>
              <w:t>离线式脉冲除尘器</w:t>
            </w:r>
          </w:p>
        </w:tc>
        <w:tc>
          <w:tcPr>
            <w:tcW w:w="1416"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LPM32-5</w:t>
            </w:r>
          </w:p>
        </w:tc>
        <w:tc>
          <w:tcPr>
            <w:tcW w:w="407"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2</w:t>
            </w:r>
          </w:p>
        </w:tc>
        <w:tc>
          <w:tcPr>
            <w:tcW w:w="811" w:type="pct"/>
            <w:noWrap/>
            <w:vAlign w:val="center"/>
          </w:tcPr>
          <w:p>
            <w:pPr>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snapToGrid w:val="0"/>
              <w:spacing w:line="240" w:lineRule="auto"/>
              <w:ind w:firstLine="0" w:firstLineChars="0"/>
              <w:jc w:val="center"/>
              <w:rPr>
                <w:rFonts w:ascii="宋体" w:hAnsi="宋体" w:cs="宋体"/>
                <w:b/>
                <w:bCs/>
                <w:kern w:val="0"/>
                <w:sz w:val="21"/>
                <w:szCs w:val="21"/>
              </w:rPr>
            </w:pPr>
            <w:r>
              <w:rPr>
                <w:rFonts w:hint="eastAsia" w:ascii="宋体" w:hAnsi="宋体" w:cs="宋体"/>
                <w:b/>
                <w:bCs/>
                <w:kern w:val="0"/>
                <w:sz w:val="21"/>
                <w:szCs w:val="21"/>
              </w:rPr>
              <w:t>（二）</w:t>
            </w:r>
          </w:p>
        </w:tc>
        <w:tc>
          <w:tcPr>
            <w:tcW w:w="1865" w:type="pct"/>
            <w:noWrap/>
            <w:vAlign w:val="center"/>
          </w:tcPr>
          <w:p>
            <w:pPr>
              <w:snapToGrid w:val="0"/>
              <w:spacing w:line="240" w:lineRule="auto"/>
              <w:ind w:firstLine="0" w:firstLineChars="0"/>
              <w:jc w:val="center"/>
              <w:rPr>
                <w:rFonts w:ascii="宋体" w:hAnsi="宋体" w:cs="宋体"/>
                <w:b/>
                <w:bCs/>
                <w:kern w:val="0"/>
                <w:sz w:val="21"/>
                <w:szCs w:val="21"/>
              </w:rPr>
            </w:pPr>
            <w:r>
              <w:rPr>
                <w:rFonts w:hint="eastAsia" w:ascii="宋体" w:hAnsi="宋体" w:cs="宋体"/>
                <w:b/>
                <w:bCs/>
                <w:kern w:val="0"/>
                <w:sz w:val="21"/>
                <w:szCs w:val="21"/>
              </w:rPr>
              <w:t>造型制芯工部</w:t>
            </w:r>
          </w:p>
        </w:tc>
        <w:tc>
          <w:tcPr>
            <w:tcW w:w="1416" w:type="pct"/>
            <w:noWrap/>
            <w:vAlign w:val="center"/>
          </w:tcPr>
          <w:p>
            <w:pPr>
              <w:snapToGrid w:val="0"/>
              <w:spacing w:line="240" w:lineRule="auto"/>
              <w:ind w:firstLine="0" w:firstLineChars="0"/>
              <w:jc w:val="center"/>
              <w:rPr>
                <w:rFonts w:ascii="宋体" w:hAnsi="宋体" w:cs="宋体"/>
                <w:b/>
                <w:bCs/>
                <w:kern w:val="0"/>
                <w:sz w:val="21"/>
                <w:szCs w:val="21"/>
              </w:rPr>
            </w:pPr>
          </w:p>
        </w:tc>
        <w:tc>
          <w:tcPr>
            <w:tcW w:w="407" w:type="pct"/>
            <w:noWrap/>
            <w:vAlign w:val="center"/>
          </w:tcPr>
          <w:p>
            <w:pPr>
              <w:snapToGrid w:val="0"/>
              <w:spacing w:line="240" w:lineRule="auto"/>
              <w:ind w:firstLine="0" w:firstLineChars="0"/>
              <w:jc w:val="center"/>
              <w:rPr>
                <w:rFonts w:ascii="宋体" w:hAnsi="宋体" w:cs="宋体"/>
                <w:kern w:val="0"/>
                <w:sz w:val="21"/>
                <w:szCs w:val="21"/>
              </w:rPr>
            </w:pPr>
          </w:p>
        </w:tc>
        <w:tc>
          <w:tcPr>
            <w:tcW w:w="811" w:type="pct"/>
            <w:noWrap/>
            <w:vAlign w:val="center"/>
          </w:tcPr>
          <w:p>
            <w:pPr>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snapToGrid w:val="0"/>
              <w:spacing w:line="240" w:lineRule="auto"/>
              <w:ind w:firstLine="0" w:firstLineChars="0"/>
              <w:jc w:val="center"/>
              <w:rPr>
                <w:rFonts w:ascii="宋体" w:hAnsi="宋体" w:cs="宋体"/>
                <w:b/>
                <w:bCs/>
                <w:kern w:val="0"/>
                <w:sz w:val="21"/>
                <w:szCs w:val="21"/>
              </w:rPr>
            </w:pPr>
            <w:r>
              <w:rPr>
                <w:rFonts w:hint="eastAsia" w:ascii="宋体" w:hAnsi="宋体" w:cs="宋体"/>
                <w:b/>
                <w:bCs/>
                <w:kern w:val="0"/>
                <w:sz w:val="21"/>
                <w:szCs w:val="21"/>
              </w:rPr>
              <w:t>1</w:t>
            </w:r>
          </w:p>
        </w:tc>
        <w:tc>
          <w:tcPr>
            <w:tcW w:w="1865" w:type="pct"/>
            <w:noWrap/>
            <w:vAlign w:val="center"/>
          </w:tcPr>
          <w:p>
            <w:pPr>
              <w:snapToGrid w:val="0"/>
              <w:spacing w:line="240" w:lineRule="auto"/>
              <w:ind w:firstLine="0" w:firstLineChars="0"/>
              <w:rPr>
                <w:rFonts w:ascii="宋体" w:hAnsi="宋体" w:cs="宋体"/>
                <w:kern w:val="0"/>
                <w:sz w:val="21"/>
                <w:szCs w:val="21"/>
              </w:rPr>
            </w:pPr>
            <w:r>
              <w:rPr>
                <w:rFonts w:hint="eastAsia" w:ascii="宋体" w:hAnsi="宋体" w:cs="宋体"/>
                <w:kern w:val="0"/>
                <w:sz w:val="21"/>
                <w:szCs w:val="21"/>
              </w:rPr>
              <w:t>水平无箱造型线主机</w:t>
            </w:r>
          </w:p>
        </w:tc>
        <w:tc>
          <w:tcPr>
            <w:tcW w:w="1416"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FCMX-I</w:t>
            </w:r>
          </w:p>
        </w:tc>
        <w:tc>
          <w:tcPr>
            <w:tcW w:w="407"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2</w:t>
            </w:r>
          </w:p>
        </w:tc>
        <w:tc>
          <w:tcPr>
            <w:tcW w:w="811" w:type="pct"/>
            <w:noWrap/>
            <w:vAlign w:val="center"/>
          </w:tcPr>
          <w:p>
            <w:pPr>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snapToGrid w:val="0"/>
              <w:spacing w:line="240" w:lineRule="auto"/>
              <w:ind w:firstLine="0" w:firstLineChars="0"/>
              <w:jc w:val="center"/>
              <w:rPr>
                <w:rFonts w:ascii="宋体" w:hAnsi="宋体" w:cs="宋体"/>
                <w:b/>
                <w:bCs/>
                <w:kern w:val="0"/>
                <w:sz w:val="21"/>
                <w:szCs w:val="21"/>
              </w:rPr>
            </w:pPr>
            <w:r>
              <w:rPr>
                <w:rFonts w:hint="eastAsia" w:ascii="宋体" w:hAnsi="宋体" w:cs="宋体"/>
                <w:b/>
                <w:bCs/>
                <w:kern w:val="0"/>
                <w:sz w:val="21"/>
                <w:szCs w:val="21"/>
              </w:rPr>
              <w:t>2</w:t>
            </w:r>
          </w:p>
        </w:tc>
        <w:tc>
          <w:tcPr>
            <w:tcW w:w="1865" w:type="pct"/>
            <w:noWrap/>
            <w:vAlign w:val="center"/>
          </w:tcPr>
          <w:p>
            <w:pPr>
              <w:snapToGrid w:val="0"/>
              <w:spacing w:line="240" w:lineRule="auto"/>
              <w:ind w:firstLine="0" w:firstLineChars="0"/>
              <w:rPr>
                <w:rFonts w:ascii="宋体" w:hAnsi="宋体" w:cs="宋体"/>
                <w:kern w:val="0"/>
                <w:sz w:val="21"/>
                <w:szCs w:val="21"/>
              </w:rPr>
            </w:pPr>
            <w:r>
              <w:rPr>
                <w:rFonts w:hint="eastAsia" w:ascii="宋体" w:hAnsi="宋体" w:cs="宋体"/>
                <w:kern w:val="0"/>
                <w:sz w:val="21"/>
                <w:szCs w:val="21"/>
              </w:rPr>
              <w:t>加砂机</w:t>
            </w:r>
          </w:p>
        </w:tc>
        <w:tc>
          <w:tcPr>
            <w:tcW w:w="1416"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ZZ416IVA</w:t>
            </w:r>
          </w:p>
        </w:tc>
        <w:tc>
          <w:tcPr>
            <w:tcW w:w="407"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2</w:t>
            </w:r>
          </w:p>
        </w:tc>
        <w:tc>
          <w:tcPr>
            <w:tcW w:w="811" w:type="pct"/>
            <w:noWrap/>
            <w:vAlign w:val="center"/>
          </w:tcPr>
          <w:p>
            <w:pPr>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snapToGrid w:val="0"/>
              <w:spacing w:line="240" w:lineRule="auto"/>
              <w:ind w:firstLine="0" w:firstLineChars="0"/>
              <w:jc w:val="center"/>
              <w:rPr>
                <w:rFonts w:ascii="宋体" w:hAnsi="宋体" w:cs="宋体"/>
                <w:b/>
                <w:bCs/>
                <w:kern w:val="0"/>
                <w:sz w:val="21"/>
                <w:szCs w:val="21"/>
              </w:rPr>
            </w:pPr>
            <w:r>
              <w:rPr>
                <w:rFonts w:hint="eastAsia" w:ascii="宋体" w:hAnsi="宋体" w:cs="宋体"/>
                <w:b/>
                <w:bCs/>
                <w:kern w:val="0"/>
                <w:sz w:val="21"/>
                <w:szCs w:val="21"/>
              </w:rPr>
              <w:t>3</w:t>
            </w:r>
          </w:p>
        </w:tc>
        <w:tc>
          <w:tcPr>
            <w:tcW w:w="1865" w:type="pct"/>
            <w:noWrap/>
            <w:vAlign w:val="center"/>
          </w:tcPr>
          <w:p>
            <w:pPr>
              <w:snapToGrid w:val="0"/>
              <w:spacing w:line="240" w:lineRule="auto"/>
              <w:ind w:firstLine="0" w:firstLineChars="0"/>
              <w:rPr>
                <w:rFonts w:ascii="宋体" w:hAnsi="宋体" w:cs="宋体"/>
                <w:kern w:val="0"/>
                <w:sz w:val="21"/>
                <w:szCs w:val="21"/>
              </w:rPr>
            </w:pPr>
            <w:r>
              <w:rPr>
                <w:rFonts w:hint="eastAsia" w:ascii="宋体" w:hAnsi="宋体" w:cs="宋体"/>
                <w:kern w:val="0"/>
                <w:sz w:val="21"/>
                <w:szCs w:val="21"/>
              </w:rPr>
              <w:t>托持输送机</w:t>
            </w:r>
          </w:p>
        </w:tc>
        <w:tc>
          <w:tcPr>
            <w:tcW w:w="1416"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AMC</w:t>
            </w:r>
          </w:p>
        </w:tc>
        <w:tc>
          <w:tcPr>
            <w:tcW w:w="407"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2</w:t>
            </w:r>
          </w:p>
        </w:tc>
        <w:tc>
          <w:tcPr>
            <w:tcW w:w="811" w:type="pct"/>
            <w:noWrap/>
            <w:vAlign w:val="center"/>
          </w:tcPr>
          <w:p>
            <w:pPr>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snapToGrid w:val="0"/>
              <w:spacing w:line="240" w:lineRule="auto"/>
              <w:ind w:firstLine="0" w:firstLineChars="0"/>
              <w:jc w:val="center"/>
              <w:rPr>
                <w:rFonts w:ascii="宋体" w:hAnsi="宋体" w:cs="宋体"/>
                <w:b/>
                <w:bCs/>
                <w:kern w:val="0"/>
                <w:sz w:val="21"/>
                <w:szCs w:val="21"/>
              </w:rPr>
            </w:pPr>
            <w:r>
              <w:rPr>
                <w:rFonts w:hint="eastAsia" w:ascii="宋体" w:hAnsi="宋体" w:cs="宋体"/>
                <w:b/>
                <w:bCs/>
                <w:kern w:val="0"/>
                <w:sz w:val="21"/>
                <w:szCs w:val="21"/>
              </w:rPr>
              <w:t>4</w:t>
            </w:r>
          </w:p>
        </w:tc>
        <w:tc>
          <w:tcPr>
            <w:tcW w:w="1865" w:type="pct"/>
            <w:noWrap/>
            <w:vAlign w:val="center"/>
          </w:tcPr>
          <w:p>
            <w:pPr>
              <w:snapToGrid w:val="0"/>
              <w:spacing w:line="240" w:lineRule="auto"/>
              <w:ind w:firstLine="0" w:firstLineChars="0"/>
              <w:rPr>
                <w:rFonts w:ascii="宋体" w:hAnsi="宋体" w:cs="宋体"/>
                <w:kern w:val="0"/>
                <w:sz w:val="21"/>
                <w:szCs w:val="21"/>
              </w:rPr>
            </w:pPr>
            <w:r>
              <w:rPr>
                <w:rFonts w:hint="eastAsia" w:ascii="宋体" w:hAnsi="宋体" w:cs="宋体"/>
                <w:kern w:val="0"/>
                <w:sz w:val="21"/>
                <w:szCs w:val="21"/>
              </w:rPr>
              <w:t>液压系统</w:t>
            </w:r>
          </w:p>
        </w:tc>
        <w:tc>
          <w:tcPr>
            <w:tcW w:w="1416"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AMC</w:t>
            </w:r>
          </w:p>
        </w:tc>
        <w:tc>
          <w:tcPr>
            <w:tcW w:w="407"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2</w:t>
            </w:r>
          </w:p>
        </w:tc>
        <w:tc>
          <w:tcPr>
            <w:tcW w:w="811" w:type="pct"/>
            <w:noWrap/>
            <w:vAlign w:val="center"/>
          </w:tcPr>
          <w:p>
            <w:pPr>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snapToGrid w:val="0"/>
              <w:spacing w:line="240" w:lineRule="auto"/>
              <w:ind w:firstLine="0" w:firstLineChars="0"/>
              <w:jc w:val="center"/>
              <w:rPr>
                <w:rFonts w:ascii="宋体" w:hAnsi="宋体" w:cs="宋体"/>
                <w:b/>
                <w:bCs/>
                <w:kern w:val="0"/>
                <w:sz w:val="21"/>
                <w:szCs w:val="21"/>
              </w:rPr>
            </w:pPr>
            <w:r>
              <w:rPr>
                <w:rFonts w:hint="eastAsia" w:ascii="宋体" w:hAnsi="宋体" w:cs="宋体"/>
                <w:b/>
                <w:bCs/>
                <w:kern w:val="0"/>
                <w:sz w:val="21"/>
                <w:szCs w:val="21"/>
              </w:rPr>
              <w:t>5</w:t>
            </w:r>
          </w:p>
        </w:tc>
        <w:tc>
          <w:tcPr>
            <w:tcW w:w="1865" w:type="pct"/>
            <w:noWrap/>
            <w:vAlign w:val="center"/>
          </w:tcPr>
          <w:p>
            <w:pPr>
              <w:snapToGrid w:val="0"/>
              <w:spacing w:line="240" w:lineRule="auto"/>
              <w:ind w:firstLine="0" w:firstLineChars="0"/>
              <w:rPr>
                <w:rFonts w:ascii="宋体" w:hAnsi="宋体" w:cs="宋体"/>
                <w:kern w:val="0"/>
                <w:sz w:val="21"/>
                <w:szCs w:val="21"/>
              </w:rPr>
            </w:pPr>
            <w:r>
              <w:rPr>
                <w:rFonts w:hint="eastAsia" w:ascii="宋体" w:hAnsi="宋体" w:cs="宋体"/>
                <w:kern w:val="0"/>
                <w:sz w:val="21"/>
                <w:szCs w:val="21"/>
              </w:rPr>
              <w:t>皮带冷却机</w:t>
            </w:r>
          </w:p>
        </w:tc>
        <w:tc>
          <w:tcPr>
            <w:tcW w:w="1416"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ZZ416IIIA</w:t>
            </w:r>
          </w:p>
        </w:tc>
        <w:tc>
          <w:tcPr>
            <w:tcW w:w="407"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2</w:t>
            </w:r>
          </w:p>
        </w:tc>
        <w:tc>
          <w:tcPr>
            <w:tcW w:w="811" w:type="pct"/>
            <w:noWrap/>
            <w:vAlign w:val="center"/>
          </w:tcPr>
          <w:p>
            <w:pPr>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snapToGrid w:val="0"/>
              <w:spacing w:line="240" w:lineRule="auto"/>
              <w:ind w:firstLine="0" w:firstLineChars="0"/>
              <w:jc w:val="center"/>
              <w:rPr>
                <w:rFonts w:ascii="宋体" w:hAnsi="宋体" w:cs="宋体"/>
                <w:b/>
                <w:bCs/>
                <w:kern w:val="0"/>
                <w:sz w:val="21"/>
                <w:szCs w:val="21"/>
              </w:rPr>
            </w:pPr>
            <w:r>
              <w:rPr>
                <w:rFonts w:hint="eastAsia" w:ascii="宋体" w:hAnsi="宋体" w:cs="宋体"/>
                <w:b/>
                <w:bCs/>
                <w:kern w:val="0"/>
                <w:sz w:val="21"/>
                <w:szCs w:val="21"/>
              </w:rPr>
              <w:t>6</w:t>
            </w:r>
          </w:p>
        </w:tc>
        <w:tc>
          <w:tcPr>
            <w:tcW w:w="1865" w:type="pct"/>
            <w:noWrap/>
            <w:vAlign w:val="center"/>
          </w:tcPr>
          <w:p>
            <w:pPr>
              <w:snapToGrid w:val="0"/>
              <w:spacing w:line="240" w:lineRule="auto"/>
              <w:ind w:firstLine="0" w:firstLineChars="0"/>
              <w:rPr>
                <w:rFonts w:ascii="宋体" w:hAnsi="宋体" w:cs="宋体"/>
                <w:kern w:val="0"/>
                <w:sz w:val="21"/>
                <w:szCs w:val="21"/>
              </w:rPr>
            </w:pPr>
            <w:r>
              <w:rPr>
                <w:rFonts w:hint="eastAsia" w:ascii="宋体" w:hAnsi="宋体" w:cs="宋体"/>
                <w:kern w:val="0"/>
                <w:sz w:val="21"/>
                <w:szCs w:val="21"/>
              </w:rPr>
              <w:t>振动输送机</w:t>
            </w:r>
          </w:p>
        </w:tc>
        <w:tc>
          <w:tcPr>
            <w:tcW w:w="1416" w:type="pct"/>
            <w:noWrap/>
            <w:vAlign w:val="center"/>
          </w:tcPr>
          <w:p>
            <w:pPr>
              <w:snapToGrid w:val="0"/>
              <w:spacing w:line="240" w:lineRule="auto"/>
              <w:ind w:firstLine="0" w:firstLineChars="0"/>
              <w:jc w:val="center"/>
              <w:rPr>
                <w:rFonts w:ascii="宋体" w:hAnsi="宋体" w:cs="宋体"/>
                <w:kern w:val="0"/>
                <w:sz w:val="21"/>
                <w:szCs w:val="21"/>
              </w:rPr>
            </w:pPr>
          </w:p>
        </w:tc>
        <w:tc>
          <w:tcPr>
            <w:tcW w:w="407"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1</w:t>
            </w:r>
          </w:p>
        </w:tc>
        <w:tc>
          <w:tcPr>
            <w:tcW w:w="811" w:type="pct"/>
            <w:noWrap/>
            <w:vAlign w:val="center"/>
          </w:tcPr>
          <w:p>
            <w:pPr>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snapToGrid w:val="0"/>
              <w:spacing w:line="240" w:lineRule="auto"/>
              <w:ind w:firstLine="0" w:firstLineChars="0"/>
              <w:jc w:val="center"/>
              <w:rPr>
                <w:rFonts w:ascii="宋体" w:hAnsi="宋体" w:cs="宋体"/>
                <w:b/>
                <w:bCs/>
                <w:kern w:val="0"/>
                <w:sz w:val="21"/>
                <w:szCs w:val="21"/>
              </w:rPr>
            </w:pPr>
            <w:r>
              <w:rPr>
                <w:rFonts w:hint="eastAsia" w:ascii="宋体" w:hAnsi="宋体" w:cs="宋体"/>
                <w:b/>
                <w:bCs/>
                <w:kern w:val="0"/>
                <w:sz w:val="21"/>
                <w:szCs w:val="21"/>
              </w:rPr>
              <w:t>7</w:t>
            </w:r>
          </w:p>
        </w:tc>
        <w:tc>
          <w:tcPr>
            <w:tcW w:w="1865" w:type="pct"/>
            <w:noWrap/>
            <w:vAlign w:val="center"/>
          </w:tcPr>
          <w:p>
            <w:pPr>
              <w:snapToGrid w:val="0"/>
              <w:spacing w:line="240" w:lineRule="auto"/>
              <w:ind w:firstLine="0" w:firstLineChars="0"/>
              <w:rPr>
                <w:rFonts w:ascii="宋体" w:hAnsi="宋体" w:cs="宋体"/>
                <w:kern w:val="0"/>
                <w:sz w:val="21"/>
                <w:szCs w:val="21"/>
              </w:rPr>
            </w:pPr>
            <w:r>
              <w:rPr>
                <w:rFonts w:hint="eastAsia" w:ascii="宋体" w:hAnsi="宋体" w:cs="宋体"/>
                <w:kern w:val="0"/>
                <w:sz w:val="21"/>
                <w:szCs w:val="21"/>
              </w:rPr>
              <w:t>落砂滚筒</w:t>
            </w:r>
          </w:p>
        </w:tc>
        <w:tc>
          <w:tcPr>
            <w:tcW w:w="1416" w:type="pct"/>
            <w:noWrap/>
            <w:vAlign w:val="center"/>
          </w:tcPr>
          <w:p>
            <w:pPr>
              <w:snapToGrid w:val="0"/>
              <w:spacing w:line="240" w:lineRule="auto"/>
              <w:ind w:firstLine="0" w:firstLineChars="0"/>
              <w:jc w:val="center"/>
              <w:rPr>
                <w:rFonts w:ascii="宋体" w:hAnsi="宋体" w:cs="宋体"/>
                <w:kern w:val="0"/>
                <w:sz w:val="21"/>
                <w:szCs w:val="21"/>
              </w:rPr>
            </w:pPr>
          </w:p>
        </w:tc>
        <w:tc>
          <w:tcPr>
            <w:tcW w:w="407"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1</w:t>
            </w:r>
          </w:p>
        </w:tc>
        <w:tc>
          <w:tcPr>
            <w:tcW w:w="811" w:type="pct"/>
            <w:noWrap/>
            <w:vAlign w:val="center"/>
          </w:tcPr>
          <w:p>
            <w:pPr>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snapToGrid w:val="0"/>
              <w:spacing w:line="240" w:lineRule="auto"/>
              <w:ind w:firstLine="0" w:firstLineChars="0"/>
              <w:jc w:val="center"/>
              <w:rPr>
                <w:rFonts w:ascii="宋体" w:hAnsi="宋体" w:cs="宋体"/>
                <w:b/>
                <w:bCs/>
                <w:kern w:val="0"/>
                <w:sz w:val="21"/>
                <w:szCs w:val="21"/>
              </w:rPr>
            </w:pPr>
            <w:r>
              <w:rPr>
                <w:rFonts w:hint="eastAsia" w:ascii="宋体" w:hAnsi="宋体" w:cs="宋体"/>
                <w:b/>
                <w:bCs/>
                <w:kern w:val="0"/>
                <w:sz w:val="21"/>
                <w:szCs w:val="21"/>
              </w:rPr>
              <w:t>8</w:t>
            </w:r>
          </w:p>
        </w:tc>
        <w:tc>
          <w:tcPr>
            <w:tcW w:w="1865" w:type="pct"/>
            <w:noWrap/>
            <w:vAlign w:val="center"/>
          </w:tcPr>
          <w:p>
            <w:pPr>
              <w:snapToGrid w:val="0"/>
              <w:spacing w:line="240" w:lineRule="auto"/>
              <w:ind w:firstLine="0" w:firstLineChars="0"/>
              <w:rPr>
                <w:rFonts w:ascii="宋体" w:hAnsi="宋体" w:cs="宋体"/>
                <w:kern w:val="0"/>
                <w:sz w:val="21"/>
                <w:szCs w:val="21"/>
              </w:rPr>
            </w:pPr>
            <w:r>
              <w:rPr>
                <w:rFonts w:hint="eastAsia" w:ascii="宋体" w:hAnsi="宋体" w:cs="宋体"/>
                <w:kern w:val="0"/>
                <w:sz w:val="21"/>
                <w:szCs w:val="21"/>
              </w:rPr>
              <w:t>气箱脉冲布袋除尘器</w:t>
            </w:r>
          </w:p>
        </w:tc>
        <w:tc>
          <w:tcPr>
            <w:tcW w:w="1416" w:type="pct"/>
            <w:noWrap/>
            <w:vAlign w:val="center"/>
          </w:tcPr>
          <w:p>
            <w:pPr>
              <w:snapToGrid w:val="0"/>
              <w:spacing w:line="240" w:lineRule="auto"/>
              <w:ind w:firstLine="0" w:firstLineChars="0"/>
              <w:jc w:val="center"/>
              <w:rPr>
                <w:rFonts w:ascii="宋体" w:hAnsi="宋体" w:cs="宋体"/>
                <w:kern w:val="0"/>
                <w:sz w:val="21"/>
                <w:szCs w:val="21"/>
              </w:rPr>
            </w:pPr>
          </w:p>
        </w:tc>
        <w:tc>
          <w:tcPr>
            <w:tcW w:w="407"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1</w:t>
            </w:r>
          </w:p>
        </w:tc>
        <w:tc>
          <w:tcPr>
            <w:tcW w:w="811" w:type="pct"/>
            <w:noWrap/>
            <w:vAlign w:val="center"/>
          </w:tcPr>
          <w:p>
            <w:pPr>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snapToGrid w:val="0"/>
              <w:spacing w:line="240" w:lineRule="auto"/>
              <w:ind w:firstLine="0" w:firstLineChars="0"/>
              <w:jc w:val="center"/>
              <w:rPr>
                <w:rFonts w:ascii="宋体" w:hAnsi="宋体" w:cs="宋体"/>
                <w:b/>
                <w:bCs/>
                <w:kern w:val="0"/>
                <w:sz w:val="21"/>
                <w:szCs w:val="21"/>
              </w:rPr>
            </w:pPr>
            <w:r>
              <w:rPr>
                <w:rFonts w:hint="eastAsia" w:ascii="宋体" w:hAnsi="宋体" w:cs="宋体"/>
                <w:b/>
                <w:bCs/>
                <w:kern w:val="0"/>
                <w:sz w:val="21"/>
                <w:szCs w:val="21"/>
              </w:rPr>
              <w:t>9</w:t>
            </w:r>
          </w:p>
        </w:tc>
        <w:tc>
          <w:tcPr>
            <w:tcW w:w="1865" w:type="pct"/>
            <w:noWrap/>
            <w:vAlign w:val="center"/>
          </w:tcPr>
          <w:p>
            <w:pPr>
              <w:snapToGrid w:val="0"/>
              <w:spacing w:line="240" w:lineRule="auto"/>
              <w:ind w:firstLine="0" w:firstLineChars="0"/>
              <w:rPr>
                <w:rFonts w:ascii="宋体" w:hAnsi="宋体" w:cs="宋体"/>
                <w:kern w:val="0"/>
                <w:sz w:val="21"/>
                <w:szCs w:val="21"/>
              </w:rPr>
            </w:pPr>
            <w:r>
              <w:rPr>
                <w:rFonts w:hint="eastAsia" w:ascii="宋体" w:hAnsi="宋体" w:cs="宋体"/>
                <w:kern w:val="0"/>
                <w:sz w:val="21"/>
                <w:szCs w:val="21"/>
              </w:rPr>
              <w:t>手动浇包</w:t>
            </w:r>
          </w:p>
        </w:tc>
        <w:tc>
          <w:tcPr>
            <w:tcW w:w="1416" w:type="pct"/>
            <w:noWrap/>
            <w:vAlign w:val="center"/>
          </w:tcPr>
          <w:p>
            <w:pPr>
              <w:snapToGrid w:val="0"/>
              <w:spacing w:line="240" w:lineRule="auto"/>
              <w:ind w:firstLine="0" w:firstLineChars="0"/>
              <w:jc w:val="center"/>
              <w:rPr>
                <w:rFonts w:ascii="宋体" w:hAnsi="宋体" w:cs="宋体"/>
                <w:kern w:val="0"/>
                <w:sz w:val="21"/>
                <w:szCs w:val="21"/>
              </w:rPr>
            </w:pPr>
          </w:p>
        </w:tc>
        <w:tc>
          <w:tcPr>
            <w:tcW w:w="407"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8</w:t>
            </w:r>
          </w:p>
        </w:tc>
        <w:tc>
          <w:tcPr>
            <w:tcW w:w="811" w:type="pct"/>
            <w:noWrap/>
            <w:vAlign w:val="center"/>
          </w:tcPr>
          <w:p>
            <w:pPr>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snapToGrid w:val="0"/>
              <w:spacing w:line="240" w:lineRule="auto"/>
              <w:ind w:firstLine="0" w:firstLineChars="0"/>
              <w:jc w:val="center"/>
              <w:rPr>
                <w:rFonts w:ascii="宋体" w:hAnsi="宋体" w:cs="宋体"/>
                <w:b/>
                <w:bCs/>
                <w:kern w:val="0"/>
                <w:sz w:val="21"/>
                <w:szCs w:val="21"/>
              </w:rPr>
            </w:pPr>
            <w:r>
              <w:rPr>
                <w:rFonts w:hint="eastAsia" w:ascii="宋体" w:hAnsi="宋体" w:cs="宋体"/>
                <w:b/>
                <w:bCs/>
                <w:kern w:val="0"/>
                <w:sz w:val="21"/>
                <w:szCs w:val="21"/>
              </w:rPr>
              <w:t>10</w:t>
            </w:r>
          </w:p>
        </w:tc>
        <w:tc>
          <w:tcPr>
            <w:tcW w:w="1865" w:type="pct"/>
            <w:noWrap/>
            <w:vAlign w:val="center"/>
          </w:tcPr>
          <w:p>
            <w:pPr>
              <w:snapToGrid w:val="0"/>
              <w:spacing w:line="240" w:lineRule="auto"/>
              <w:ind w:firstLine="0" w:firstLineChars="0"/>
              <w:rPr>
                <w:rFonts w:ascii="宋体" w:hAnsi="宋体" w:cs="宋体"/>
                <w:kern w:val="0"/>
                <w:sz w:val="21"/>
                <w:szCs w:val="21"/>
              </w:rPr>
            </w:pPr>
            <w:r>
              <w:rPr>
                <w:rFonts w:hint="eastAsia" w:ascii="宋体" w:hAnsi="宋体" w:cs="宋体"/>
                <w:kern w:val="0"/>
                <w:sz w:val="21"/>
                <w:szCs w:val="21"/>
              </w:rPr>
              <w:t>射芯机</w:t>
            </w:r>
          </w:p>
        </w:tc>
        <w:tc>
          <w:tcPr>
            <w:tcW w:w="1416"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Z8660</w:t>
            </w:r>
          </w:p>
        </w:tc>
        <w:tc>
          <w:tcPr>
            <w:tcW w:w="407"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3</w:t>
            </w:r>
          </w:p>
        </w:tc>
        <w:tc>
          <w:tcPr>
            <w:tcW w:w="811" w:type="pct"/>
            <w:noWrap/>
            <w:vAlign w:val="center"/>
          </w:tcPr>
          <w:p>
            <w:pPr>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snapToGrid w:val="0"/>
              <w:spacing w:line="240" w:lineRule="auto"/>
              <w:ind w:firstLine="0" w:firstLineChars="0"/>
              <w:jc w:val="center"/>
              <w:rPr>
                <w:rFonts w:ascii="宋体" w:hAnsi="宋体" w:cs="宋体"/>
                <w:b/>
                <w:bCs/>
                <w:kern w:val="0"/>
                <w:sz w:val="21"/>
                <w:szCs w:val="21"/>
              </w:rPr>
            </w:pPr>
            <w:r>
              <w:rPr>
                <w:rFonts w:hint="eastAsia" w:ascii="宋体" w:hAnsi="宋体" w:cs="宋体"/>
                <w:b/>
                <w:bCs/>
                <w:kern w:val="0"/>
                <w:sz w:val="21"/>
                <w:szCs w:val="21"/>
              </w:rPr>
              <w:t>11</w:t>
            </w:r>
          </w:p>
        </w:tc>
        <w:tc>
          <w:tcPr>
            <w:tcW w:w="1865" w:type="pct"/>
            <w:noWrap/>
            <w:vAlign w:val="center"/>
          </w:tcPr>
          <w:p>
            <w:pPr>
              <w:snapToGrid w:val="0"/>
              <w:spacing w:line="240" w:lineRule="auto"/>
              <w:ind w:firstLine="0" w:firstLineChars="0"/>
              <w:rPr>
                <w:rFonts w:ascii="宋体" w:hAnsi="宋体" w:cs="宋体"/>
                <w:kern w:val="0"/>
                <w:sz w:val="21"/>
                <w:szCs w:val="21"/>
              </w:rPr>
            </w:pPr>
            <w:r>
              <w:rPr>
                <w:rFonts w:hint="eastAsia" w:ascii="宋体" w:hAnsi="宋体" w:cs="宋体"/>
                <w:kern w:val="0"/>
                <w:sz w:val="21"/>
                <w:szCs w:val="21"/>
              </w:rPr>
              <w:t>非标钢结构</w:t>
            </w:r>
          </w:p>
        </w:tc>
        <w:tc>
          <w:tcPr>
            <w:tcW w:w="1416" w:type="pct"/>
            <w:noWrap/>
            <w:vAlign w:val="center"/>
          </w:tcPr>
          <w:p>
            <w:pPr>
              <w:snapToGrid w:val="0"/>
              <w:spacing w:line="240" w:lineRule="auto"/>
              <w:ind w:firstLine="0" w:firstLineChars="0"/>
              <w:jc w:val="center"/>
              <w:rPr>
                <w:rFonts w:ascii="宋体" w:hAnsi="宋体" w:cs="宋体"/>
                <w:kern w:val="0"/>
                <w:sz w:val="21"/>
                <w:szCs w:val="21"/>
              </w:rPr>
            </w:pPr>
          </w:p>
        </w:tc>
        <w:tc>
          <w:tcPr>
            <w:tcW w:w="407"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1</w:t>
            </w:r>
          </w:p>
        </w:tc>
        <w:tc>
          <w:tcPr>
            <w:tcW w:w="811" w:type="pct"/>
            <w:noWrap/>
            <w:vAlign w:val="center"/>
          </w:tcPr>
          <w:p>
            <w:pPr>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snapToGrid w:val="0"/>
              <w:spacing w:line="240" w:lineRule="auto"/>
              <w:ind w:firstLine="0" w:firstLineChars="0"/>
              <w:jc w:val="center"/>
              <w:rPr>
                <w:rFonts w:ascii="宋体" w:hAnsi="宋体" w:cs="宋体"/>
                <w:b/>
                <w:bCs/>
                <w:kern w:val="0"/>
                <w:sz w:val="21"/>
                <w:szCs w:val="21"/>
              </w:rPr>
            </w:pPr>
            <w:r>
              <w:rPr>
                <w:rFonts w:hint="eastAsia" w:ascii="宋体" w:hAnsi="宋体" w:cs="宋体"/>
                <w:b/>
                <w:bCs/>
                <w:kern w:val="0"/>
                <w:sz w:val="21"/>
                <w:szCs w:val="21"/>
              </w:rPr>
              <w:t>12</w:t>
            </w:r>
          </w:p>
        </w:tc>
        <w:tc>
          <w:tcPr>
            <w:tcW w:w="1865" w:type="pct"/>
            <w:noWrap/>
            <w:vAlign w:val="center"/>
          </w:tcPr>
          <w:p>
            <w:pPr>
              <w:snapToGrid w:val="0"/>
              <w:spacing w:line="240" w:lineRule="auto"/>
              <w:ind w:firstLine="0" w:firstLineChars="0"/>
              <w:rPr>
                <w:rFonts w:ascii="宋体" w:hAnsi="宋体" w:cs="宋体"/>
                <w:kern w:val="0"/>
                <w:sz w:val="21"/>
                <w:szCs w:val="21"/>
              </w:rPr>
            </w:pPr>
            <w:r>
              <w:rPr>
                <w:rFonts w:hint="eastAsia" w:ascii="宋体" w:hAnsi="宋体" w:cs="宋体"/>
                <w:kern w:val="0"/>
                <w:sz w:val="21"/>
                <w:szCs w:val="21"/>
              </w:rPr>
              <w:t>模具</w:t>
            </w:r>
          </w:p>
        </w:tc>
        <w:tc>
          <w:tcPr>
            <w:tcW w:w="1416" w:type="pct"/>
            <w:noWrap/>
            <w:vAlign w:val="center"/>
          </w:tcPr>
          <w:p>
            <w:pPr>
              <w:snapToGrid w:val="0"/>
              <w:spacing w:line="240" w:lineRule="auto"/>
              <w:ind w:firstLine="0" w:firstLineChars="0"/>
              <w:jc w:val="center"/>
              <w:rPr>
                <w:rFonts w:ascii="宋体" w:hAnsi="宋体" w:cs="宋体"/>
                <w:kern w:val="0"/>
                <w:sz w:val="21"/>
                <w:szCs w:val="21"/>
              </w:rPr>
            </w:pPr>
          </w:p>
        </w:tc>
        <w:tc>
          <w:tcPr>
            <w:tcW w:w="407"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34</w:t>
            </w:r>
          </w:p>
        </w:tc>
        <w:tc>
          <w:tcPr>
            <w:tcW w:w="811" w:type="pct"/>
            <w:noWrap/>
            <w:vAlign w:val="center"/>
          </w:tcPr>
          <w:p>
            <w:pPr>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snapToGrid w:val="0"/>
              <w:spacing w:line="240" w:lineRule="auto"/>
              <w:ind w:firstLine="0" w:firstLineChars="0"/>
              <w:jc w:val="center"/>
              <w:rPr>
                <w:rFonts w:ascii="宋体" w:hAnsi="宋体" w:cs="宋体"/>
                <w:b/>
                <w:bCs/>
                <w:kern w:val="0"/>
                <w:sz w:val="21"/>
                <w:szCs w:val="21"/>
              </w:rPr>
            </w:pPr>
            <w:r>
              <w:rPr>
                <w:rFonts w:hint="eastAsia" w:ascii="宋体" w:hAnsi="宋体" w:cs="宋体"/>
                <w:b/>
                <w:bCs/>
                <w:kern w:val="0"/>
                <w:sz w:val="21"/>
                <w:szCs w:val="21"/>
              </w:rPr>
              <w:t>（三）</w:t>
            </w:r>
          </w:p>
        </w:tc>
        <w:tc>
          <w:tcPr>
            <w:tcW w:w="1865" w:type="pct"/>
            <w:noWrap/>
            <w:vAlign w:val="center"/>
          </w:tcPr>
          <w:p>
            <w:pPr>
              <w:snapToGrid w:val="0"/>
              <w:spacing w:line="240" w:lineRule="auto"/>
              <w:ind w:firstLine="0" w:firstLineChars="0"/>
              <w:jc w:val="center"/>
              <w:rPr>
                <w:rFonts w:ascii="宋体" w:hAnsi="宋体" w:cs="宋体"/>
                <w:b/>
                <w:bCs/>
                <w:kern w:val="0"/>
                <w:sz w:val="21"/>
                <w:szCs w:val="21"/>
              </w:rPr>
            </w:pPr>
            <w:r>
              <w:rPr>
                <w:rFonts w:hint="eastAsia" w:ascii="宋体" w:hAnsi="宋体" w:cs="宋体"/>
                <w:b/>
                <w:bCs/>
                <w:kern w:val="0"/>
                <w:sz w:val="21"/>
                <w:szCs w:val="21"/>
              </w:rPr>
              <w:t>熔炼工部</w:t>
            </w:r>
          </w:p>
        </w:tc>
        <w:tc>
          <w:tcPr>
            <w:tcW w:w="1416" w:type="pct"/>
            <w:noWrap/>
            <w:vAlign w:val="center"/>
          </w:tcPr>
          <w:p>
            <w:pPr>
              <w:snapToGrid w:val="0"/>
              <w:spacing w:line="240" w:lineRule="auto"/>
              <w:ind w:firstLine="0" w:firstLineChars="0"/>
              <w:jc w:val="center"/>
              <w:rPr>
                <w:rFonts w:ascii="宋体" w:hAnsi="宋体" w:cs="宋体"/>
                <w:b/>
                <w:bCs/>
                <w:kern w:val="0"/>
                <w:sz w:val="21"/>
                <w:szCs w:val="21"/>
              </w:rPr>
            </w:pPr>
          </w:p>
        </w:tc>
        <w:tc>
          <w:tcPr>
            <w:tcW w:w="407" w:type="pct"/>
            <w:noWrap/>
            <w:vAlign w:val="center"/>
          </w:tcPr>
          <w:p>
            <w:pPr>
              <w:snapToGrid w:val="0"/>
              <w:spacing w:line="240" w:lineRule="auto"/>
              <w:ind w:firstLine="0" w:firstLineChars="0"/>
              <w:jc w:val="center"/>
              <w:rPr>
                <w:rFonts w:ascii="宋体" w:hAnsi="宋体" w:cs="宋体"/>
                <w:kern w:val="0"/>
                <w:sz w:val="21"/>
                <w:szCs w:val="21"/>
              </w:rPr>
            </w:pPr>
          </w:p>
        </w:tc>
        <w:tc>
          <w:tcPr>
            <w:tcW w:w="811" w:type="pct"/>
            <w:noWrap/>
            <w:vAlign w:val="center"/>
          </w:tcPr>
          <w:p>
            <w:pPr>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snapToGrid w:val="0"/>
              <w:spacing w:line="240" w:lineRule="auto"/>
              <w:ind w:firstLine="0" w:firstLineChars="0"/>
              <w:jc w:val="center"/>
              <w:rPr>
                <w:rFonts w:ascii="宋体" w:hAnsi="宋体" w:cs="宋体"/>
                <w:b/>
                <w:bCs/>
                <w:kern w:val="0"/>
                <w:sz w:val="21"/>
                <w:szCs w:val="21"/>
              </w:rPr>
            </w:pPr>
            <w:r>
              <w:rPr>
                <w:rFonts w:hint="eastAsia" w:ascii="宋体" w:hAnsi="宋体" w:cs="宋体"/>
                <w:b/>
                <w:bCs/>
                <w:kern w:val="0"/>
                <w:sz w:val="21"/>
                <w:szCs w:val="21"/>
              </w:rPr>
              <w:t>1</w:t>
            </w:r>
          </w:p>
        </w:tc>
        <w:tc>
          <w:tcPr>
            <w:tcW w:w="1865" w:type="pct"/>
            <w:noWrap/>
            <w:vAlign w:val="center"/>
          </w:tcPr>
          <w:p>
            <w:pPr>
              <w:snapToGrid w:val="0"/>
              <w:spacing w:line="240" w:lineRule="auto"/>
              <w:ind w:firstLine="0" w:firstLineChars="0"/>
              <w:rPr>
                <w:rFonts w:ascii="宋体" w:hAnsi="宋体" w:cs="宋体"/>
                <w:kern w:val="0"/>
                <w:sz w:val="21"/>
                <w:szCs w:val="21"/>
              </w:rPr>
            </w:pPr>
            <w:r>
              <w:rPr>
                <w:rFonts w:hint="eastAsia" w:ascii="宋体" w:hAnsi="宋体" w:cs="宋体"/>
                <w:kern w:val="0"/>
                <w:sz w:val="21"/>
                <w:szCs w:val="21"/>
              </w:rPr>
              <w:t>2t中频变频感应熔炼炉</w:t>
            </w:r>
          </w:p>
        </w:tc>
        <w:tc>
          <w:tcPr>
            <w:tcW w:w="1416"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IGBT 双供电</w:t>
            </w:r>
          </w:p>
        </w:tc>
        <w:tc>
          <w:tcPr>
            <w:tcW w:w="407"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3套</w:t>
            </w:r>
          </w:p>
        </w:tc>
        <w:tc>
          <w:tcPr>
            <w:tcW w:w="811" w:type="pct"/>
            <w:noWrap/>
            <w:vAlign w:val="center"/>
          </w:tcPr>
          <w:p>
            <w:pPr>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snapToGrid w:val="0"/>
              <w:spacing w:line="240" w:lineRule="auto"/>
              <w:ind w:firstLine="0" w:firstLineChars="0"/>
              <w:jc w:val="center"/>
              <w:rPr>
                <w:rFonts w:ascii="宋体" w:hAnsi="宋体" w:cs="宋体"/>
                <w:b/>
                <w:bCs/>
                <w:kern w:val="0"/>
                <w:sz w:val="21"/>
                <w:szCs w:val="21"/>
              </w:rPr>
            </w:pPr>
            <w:r>
              <w:rPr>
                <w:rFonts w:hint="eastAsia" w:ascii="宋体" w:hAnsi="宋体" w:cs="宋体"/>
                <w:b/>
                <w:bCs/>
                <w:kern w:val="0"/>
                <w:sz w:val="21"/>
                <w:szCs w:val="21"/>
              </w:rPr>
              <w:t>(1)</w:t>
            </w:r>
          </w:p>
        </w:tc>
        <w:tc>
          <w:tcPr>
            <w:tcW w:w="1865" w:type="pct"/>
            <w:noWrap/>
            <w:vAlign w:val="center"/>
          </w:tcPr>
          <w:p>
            <w:pPr>
              <w:snapToGrid w:val="0"/>
              <w:spacing w:line="240" w:lineRule="auto"/>
              <w:ind w:firstLine="0" w:firstLineChars="0"/>
              <w:rPr>
                <w:rFonts w:ascii="宋体" w:hAnsi="宋体" w:cs="宋体"/>
                <w:kern w:val="0"/>
                <w:sz w:val="21"/>
                <w:szCs w:val="21"/>
              </w:rPr>
            </w:pPr>
            <w:r>
              <w:rPr>
                <w:rFonts w:hint="eastAsia" w:ascii="宋体" w:hAnsi="宋体" w:cs="宋体"/>
                <w:kern w:val="0"/>
                <w:sz w:val="21"/>
                <w:szCs w:val="21"/>
              </w:rPr>
              <w:t>电炉设备主机</w:t>
            </w:r>
          </w:p>
        </w:tc>
        <w:tc>
          <w:tcPr>
            <w:tcW w:w="1416" w:type="pct"/>
            <w:noWrap/>
            <w:vAlign w:val="center"/>
          </w:tcPr>
          <w:p>
            <w:pPr>
              <w:snapToGrid w:val="0"/>
              <w:spacing w:line="240" w:lineRule="auto"/>
              <w:ind w:firstLine="0" w:firstLineChars="0"/>
              <w:jc w:val="center"/>
              <w:rPr>
                <w:rFonts w:ascii="宋体" w:hAnsi="宋体" w:cs="宋体"/>
                <w:kern w:val="0"/>
                <w:sz w:val="21"/>
                <w:szCs w:val="21"/>
              </w:rPr>
            </w:pPr>
          </w:p>
        </w:tc>
        <w:tc>
          <w:tcPr>
            <w:tcW w:w="407" w:type="pct"/>
            <w:noWrap/>
            <w:vAlign w:val="center"/>
          </w:tcPr>
          <w:p>
            <w:pPr>
              <w:snapToGrid w:val="0"/>
              <w:spacing w:line="240" w:lineRule="auto"/>
              <w:ind w:firstLine="0" w:firstLineChars="0"/>
              <w:jc w:val="center"/>
              <w:rPr>
                <w:rFonts w:ascii="宋体" w:hAnsi="宋体" w:cs="宋体"/>
                <w:kern w:val="0"/>
                <w:sz w:val="21"/>
                <w:szCs w:val="21"/>
              </w:rPr>
            </w:pPr>
          </w:p>
        </w:tc>
        <w:tc>
          <w:tcPr>
            <w:tcW w:w="811" w:type="pct"/>
            <w:noWrap/>
            <w:vAlign w:val="center"/>
          </w:tcPr>
          <w:p>
            <w:pPr>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numPr>
                <w:ilvl w:val="0"/>
                <w:numId w:val="12"/>
              </w:numPr>
              <w:snapToGrid w:val="0"/>
              <w:spacing w:line="240" w:lineRule="auto"/>
              <w:ind w:firstLine="0" w:firstLineChars="0"/>
              <w:jc w:val="center"/>
              <w:rPr>
                <w:rFonts w:ascii="宋体" w:hAnsi="宋体" w:cs="宋体"/>
                <w:b/>
                <w:bCs/>
                <w:kern w:val="0"/>
                <w:sz w:val="21"/>
                <w:szCs w:val="21"/>
              </w:rPr>
            </w:pPr>
          </w:p>
        </w:tc>
        <w:tc>
          <w:tcPr>
            <w:tcW w:w="1865" w:type="pct"/>
            <w:noWrap/>
            <w:vAlign w:val="center"/>
          </w:tcPr>
          <w:p>
            <w:pPr>
              <w:snapToGrid w:val="0"/>
              <w:spacing w:line="240" w:lineRule="auto"/>
              <w:ind w:firstLine="0" w:firstLineChars="0"/>
              <w:rPr>
                <w:rFonts w:ascii="宋体" w:hAnsi="宋体" w:cs="宋体"/>
                <w:kern w:val="0"/>
                <w:sz w:val="21"/>
                <w:szCs w:val="21"/>
              </w:rPr>
            </w:pPr>
            <w:r>
              <w:rPr>
                <w:rFonts w:hint="eastAsia" w:ascii="宋体" w:hAnsi="宋体" w:cs="宋体"/>
                <w:kern w:val="0"/>
                <w:sz w:val="21"/>
                <w:szCs w:val="21"/>
              </w:rPr>
              <w:t>低压隔离开关</w:t>
            </w:r>
          </w:p>
        </w:tc>
        <w:tc>
          <w:tcPr>
            <w:tcW w:w="1416" w:type="pct"/>
            <w:noWrap/>
            <w:vAlign w:val="center"/>
          </w:tcPr>
          <w:p>
            <w:pPr>
              <w:snapToGrid w:val="0"/>
              <w:spacing w:line="240" w:lineRule="auto"/>
              <w:ind w:firstLine="0" w:firstLineChars="0"/>
              <w:jc w:val="center"/>
              <w:rPr>
                <w:rFonts w:ascii="宋体" w:hAnsi="宋体" w:cs="宋体"/>
                <w:kern w:val="0"/>
                <w:sz w:val="21"/>
                <w:szCs w:val="21"/>
              </w:rPr>
            </w:pPr>
          </w:p>
        </w:tc>
        <w:tc>
          <w:tcPr>
            <w:tcW w:w="407"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3</w:t>
            </w:r>
          </w:p>
        </w:tc>
        <w:tc>
          <w:tcPr>
            <w:tcW w:w="811" w:type="pct"/>
            <w:noWrap/>
            <w:vAlign w:val="center"/>
          </w:tcPr>
          <w:p>
            <w:pPr>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numPr>
                <w:ilvl w:val="0"/>
                <w:numId w:val="12"/>
              </w:numPr>
              <w:snapToGrid w:val="0"/>
              <w:spacing w:line="240" w:lineRule="auto"/>
              <w:ind w:firstLine="0" w:firstLineChars="0"/>
              <w:jc w:val="center"/>
              <w:rPr>
                <w:rFonts w:ascii="宋体" w:hAnsi="宋体" w:cs="宋体"/>
                <w:b/>
                <w:bCs/>
                <w:kern w:val="0"/>
                <w:sz w:val="21"/>
                <w:szCs w:val="21"/>
              </w:rPr>
            </w:pPr>
          </w:p>
        </w:tc>
        <w:tc>
          <w:tcPr>
            <w:tcW w:w="1865" w:type="pct"/>
            <w:noWrap/>
            <w:vAlign w:val="center"/>
          </w:tcPr>
          <w:p>
            <w:pPr>
              <w:snapToGrid w:val="0"/>
              <w:spacing w:line="240" w:lineRule="auto"/>
              <w:ind w:firstLine="0" w:firstLineChars="0"/>
              <w:rPr>
                <w:rFonts w:ascii="宋体" w:hAnsi="宋体" w:cs="宋体"/>
                <w:kern w:val="0"/>
                <w:sz w:val="21"/>
                <w:szCs w:val="21"/>
              </w:rPr>
            </w:pPr>
            <w:r>
              <w:rPr>
                <w:rFonts w:hint="eastAsia" w:ascii="宋体" w:hAnsi="宋体" w:cs="宋体"/>
                <w:kern w:val="0"/>
                <w:sz w:val="21"/>
                <w:szCs w:val="21"/>
              </w:rPr>
              <w:t>动力控制柜</w:t>
            </w:r>
          </w:p>
        </w:tc>
        <w:tc>
          <w:tcPr>
            <w:tcW w:w="1416" w:type="pct"/>
            <w:noWrap/>
            <w:vAlign w:val="center"/>
          </w:tcPr>
          <w:p>
            <w:pPr>
              <w:snapToGrid w:val="0"/>
              <w:spacing w:line="240" w:lineRule="auto"/>
              <w:ind w:firstLine="0" w:firstLineChars="0"/>
              <w:jc w:val="center"/>
              <w:rPr>
                <w:rFonts w:ascii="宋体" w:hAnsi="宋体" w:cs="宋体"/>
                <w:kern w:val="0"/>
                <w:sz w:val="21"/>
                <w:szCs w:val="21"/>
              </w:rPr>
            </w:pPr>
          </w:p>
        </w:tc>
        <w:tc>
          <w:tcPr>
            <w:tcW w:w="407"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3</w:t>
            </w:r>
          </w:p>
        </w:tc>
        <w:tc>
          <w:tcPr>
            <w:tcW w:w="811" w:type="pct"/>
            <w:noWrap/>
            <w:vAlign w:val="center"/>
          </w:tcPr>
          <w:p>
            <w:pPr>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numPr>
                <w:ilvl w:val="0"/>
                <w:numId w:val="12"/>
              </w:numPr>
              <w:snapToGrid w:val="0"/>
              <w:spacing w:line="240" w:lineRule="auto"/>
              <w:ind w:firstLine="0" w:firstLineChars="0"/>
              <w:jc w:val="center"/>
              <w:rPr>
                <w:rFonts w:ascii="宋体" w:hAnsi="宋体" w:cs="宋体"/>
                <w:b/>
                <w:bCs/>
                <w:kern w:val="0"/>
                <w:sz w:val="21"/>
                <w:szCs w:val="21"/>
              </w:rPr>
            </w:pPr>
          </w:p>
        </w:tc>
        <w:tc>
          <w:tcPr>
            <w:tcW w:w="1865" w:type="pct"/>
            <w:noWrap/>
            <w:vAlign w:val="center"/>
          </w:tcPr>
          <w:p>
            <w:pPr>
              <w:snapToGrid w:val="0"/>
              <w:spacing w:line="240" w:lineRule="auto"/>
              <w:ind w:firstLine="0" w:firstLineChars="0"/>
              <w:rPr>
                <w:rFonts w:ascii="宋体" w:hAnsi="宋体" w:cs="宋体"/>
                <w:kern w:val="0"/>
                <w:sz w:val="21"/>
                <w:szCs w:val="21"/>
              </w:rPr>
            </w:pPr>
            <w:r>
              <w:rPr>
                <w:rFonts w:hint="eastAsia" w:ascii="宋体" w:hAnsi="宋体" w:cs="宋体"/>
                <w:kern w:val="0"/>
                <w:sz w:val="21"/>
                <w:szCs w:val="21"/>
              </w:rPr>
              <w:t>1450kw中频电源</w:t>
            </w:r>
          </w:p>
        </w:tc>
        <w:tc>
          <w:tcPr>
            <w:tcW w:w="1416"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CS1450 12脉波整流</w:t>
            </w:r>
          </w:p>
        </w:tc>
        <w:tc>
          <w:tcPr>
            <w:tcW w:w="407"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3套</w:t>
            </w:r>
          </w:p>
        </w:tc>
        <w:tc>
          <w:tcPr>
            <w:tcW w:w="811" w:type="pct"/>
            <w:noWrap/>
            <w:vAlign w:val="center"/>
          </w:tcPr>
          <w:p>
            <w:pPr>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numPr>
                <w:ilvl w:val="0"/>
                <w:numId w:val="12"/>
              </w:numPr>
              <w:snapToGrid w:val="0"/>
              <w:spacing w:line="240" w:lineRule="auto"/>
              <w:ind w:firstLine="0" w:firstLineChars="0"/>
              <w:jc w:val="center"/>
              <w:rPr>
                <w:rFonts w:ascii="宋体" w:hAnsi="宋体" w:cs="宋体"/>
                <w:kern w:val="0"/>
                <w:sz w:val="21"/>
                <w:szCs w:val="21"/>
              </w:rPr>
            </w:pPr>
          </w:p>
        </w:tc>
        <w:tc>
          <w:tcPr>
            <w:tcW w:w="1865" w:type="pct"/>
            <w:noWrap/>
            <w:vAlign w:val="center"/>
          </w:tcPr>
          <w:p>
            <w:pPr>
              <w:snapToGrid w:val="0"/>
              <w:spacing w:line="240" w:lineRule="auto"/>
              <w:ind w:firstLine="0" w:firstLineChars="0"/>
              <w:rPr>
                <w:rFonts w:ascii="宋体" w:hAnsi="宋体" w:cs="宋体"/>
                <w:kern w:val="0"/>
                <w:sz w:val="21"/>
                <w:szCs w:val="21"/>
              </w:rPr>
            </w:pPr>
            <w:r>
              <w:rPr>
                <w:rFonts w:hint="eastAsia" w:ascii="宋体" w:hAnsi="宋体" w:cs="宋体"/>
                <w:kern w:val="0"/>
                <w:sz w:val="21"/>
                <w:szCs w:val="21"/>
              </w:rPr>
              <w:t>包括：</w:t>
            </w:r>
          </w:p>
        </w:tc>
        <w:tc>
          <w:tcPr>
            <w:tcW w:w="1416" w:type="pct"/>
            <w:noWrap/>
            <w:vAlign w:val="center"/>
          </w:tcPr>
          <w:p>
            <w:pPr>
              <w:snapToGrid w:val="0"/>
              <w:spacing w:line="240" w:lineRule="auto"/>
              <w:ind w:firstLine="0" w:firstLineChars="0"/>
              <w:jc w:val="center"/>
              <w:rPr>
                <w:rFonts w:ascii="宋体" w:hAnsi="宋体" w:cs="宋体"/>
                <w:kern w:val="0"/>
                <w:sz w:val="21"/>
                <w:szCs w:val="21"/>
              </w:rPr>
            </w:pPr>
          </w:p>
        </w:tc>
        <w:tc>
          <w:tcPr>
            <w:tcW w:w="407" w:type="pct"/>
            <w:noWrap/>
            <w:vAlign w:val="center"/>
          </w:tcPr>
          <w:p>
            <w:pPr>
              <w:snapToGrid w:val="0"/>
              <w:spacing w:line="240" w:lineRule="auto"/>
              <w:ind w:firstLine="0" w:firstLineChars="0"/>
              <w:jc w:val="center"/>
              <w:rPr>
                <w:rFonts w:ascii="宋体" w:hAnsi="宋体" w:cs="宋体"/>
                <w:kern w:val="0"/>
                <w:sz w:val="21"/>
                <w:szCs w:val="21"/>
              </w:rPr>
            </w:pPr>
          </w:p>
        </w:tc>
        <w:tc>
          <w:tcPr>
            <w:tcW w:w="811" w:type="pct"/>
            <w:noWrap/>
            <w:vAlign w:val="center"/>
          </w:tcPr>
          <w:p>
            <w:pPr>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numPr>
                <w:ilvl w:val="0"/>
                <w:numId w:val="12"/>
              </w:numPr>
              <w:snapToGrid w:val="0"/>
              <w:spacing w:line="240" w:lineRule="auto"/>
              <w:ind w:firstLine="0" w:firstLineChars="0"/>
              <w:jc w:val="center"/>
              <w:rPr>
                <w:rFonts w:ascii="宋体" w:hAnsi="宋体" w:cs="宋体"/>
                <w:kern w:val="0"/>
                <w:sz w:val="21"/>
                <w:szCs w:val="21"/>
              </w:rPr>
            </w:pPr>
          </w:p>
        </w:tc>
        <w:tc>
          <w:tcPr>
            <w:tcW w:w="1865" w:type="pct"/>
            <w:noWrap/>
            <w:vAlign w:val="center"/>
          </w:tcPr>
          <w:p>
            <w:pPr>
              <w:snapToGrid w:val="0"/>
              <w:spacing w:line="240" w:lineRule="auto"/>
              <w:ind w:firstLine="0" w:firstLineChars="0"/>
              <w:rPr>
                <w:rFonts w:ascii="宋体" w:hAnsi="宋体" w:cs="宋体"/>
                <w:kern w:val="0"/>
                <w:sz w:val="21"/>
                <w:szCs w:val="21"/>
              </w:rPr>
            </w:pPr>
            <w:r>
              <w:rPr>
                <w:rFonts w:hint="eastAsia" w:ascii="宋体" w:hAnsi="宋体" w:cs="宋体"/>
                <w:kern w:val="0"/>
                <w:sz w:val="21"/>
                <w:szCs w:val="21"/>
              </w:rPr>
              <w:t>补偿电容器组</w:t>
            </w:r>
          </w:p>
        </w:tc>
        <w:tc>
          <w:tcPr>
            <w:tcW w:w="1416" w:type="pct"/>
            <w:noWrap/>
            <w:vAlign w:val="center"/>
          </w:tcPr>
          <w:p>
            <w:pPr>
              <w:snapToGrid w:val="0"/>
              <w:spacing w:line="240" w:lineRule="auto"/>
              <w:ind w:firstLine="0" w:firstLineChars="0"/>
              <w:jc w:val="center"/>
              <w:rPr>
                <w:rFonts w:ascii="宋体" w:hAnsi="宋体" w:cs="宋体"/>
                <w:kern w:val="0"/>
                <w:sz w:val="21"/>
                <w:szCs w:val="21"/>
              </w:rPr>
            </w:pPr>
          </w:p>
        </w:tc>
        <w:tc>
          <w:tcPr>
            <w:tcW w:w="407" w:type="pct"/>
            <w:noWrap/>
            <w:vAlign w:val="center"/>
          </w:tcPr>
          <w:p>
            <w:pPr>
              <w:snapToGrid w:val="0"/>
              <w:spacing w:line="240" w:lineRule="auto"/>
              <w:ind w:firstLine="0" w:firstLineChars="0"/>
              <w:jc w:val="center"/>
              <w:rPr>
                <w:rFonts w:ascii="宋体" w:hAnsi="宋体" w:cs="宋体"/>
                <w:kern w:val="0"/>
                <w:sz w:val="21"/>
                <w:szCs w:val="21"/>
              </w:rPr>
            </w:pPr>
          </w:p>
        </w:tc>
        <w:tc>
          <w:tcPr>
            <w:tcW w:w="811" w:type="pct"/>
            <w:noWrap/>
            <w:vAlign w:val="center"/>
          </w:tcPr>
          <w:p>
            <w:pPr>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numPr>
                <w:ilvl w:val="0"/>
                <w:numId w:val="12"/>
              </w:numPr>
              <w:snapToGrid w:val="0"/>
              <w:spacing w:line="240" w:lineRule="auto"/>
              <w:ind w:firstLine="0" w:firstLineChars="0"/>
              <w:jc w:val="center"/>
              <w:rPr>
                <w:rFonts w:ascii="宋体" w:hAnsi="宋体" w:cs="宋体"/>
                <w:kern w:val="0"/>
                <w:sz w:val="21"/>
                <w:szCs w:val="21"/>
              </w:rPr>
            </w:pPr>
          </w:p>
        </w:tc>
        <w:tc>
          <w:tcPr>
            <w:tcW w:w="1865" w:type="pct"/>
            <w:noWrap/>
            <w:vAlign w:val="center"/>
          </w:tcPr>
          <w:p>
            <w:pPr>
              <w:snapToGrid w:val="0"/>
              <w:spacing w:line="240" w:lineRule="auto"/>
              <w:ind w:firstLine="0" w:firstLineChars="0"/>
              <w:rPr>
                <w:rFonts w:ascii="宋体" w:hAnsi="宋体" w:cs="宋体"/>
                <w:kern w:val="0"/>
                <w:sz w:val="21"/>
                <w:szCs w:val="21"/>
              </w:rPr>
            </w:pPr>
            <w:r>
              <w:rPr>
                <w:rFonts w:hint="eastAsia" w:ascii="宋体" w:hAnsi="宋体" w:cs="宋体"/>
                <w:kern w:val="0"/>
                <w:sz w:val="21"/>
                <w:szCs w:val="21"/>
              </w:rPr>
              <w:t>滤波电容器组</w:t>
            </w:r>
          </w:p>
        </w:tc>
        <w:tc>
          <w:tcPr>
            <w:tcW w:w="1416" w:type="pct"/>
            <w:noWrap/>
            <w:vAlign w:val="center"/>
          </w:tcPr>
          <w:p>
            <w:pPr>
              <w:snapToGrid w:val="0"/>
              <w:spacing w:line="240" w:lineRule="auto"/>
              <w:ind w:firstLine="0" w:firstLineChars="0"/>
              <w:jc w:val="center"/>
              <w:rPr>
                <w:rFonts w:ascii="宋体" w:hAnsi="宋体" w:cs="宋体"/>
                <w:kern w:val="0"/>
                <w:sz w:val="21"/>
                <w:szCs w:val="21"/>
              </w:rPr>
            </w:pPr>
          </w:p>
        </w:tc>
        <w:tc>
          <w:tcPr>
            <w:tcW w:w="407" w:type="pct"/>
            <w:noWrap/>
            <w:vAlign w:val="center"/>
          </w:tcPr>
          <w:p>
            <w:pPr>
              <w:snapToGrid w:val="0"/>
              <w:spacing w:line="240" w:lineRule="auto"/>
              <w:ind w:firstLine="0" w:firstLineChars="0"/>
              <w:jc w:val="center"/>
              <w:rPr>
                <w:rFonts w:ascii="宋体" w:hAnsi="宋体" w:cs="宋体"/>
                <w:kern w:val="0"/>
                <w:sz w:val="21"/>
                <w:szCs w:val="21"/>
              </w:rPr>
            </w:pPr>
          </w:p>
        </w:tc>
        <w:tc>
          <w:tcPr>
            <w:tcW w:w="811" w:type="pct"/>
            <w:noWrap/>
            <w:vAlign w:val="center"/>
          </w:tcPr>
          <w:p>
            <w:pPr>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numPr>
                <w:ilvl w:val="0"/>
                <w:numId w:val="12"/>
              </w:numPr>
              <w:snapToGrid w:val="0"/>
              <w:spacing w:line="240" w:lineRule="auto"/>
              <w:ind w:firstLine="0" w:firstLineChars="0"/>
              <w:jc w:val="center"/>
              <w:rPr>
                <w:rFonts w:ascii="宋体" w:hAnsi="宋体" w:cs="宋体"/>
                <w:kern w:val="0"/>
                <w:sz w:val="21"/>
                <w:szCs w:val="21"/>
              </w:rPr>
            </w:pPr>
          </w:p>
        </w:tc>
        <w:tc>
          <w:tcPr>
            <w:tcW w:w="1865" w:type="pct"/>
            <w:noWrap/>
            <w:vAlign w:val="center"/>
          </w:tcPr>
          <w:p>
            <w:pPr>
              <w:snapToGrid w:val="0"/>
              <w:spacing w:line="240" w:lineRule="auto"/>
              <w:ind w:firstLine="0" w:firstLineChars="0"/>
              <w:rPr>
                <w:rFonts w:ascii="宋体" w:hAnsi="宋体" w:cs="宋体"/>
                <w:kern w:val="0"/>
                <w:sz w:val="21"/>
                <w:szCs w:val="21"/>
              </w:rPr>
            </w:pPr>
            <w:r>
              <w:rPr>
                <w:rFonts w:hint="eastAsia" w:ascii="宋体" w:hAnsi="宋体" w:cs="宋体"/>
                <w:kern w:val="0"/>
                <w:sz w:val="21"/>
                <w:szCs w:val="21"/>
              </w:rPr>
              <w:t>CB7V4.0控制系统</w:t>
            </w:r>
          </w:p>
        </w:tc>
        <w:tc>
          <w:tcPr>
            <w:tcW w:w="1416" w:type="pct"/>
            <w:noWrap/>
            <w:vAlign w:val="center"/>
          </w:tcPr>
          <w:p>
            <w:pPr>
              <w:snapToGrid w:val="0"/>
              <w:spacing w:line="240" w:lineRule="auto"/>
              <w:ind w:firstLine="0" w:firstLineChars="0"/>
              <w:jc w:val="center"/>
              <w:rPr>
                <w:rFonts w:ascii="宋体" w:hAnsi="宋体" w:cs="宋体"/>
                <w:kern w:val="0"/>
                <w:sz w:val="21"/>
                <w:szCs w:val="21"/>
              </w:rPr>
            </w:pPr>
          </w:p>
        </w:tc>
        <w:tc>
          <w:tcPr>
            <w:tcW w:w="407" w:type="pct"/>
            <w:noWrap/>
            <w:vAlign w:val="center"/>
          </w:tcPr>
          <w:p>
            <w:pPr>
              <w:snapToGrid w:val="0"/>
              <w:spacing w:line="240" w:lineRule="auto"/>
              <w:ind w:firstLine="0" w:firstLineChars="0"/>
              <w:jc w:val="center"/>
              <w:rPr>
                <w:rFonts w:ascii="宋体" w:hAnsi="宋体" w:cs="宋体"/>
                <w:kern w:val="0"/>
                <w:sz w:val="21"/>
                <w:szCs w:val="21"/>
              </w:rPr>
            </w:pPr>
          </w:p>
        </w:tc>
        <w:tc>
          <w:tcPr>
            <w:tcW w:w="811" w:type="pct"/>
            <w:noWrap/>
            <w:vAlign w:val="center"/>
          </w:tcPr>
          <w:p>
            <w:pPr>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numPr>
                <w:ilvl w:val="0"/>
                <w:numId w:val="12"/>
              </w:numPr>
              <w:snapToGrid w:val="0"/>
              <w:spacing w:line="240" w:lineRule="auto"/>
              <w:ind w:firstLine="0" w:firstLineChars="0"/>
              <w:jc w:val="center"/>
              <w:rPr>
                <w:rFonts w:ascii="宋体" w:hAnsi="宋体" w:cs="宋体"/>
                <w:kern w:val="0"/>
                <w:sz w:val="21"/>
                <w:szCs w:val="21"/>
              </w:rPr>
            </w:pPr>
          </w:p>
        </w:tc>
        <w:tc>
          <w:tcPr>
            <w:tcW w:w="1865" w:type="pct"/>
            <w:noWrap/>
            <w:vAlign w:val="center"/>
          </w:tcPr>
          <w:p>
            <w:pPr>
              <w:snapToGrid w:val="0"/>
              <w:spacing w:line="240" w:lineRule="auto"/>
              <w:ind w:firstLine="0" w:firstLineChars="0"/>
              <w:rPr>
                <w:rFonts w:ascii="宋体" w:hAnsi="宋体" w:cs="宋体"/>
                <w:kern w:val="0"/>
                <w:sz w:val="21"/>
                <w:szCs w:val="21"/>
              </w:rPr>
            </w:pPr>
            <w:r>
              <w:rPr>
                <w:rFonts w:hint="eastAsia" w:ascii="宋体" w:hAnsi="宋体" w:cs="宋体"/>
                <w:kern w:val="0"/>
                <w:sz w:val="21"/>
                <w:szCs w:val="21"/>
              </w:rPr>
              <w:t>温度检测</w:t>
            </w:r>
          </w:p>
        </w:tc>
        <w:tc>
          <w:tcPr>
            <w:tcW w:w="1416" w:type="pct"/>
            <w:noWrap/>
            <w:vAlign w:val="center"/>
          </w:tcPr>
          <w:p>
            <w:pPr>
              <w:snapToGrid w:val="0"/>
              <w:spacing w:line="240" w:lineRule="auto"/>
              <w:ind w:firstLine="0" w:firstLineChars="0"/>
              <w:jc w:val="center"/>
              <w:rPr>
                <w:rFonts w:ascii="宋体" w:hAnsi="宋体" w:cs="宋体"/>
                <w:kern w:val="0"/>
                <w:sz w:val="21"/>
                <w:szCs w:val="21"/>
              </w:rPr>
            </w:pPr>
          </w:p>
        </w:tc>
        <w:tc>
          <w:tcPr>
            <w:tcW w:w="407" w:type="pct"/>
            <w:noWrap/>
            <w:vAlign w:val="center"/>
          </w:tcPr>
          <w:p>
            <w:pPr>
              <w:snapToGrid w:val="0"/>
              <w:spacing w:line="240" w:lineRule="auto"/>
              <w:ind w:firstLine="0" w:firstLineChars="0"/>
              <w:jc w:val="center"/>
              <w:rPr>
                <w:rFonts w:ascii="宋体" w:hAnsi="宋体" w:cs="宋体"/>
                <w:kern w:val="0"/>
                <w:sz w:val="21"/>
                <w:szCs w:val="21"/>
              </w:rPr>
            </w:pPr>
          </w:p>
        </w:tc>
        <w:tc>
          <w:tcPr>
            <w:tcW w:w="811" w:type="pct"/>
            <w:noWrap/>
            <w:vAlign w:val="center"/>
          </w:tcPr>
          <w:p>
            <w:pPr>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numPr>
                <w:ilvl w:val="0"/>
                <w:numId w:val="12"/>
              </w:numPr>
              <w:snapToGrid w:val="0"/>
              <w:spacing w:line="240" w:lineRule="auto"/>
              <w:ind w:firstLine="0" w:firstLineChars="0"/>
              <w:jc w:val="center"/>
              <w:rPr>
                <w:rFonts w:ascii="宋体" w:hAnsi="宋体" w:cs="宋体"/>
                <w:kern w:val="0"/>
                <w:sz w:val="21"/>
                <w:szCs w:val="21"/>
              </w:rPr>
            </w:pPr>
          </w:p>
        </w:tc>
        <w:tc>
          <w:tcPr>
            <w:tcW w:w="1865" w:type="pct"/>
            <w:noWrap/>
            <w:vAlign w:val="center"/>
          </w:tcPr>
          <w:p>
            <w:pPr>
              <w:snapToGrid w:val="0"/>
              <w:spacing w:line="240" w:lineRule="auto"/>
              <w:ind w:firstLine="0" w:firstLineChars="0"/>
              <w:rPr>
                <w:rFonts w:ascii="宋体" w:hAnsi="宋体" w:cs="宋体"/>
                <w:kern w:val="0"/>
                <w:sz w:val="21"/>
                <w:szCs w:val="21"/>
              </w:rPr>
            </w:pPr>
            <w:r>
              <w:rPr>
                <w:rFonts w:hint="eastAsia" w:ascii="宋体" w:hAnsi="宋体" w:cs="宋体"/>
                <w:kern w:val="0"/>
                <w:sz w:val="21"/>
                <w:szCs w:val="21"/>
              </w:rPr>
              <w:t>水压检测</w:t>
            </w:r>
          </w:p>
        </w:tc>
        <w:tc>
          <w:tcPr>
            <w:tcW w:w="1416" w:type="pct"/>
            <w:noWrap/>
            <w:vAlign w:val="center"/>
          </w:tcPr>
          <w:p>
            <w:pPr>
              <w:snapToGrid w:val="0"/>
              <w:spacing w:line="240" w:lineRule="auto"/>
              <w:ind w:firstLine="0" w:firstLineChars="0"/>
              <w:jc w:val="center"/>
              <w:rPr>
                <w:rFonts w:ascii="宋体" w:hAnsi="宋体" w:cs="宋体"/>
                <w:kern w:val="0"/>
                <w:sz w:val="21"/>
                <w:szCs w:val="21"/>
              </w:rPr>
            </w:pPr>
          </w:p>
        </w:tc>
        <w:tc>
          <w:tcPr>
            <w:tcW w:w="407" w:type="pct"/>
            <w:noWrap/>
            <w:vAlign w:val="center"/>
          </w:tcPr>
          <w:p>
            <w:pPr>
              <w:snapToGrid w:val="0"/>
              <w:spacing w:line="240" w:lineRule="auto"/>
              <w:ind w:firstLine="0" w:firstLineChars="0"/>
              <w:jc w:val="center"/>
              <w:rPr>
                <w:rFonts w:ascii="宋体" w:hAnsi="宋体" w:cs="宋体"/>
                <w:kern w:val="0"/>
                <w:sz w:val="21"/>
                <w:szCs w:val="21"/>
              </w:rPr>
            </w:pPr>
          </w:p>
        </w:tc>
        <w:tc>
          <w:tcPr>
            <w:tcW w:w="811" w:type="pct"/>
            <w:noWrap/>
            <w:vAlign w:val="center"/>
          </w:tcPr>
          <w:p>
            <w:pPr>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numPr>
                <w:ilvl w:val="0"/>
                <w:numId w:val="12"/>
              </w:numPr>
              <w:snapToGrid w:val="0"/>
              <w:spacing w:line="240" w:lineRule="auto"/>
              <w:ind w:firstLine="0" w:firstLineChars="0"/>
              <w:jc w:val="center"/>
              <w:rPr>
                <w:rFonts w:ascii="宋体" w:hAnsi="宋体" w:cs="宋体"/>
                <w:b/>
                <w:bCs/>
                <w:kern w:val="0"/>
                <w:sz w:val="21"/>
                <w:szCs w:val="21"/>
              </w:rPr>
            </w:pPr>
          </w:p>
        </w:tc>
        <w:tc>
          <w:tcPr>
            <w:tcW w:w="1865" w:type="pct"/>
            <w:noWrap/>
            <w:vAlign w:val="center"/>
          </w:tcPr>
          <w:p>
            <w:pPr>
              <w:snapToGrid w:val="0"/>
              <w:spacing w:line="240" w:lineRule="auto"/>
              <w:ind w:firstLine="0" w:firstLineChars="0"/>
              <w:rPr>
                <w:rFonts w:ascii="宋体" w:hAnsi="宋体" w:cs="宋体"/>
                <w:kern w:val="0"/>
                <w:sz w:val="21"/>
                <w:szCs w:val="21"/>
              </w:rPr>
            </w:pPr>
            <w:r>
              <w:rPr>
                <w:rFonts w:hint="eastAsia" w:ascii="宋体" w:hAnsi="宋体" w:cs="宋体"/>
                <w:kern w:val="0"/>
                <w:sz w:val="21"/>
                <w:szCs w:val="21"/>
              </w:rPr>
              <w:t>炉体</w:t>
            </w:r>
          </w:p>
        </w:tc>
        <w:tc>
          <w:tcPr>
            <w:tcW w:w="1416"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2t</w:t>
            </w:r>
          </w:p>
        </w:tc>
        <w:tc>
          <w:tcPr>
            <w:tcW w:w="407"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6</w:t>
            </w:r>
          </w:p>
        </w:tc>
        <w:tc>
          <w:tcPr>
            <w:tcW w:w="811" w:type="pct"/>
            <w:noWrap/>
            <w:vAlign w:val="center"/>
          </w:tcPr>
          <w:p>
            <w:pPr>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numPr>
                <w:ilvl w:val="0"/>
                <w:numId w:val="12"/>
              </w:numPr>
              <w:snapToGrid w:val="0"/>
              <w:spacing w:line="240" w:lineRule="auto"/>
              <w:ind w:firstLine="0" w:firstLineChars="0"/>
              <w:jc w:val="center"/>
              <w:rPr>
                <w:rFonts w:ascii="宋体" w:hAnsi="宋体" w:cs="宋体"/>
                <w:b/>
                <w:bCs/>
                <w:kern w:val="0"/>
                <w:sz w:val="21"/>
                <w:szCs w:val="21"/>
              </w:rPr>
            </w:pPr>
          </w:p>
        </w:tc>
        <w:tc>
          <w:tcPr>
            <w:tcW w:w="1865" w:type="pct"/>
            <w:noWrap/>
            <w:vAlign w:val="center"/>
          </w:tcPr>
          <w:p>
            <w:pPr>
              <w:snapToGrid w:val="0"/>
              <w:spacing w:line="240" w:lineRule="auto"/>
              <w:ind w:firstLine="0" w:firstLineChars="0"/>
              <w:rPr>
                <w:rFonts w:ascii="宋体" w:hAnsi="宋体" w:cs="宋体"/>
                <w:kern w:val="0"/>
                <w:sz w:val="21"/>
                <w:szCs w:val="21"/>
              </w:rPr>
            </w:pPr>
            <w:r>
              <w:rPr>
                <w:rFonts w:hint="eastAsia" w:ascii="宋体" w:hAnsi="宋体" w:cs="宋体"/>
                <w:kern w:val="0"/>
                <w:sz w:val="21"/>
                <w:szCs w:val="21"/>
              </w:rPr>
              <w:t>坩埚模</w:t>
            </w:r>
          </w:p>
        </w:tc>
        <w:tc>
          <w:tcPr>
            <w:tcW w:w="1416" w:type="pct"/>
            <w:noWrap/>
            <w:vAlign w:val="center"/>
          </w:tcPr>
          <w:p>
            <w:pPr>
              <w:snapToGrid w:val="0"/>
              <w:spacing w:line="240" w:lineRule="auto"/>
              <w:ind w:firstLine="0" w:firstLineChars="0"/>
              <w:jc w:val="center"/>
              <w:rPr>
                <w:rFonts w:ascii="宋体" w:hAnsi="宋体" w:cs="宋体"/>
                <w:kern w:val="0"/>
                <w:sz w:val="21"/>
                <w:szCs w:val="21"/>
              </w:rPr>
            </w:pPr>
          </w:p>
        </w:tc>
        <w:tc>
          <w:tcPr>
            <w:tcW w:w="407"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6</w:t>
            </w:r>
          </w:p>
        </w:tc>
        <w:tc>
          <w:tcPr>
            <w:tcW w:w="811" w:type="pct"/>
            <w:noWrap/>
            <w:vAlign w:val="center"/>
          </w:tcPr>
          <w:p>
            <w:pPr>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numPr>
                <w:ilvl w:val="0"/>
                <w:numId w:val="12"/>
              </w:numPr>
              <w:snapToGrid w:val="0"/>
              <w:spacing w:line="240" w:lineRule="auto"/>
              <w:ind w:firstLine="0" w:firstLineChars="0"/>
              <w:jc w:val="center"/>
              <w:rPr>
                <w:rFonts w:ascii="宋体" w:hAnsi="宋体" w:cs="宋体"/>
                <w:b/>
                <w:bCs/>
                <w:kern w:val="0"/>
                <w:sz w:val="21"/>
                <w:szCs w:val="21"/>
              </w:rPr>
            </w:pPr>
          </w:p>
        </w:tc>
        <w:tc>
          <w:tcPr>
            <w:tcW w:w="1865" w:type="pct"/>
            <w:noWrap/>
            <w:vAlign w:val="center"/>
          </w:tcPr>
          <w:p>
            <w:pPr>
              <w:snapToGrid w:val="0"/>
              <w:spacing w:line="240" w:lineRule="auto"/>
              <w:ind w:firstLine="0" w:firstLineChars="0"/>
              <w:rPr>
                <w:rFonts w:ascii="宋体" w:hAnsi="宋体" w:cs="宋体"/>
                <w:kern w:val="0"/>
                <w:sz w:val="21"/>
                <w:szCs w:val="21"/>
              </w:rPr>
            </w:pPr>
            <w:r>
              <w:rPr>
                <w:rFonts w:hint="eastAsia" w:ascii="宋体" w:hAnsi="宋体" w:cs="宋体"/>
                <w:kern w:val="0"/>
                <w:sz w:val="21"/>
                <w:szCs w:val="21"/>
              </w:rPr>
              <w:t>液压倾炉操纵台</w:t>
            </w:r>
          </w:p>
        </w:tc>
        <w:tc>
          <w:tcPr>
            <w:tcW w:w="1416"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手动阀操作</w:t>
            </w:r>
          </w:p>
        </w:tc>
        <w:tc>
          <w:tcPr>
            <w:tcW w:w="407"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6</w:t>
            </w:r>
          </w:p>
        </w:tc>
        <w:tc>
          <w:tcPr>
            <w:tcW w:w="811" w:type="pct"/>
            <w:noWrap/>
            <w:vAlign w:val="center"/>
          </w:tcPr>
          <w:p>
            <w:pPr>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numPr>
                <w:ilvl w:val="0"/>
                <w:numId w:val="12"/>
              </w:numPr>
              <w:snapToGrid w:val="0"/>
              <w:spacing w:line="240" w:lineRule="auto"/>
              <w:ind w:firstLine="0" w:firstLineChars="0"/>
              <w:jc w:val="center"/>
              <w:rPr>
                <w:rFonts w:ascii="宋体" w:hAnsi="宋体" w:cs="宋体"/>
                <w:b/>
                <w:bCs/>
                <w:kern w:val="0"/>
                <w:sz w:val="21"/>
                <w:szCs w:val="21"/>
              </w:rPr>
            </w:pPr>
          </w:p>
        </w:tc>
        <w:tc>
          <w:tcPr>
            <w:tcW w:w="1865" w:type="pct"/>
            <w:noWrap/>
            <w:vAlign w:val="center"/>
          </w:tcPr>
          <w:p>
            <w:pPr>
              <w:snapToGrid w:val="0"/>
              <w:spacing w:line="240" w:lineRule="auto"/>
              <w:ind w:firstLine="0" w:firstLineChars="0"/>
              <w:rPr>
                <w:rFonts w:ascii="宋体" w:hAnsi="宋体" w:cs="宋体"/>
                <w:kern w:val="0"/>
                <w:sz w:val="21"/>
                <w:szCs w:val="21"/>
              </w:rPr>
            </w:pPr>
            <w:r>
              <w:rPr>
                <w:rFonts w:hint="eastAsia" w:ascii="宋体" w:hAnsi="宋体" w:cs="宋体"/>
                <w:kern w:val="0"/>
                <w:sz w:val="21"/>
                <w:szCs w:val="21"/>
              </w:rPr>
              <w:t>液压装置</w:t>
            </w:r>
          </w:p>
        </w:tc>
        <w:tc>
          <w:tcPr>
            <w:tcW w:w="1416"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双机双泵</w:t>
            </w:r>
          </w:p>
        </w:tc>
        <w:tc>
          <w:tcPr>
            <w:tcW w:w="407"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3</w:t>
            </w:r>
          </w:p>
        </w:tc>
        <w:tc>
          <w:tcPr>
            <w:tcW w:w="811" w:type="pct"/>
            <w:noWrap/>
            <w:vAlign w:val="center"/>
          </w:tcPr>
          <w:p>
            <w:pPr>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numPr>
                <w:ilvl w:val="0"/>
                <w:numId w:val="12"/>
              </w:numPr>
              <w:snapToGrid w:val="0"/>
              <w:spacing w:line="240" w:lineRule="auto"/>
              <w:ind w:firstLine="0" w:firstLineChars="0"/>
              <w:jc w:val="center"/>
              <w:rPr>
                <w:rFonts w:ascii="宋体" w:hAnsi="宋体" w:cs="宋体"/>
                <w:b/>
                <w:bCs/>
                <w:kern w:val="0"/>
                <w:sz w:val="21"/>
                <w:szCs w:val="21"/>
              </w:rPr>
            </w:pPr>
          </w:p>
        </w:tc>
        <w:tc>
          <w:tcPr>
            <w:tcW w:w="1865" w:type="pct"/>
            <w:noWrap/>
            <w:vAlign w:val="center"/>
          </w:tcPr>
          <w:p>
            <w:pPr>
              <w:snapToGrid w:val="0"/>
              <w:spacing w:line="240" w:lineRule="auto"/>
              <w:ind w:firstLine="0" w:firstLineChars="0"/>
              <w:rPr>
                <w:rFonts w:ascii="宋体" w:hAnsi="宋体" w:cs="宋体"/>
                <w:kern w:val="0"/>
                <w:sz w:val="21"/>
                <w:szCs w:val="21"/>
              </w:rPr>
            </w:pPr>
            <w:r>
              <w:rPr>
                <w:rFonts w:hint="eastAsia" w:ascii="宋体" w:hAnsi="宋体" w:cs="宋体"/>
                <w:kern w:val="0"/>
                <w:sz w:val="21"/>
                <w:szCs w:val="21"/>
              </w:rPr>
              <w:t>水冷电缆</w:t>
            </w:r>
          </w:p>
        </w:tc>
        <w:tc>
          <w:tcPr>
            <w:tcW w:w="1416"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SD400</w:t>
            </w:r>
          </w:p>
        </w:tc>
        <w:tc>
          <w:tcPr>
            <w:tcW w:w="407"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24根</w:t>
            </w:r>
          </w:p>
        </w:tc>
        <w:tc>
          <w:tcPr>
            <w:tcW w:w="811" w:type="pct"/>
            <w:noWrap/>
            <w:vAlign w:val="center"/>
          </w:tcPr>
          <w:p>
            <w:pPr>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numPr>
                <w:ilvl w:val="0"/>
                <w:numId w:val="12"/>
              </w:numPr>
              <w:snapToGrid w:val="0"/>
              <w:spacing w:line="240" w:lineRule="auto"/>
              <w:ind w:firstLine="0" w:firstLineChars="0"/>
              <w:jc w:val="center"/>
              <w:rPr>
                <w:rFonts w:ascii="宋体" w:hAnsi="宋体" w:cs="宋体"/>
                <w:b/>
                <w:bCs/>
                <w:kern w:val="0"/>
                <w:sz w:val="21"/>
                <w:szCs w:val="21"/>
              </w:rPr>
            </w:pPr>
          </w:p>
        </w:tc>
        <w:tc>
          <w:tcPr>
            <w:tcW w:w="1865" w:type="pct"/>
            <w:noWrap/>
            <w:vAlign w:val="center"/>
          </w:tcPr>
          <w:p>
            <w:pPr>
              <w:snapToGrid w:val="0"/>
              <w:spacing w:line="240" w:lineRule="auto"/>
              <w:ind w:firstLine="0" w:firstLineChars="0"/>
              <w:rPr>
                <w:rFonts w:ascii="宋体" w:hAnsi="宋体" w:cs="宋体"/>
                <w:kern w:val="0"/>
                <w:sz w:val="21"/>
                <w:szCs w:val="21"/>
              </w:rPr>
            </w:pPr>
            <w:r>
              <w:rPr>
                <w:rFonts w:hint="eastAsia" w:ascii="宋体" w:hAnsi="宋体" w:cs="宋体"/>
                <w:kern w:val="0"/>
                <w:sz w:val="21"/>
                <w:szCs w:val="21"/>
              </w:rPr>
              <w:t>主回路铜排</w:t>
            </w:r>
          </w:p>
        </w:tc>
        <w:tc>
          <w:tcPr>
            <w:tcW w:w="1416" w:type="pct"/>
            <w:noWrap/>
            <w:vAlign w:val="center"/>
          </w:tcPr>
          <w:p>
            <w:pPr>
              <w:snapToGrid w:val="0"/>
              <w:spacing w:line="240" w:lineRule="auto"/>
              <w:ind w:firstLine="0" w:firstLineChars="0"/>
              <w:jc w:val="center"/>
              <w:rPr>
                <w:rFonts w:ascii="宋体" w:hAnsi="宋体" w:cs="宋体"/>
                <w:kern w:val="0"/>
                <w:sz w:val="21"/>
                <w:szCs w:val="21"/>
              </w:rPr>
            </w:pPr>
          </w:p>
        </w:tc>
        <w:tc>
          <w:tcPr>
            <w:tcW w:w="407"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3套</w:t>
            </w:r>
          </w:p>
        </w:tc>
        <w:tc>
          <w:tcPr>
            <w:tcW w:w="811" w:type="pct"/>
            <w:noWrap/>
            <w:vAlign w:val="center"/>
          </w:tcPr>
          <w:p>
            <w:pPr>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snapToGrid w:val="0"/>
              <w:spacing w:line="240" w:lineRule="auto"/>
              <w:ind w:firstLine="0" w:firstLineChars="0"/>
              <w:jc w:val="center"/>
              <w:rPr>
                <w:rFonts w:ascii="宋体" w:hAnsi="宋体" w:cs="宋体"/>
                <w:b/>
                <w:bCs/>
                <w:kern w:val="0"/>
                <w:sz w:val="21"/>
                <w:szCs w:val="21"/>
              </w:rPr>
            </w:pPr>
            <w:r>
              <w:rPr>
                <w:rFonts w:hint="eastAsia" w:ascii="宋体" w:hAnsi="宋体" w:cs="宋体"/>
                <w:b/>
                <w:bCs/>
                <w:kern w:val="0"/>
                <w:sz w:val="21"/>
                <w:szCs w:val="21"/>
              </w:rPr>
              <w:t>(2)</w:t>
            </w:r>
          </w:p>
        </w:tc>
        <w:tc>
          <w:tcPr>
            <w:tcW w:w="1865" w:type="pct"/>
            <w:noWrap/>
            <w:vAlign w:val="center"/>
          </w:tcPr>
          <w:p>
            <w:pPr>
              <w:snapToGrid w:val="0"/>
              <w:spacing w:line="240" w:lineRule="auto"/>
              <w:ind w:firstLine="0" w:firstLineChars="0"/>
              <w:rPr>
                <w:rFonts w:ascii="宋体" w:hAnsi="宋体" w:cs="宋体"/>
                <w:kern w:val="0"/>
                <w:sz w:val="21"/>
                <w:szCs w:val="21"/>
              </w:rPr>
            </w:pPr>
            <w:r>
              <w:rPr>
                <w:rFonts w:hint="eastAsia" w:ascii="宋体" w:hAnsi="宋体" w:cs="宋体"/>
                <w:kern w:val="0"/>
                <w:sz w:val="21"/>
                <w:szCs w:val="21"/>
              </w:rPr>
              <w:t>电源变压器、冷却水系统</w:t>
            </w:r>
          </w:p>
        </w:tc>
        <w:tc>
          <w:tcPr>
            <w:tcW w:w="1416" w:type="pct"/>
            <w:noWrap/>
            <w:vAlign w:val="center"/>
          </w:tcPr>
          <w:p>
            <w:pPr>
              <w:snapToGrid w:val="0"/>
              <w:spacing w:line="240" w:lineRule="auto"/>
              <w:ind w:firstLine="0" w:firstLineChars="0"/>
              <w:jc w:val="center"/>
              <w:rPr>
                <w:rFonts w:ascii="宋体" w:hAnsi="宋体" w:cs="宋体"/>
                <w:kern w:val="0"/>
                <w:sz w:val="21"/>
                <w:szCs w:val="21"/>
              </w:rPr>
            </w:pPr>
          </w:p>
        </w:tc>
        <w:tc>
          <w:tcPr>
            <w:tcW w:w="407" w:type="pct"/>
            <w:noWrap/>
            <w:vAlign w:val="center"/>
          </w:tcPr>
          <w:p>
            <w:pPr>
              <w:snapToGrid w:val="0"/>
              <w:spacing w:line="240" w:lineRule="auto"/>
              <w:ind w:firstLine="0" w:firstLineChars="0"/>
              <w:jc w:val="center"/>
              <w:rPr>
                <w:rFonts w:ascii="宋体" w:hAnsi="宋体" w:cs="宋体"/>
                <w:kern w:val="0"/>
                <w:sz w:val="21"/>
                <w:szCs w:val="21"/>
              </w:rPr>
            </w:pPr>
          </w:p>
        </w:tc>
        <w:tc>
          <w:tcPr>
            <w:tcW w:w="811" w:type="pct"/>
            <w:noWrap/>
            <w:vAlign w:val="center"/>
          </w:tcPr>
          <w:p>
            <w:pPr>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numPr>
                <w:ilvl w:val="0"/>
                <w:numId w:val="13"/>
              </w:numPr>
              <w:snapToGrid w:val="0"/>
              <w:spacing w:line="240" w:lineRule="auto"/>
              <w:ind w:firstLine="0" w:firstLineChars="0"/>
              <w:jc w:val="center"/>
              <w:rPr>
                <w:rFonts w:ascii="宋体" w:hAnsi="宋体" w:cs="宋体"/>
                <w:b/>
                <w:bCs/>
                <w:kern w:val="0"/>
                <w:sz w:val="21"/>
                <w:szCs w:val="21"/>
              </w:rPr>
            </w:pPr>
          </w:p>
        </w:tc>
        <w:tc>
          <w:tcPr>
            <w:tcW w:w="1865" w:type="pct"/>
            <w:noWrap/>
            <w:vAlign w:val="center"/>
          </w:tcPr>
          <w:p>
            <w:pPr>
              <w:snapToGrid w:val="0"/>
              <w:spacing w:line="240" w:lineRule="auto"/>
              <w:ind w:firstLine="0" w:firstLineChars="0"/>
              <w:rPr>
                <w:rFonts w:ascii="宋体" w:hAnsi="宋体" w:cs="宋体"/>
                <w:kern w:val="0"/>
                <w:sz w:val="21"/>
                <w:szCs w:val="21"/>
              </w:rPr>
            </w:pPr>
            <w:r>
              <w:rPr>
                <w:rFonts w:hint="eastAsia" w:ascii="宋体" w:hAnsi="宋体" w:cs="宋体"/>
                <w:kern w:val="0"/>
                <w:sz w:val="21"/>
                <w:szCs w:val="21"/>
              </w:rPr>
              <w:t>整流变压器</w:t>
            </w:r>
          </w:p>
        </w:tc>
        <w:tc>
          <w:tcPr>
            <w:tcW w:w="1416"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ZS－1200KVA</w:t>
            </w:r>
          </w:p>
        </w:tc>
        <w:tc>
          <w:tcPr>
            <w:tcW w:w="407"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3</w:t>
            </w:r>
          </w:p>
        </w:tc>
        <w:tc>
          <w:tcPr>
            <w:tcW w:w="811" w:type="pct"/>
            <w:noWrap/>
            <w:vAlign w:val="center"/>
          </w:tcPr>
          <w:p>
            <w:pPr>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numPr>
                <w:ilvl w:val="0"/>
                <w:numId w:val="13"/>
              </w:numPr>
              <w:snapToGrid w:val="0"/>
              <w:spacing w:line="240" w:lineRule="auto"/>
              <w:ind w:firstLine="0" w:firstLineChars="0"/>
              <w:jc w:val="center"/>
              <w:rPr>
                <w:rFonts w:ascii="宋体" w:hAnsi="宋体" w:cs="宋体"/>
                <w:b/>
                <w:bCs/>
                <w:kern w:val="0"/>
                <w:sz w:val="21"/>
                <w:szCs w:val="21"/>
              </w:rPr>
            </w:pPr>
          </w:p>
        </w:tc>
        <w:tc>
          <w:tcPr>
            <w:tcW w:w="1865" w:type="pct"/>
            <w:noWrap/>
            <w:vAlign w:val="center"/>
          </w:tcPr>
          <w:p>
            <w:pPr>
              <w:snapToGrid w:val="0"/>
              <w:spacing w:line="240" w:lineRule="auto"/>
              <w:ind w:firstLine="0" w:firstLineChars="0"/>
              <w:rPr>
                <w:rFonts w:ascii="宋体" w:hAnsi="宋体" w:cs="宋体"/>
                <w:kern w:val="0"/>
                <w:sz w:val="21"/>
                <w:szCs w:val="21"/>
              </w:rPr>
            </w:pPr>
            <w:r>
              <w:rPr>
                <w:rFonts w:hint="eastAsia" w:ascii="宋体" w:hAnsi="宋体" w:cs="宋体"/>
                <w:kern w:val="0"/>
                <w:sz w:val="21"/>
                <w:szCs w:val="21"/>
              </w:rPr>
              <w:t>电源全封闭冷却塔</w:t>
            </w:r>
          </w:p>
        </w:tc>
        <w:tc>
          <w:tcPr>
            <w:tcW w:w="1416" w:type="pct"/>
            <w:noWrap/>
            <w:vAlign w:val="center"/>
          </w:tcPr>
          <w:p>
            <w:pPr>
              <w:snapToGrid w:val="0"/>
              <w:spacing w:line="240" w:lineRule="auto"/>
              <w:ind w:firstLine="0" w:firstLineChars="0"/>
              <w:jc w:val="center"/>
              <w:rPr>
                <w:rFonts w:ascii="宋体" w:hAnsi="宋体" w:cs="宋体"/>
                <w:kern w:val="0"/>
                <w:sz w:val="21"/>
                <w:szCs w:val="21"/>
              </w:rPr>
            </w:pPr>
          </w:p>
        </w:tc>
        <w:tc>
          <w:tcPr>
            <w:tcW w:w="407"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1</w:t>
            </w:r>
          </w:p>
        </w:tc>
        <w:tc>
          <w:tcPr>
            <w:tcW w:w="811" w:type="pct"/>
            <w:noWrap/>
            <w:vAlign w:val="center"/>
          </w:tcPr>
          <w:p>
            <w:pPr>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numPr>
                <w:ilvl w:val="0"/>
                <w:numId w:val="13"/>
              </w:numPr>
              <w:snapToGrid w:val="0"/>
              <w:spacing w:line="240" w:lineRule="auto"/>
              <w:ind w:firstLine="0" w:firstLineChars="0"/>
              <w:jc w:val="center"/>
              <w:rPr>
                <w:rFonts w:ascii="宋体" w:hAnsi="宋体" w:cs="宋体"/>
                <w:b/>
                <w:bCs/>
                <w:kern w:val="0"/>
                <w:sz w:val="21"/>
                <w:szCs w:val="21"/>
              </w:rPr>
            </w:pPr>
          </w:p>
        </w:tc>
        <w:tc>
          <w:tcPr>
            <w:tcW w:w="1865" w:type="pct"/>
            <w:noWrap/>
            <w:vAlign w:val="center"/>
          </w:tcPr>
          <w:p>
            <w:pPr>
              <w:snapToGrid w:val="0"/>
              <w:spacing w:line="240" w:lineRule="auto"/>
              <w:ind w:firstLine="0" w:firstLineChars="0"/>
              <w:rPr>
                <w:rFonts w:ascii="宋体" w:hAnsi="宋体" w:cs="宋体"/>
                <w:kern w:val="0"/>
                <w:sz w:val="21"/>
                <w:szCs w:val="21"/>
              </w:rPr>
            </w:pPr>
            <w:r>
              <w:rPr>
                <w:rFonts w:hint="eastAsia" w:ascii="宋体" w:hAnsi="宋体" w:cs="宋体"/>
                <w:kern w:val="0"/>
                <w:sz w:val="21"/>
                <w:szCs w:val="21"/>
              </w:rPr>
              <w:t>电炉开式冷却塔</w:t>
            </w:r>
          </w:p>
        </w:tc>
        <w:tc>
          <w:tcPr>
            <w:tcW w:w="1416" w:type="pct"/>
            <w:noWrap/>
            <w:vAlign w:val="center"/>
          </w:tcPr>
          <w:p>
            <w:pPr>
              <w:snapToGrid w:val="0"/>
              <w:spacing w:line="240" w:lineRule="auto"/>
              <w:ind w:firstLine="0" w:firstLineChars="0"/>
              <w:jc w:val="center"/>
              <w:rPr>
                <w:rFonts w:ascii="宋体" w:hAnsi="宋体" w:cs="宋体"/>
                <w:kern w:val="0"/>
                <w:sz w:val="21"/>
                <w:szCs w:val="21"/>
              </w:rPr>
            </w:pPr>
          </w:p>
        </w:tc>
        <w:tc>
          <w:tcPr>
            <w:tcW w:w="407"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1</w:t>
            </w:r>
          </w:p>
        </w:tc>
        <w:tc>
          <w:tcPr>
            <w:tcW w:w="811" w:type="pct"/>
            <w:noWrap/>
            <w:vAlign w:val="center"/>
          </w:tcPr>
          <w:p>
            <w:pPr>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numPr>
                <w:ilvl w:val="0"/>
                <w:numId w:val="13"/>
              </w:numPr>
              <w:snapToGrid w:val="0"/>
              <w:spacing w:line="240" w:lineRule="auto"/>
              <w:ind w:firstLine="0" w:firstLineChars="0"/>
              <w:jc w:val="center"/>
              <w:rPr>
                <w:rFonts w:ascii="宋体" w:hAnsi="宋体" w:cs="宋体"/>
                <w:b/>
                <w:bCs/>
                <w:kern w:val="0"/>
                <w:sz w:val="21"/>
                <w:szCs w:val="21"/>
              </w:rPr>
            </w:pPr>
          </w:p>
        </w:tc>
        <w:tc>
          <w:tcPr>
            <w:tcW w:w="1865" w:type="pct"/>
            <w:noWrap/>
            <w:vAlign w:val="center"/>
          </w:tcPr>
          <w:p>
            <w:pPr>
              <w:snapToGrid w:val="0"/>
              <w:spacing w:line="240" w:lineRule="auto"/>
              <w:ind w:firstLine="0" w:firstLineChars="0"/>
              <w:rPr>
                <w:rFonts w:ascii="宋体" w:hAnsi="宋体" w:cs="宋体"/>
                <w:kern w:val="0"/>
                <w:sz w:val="21"/>
                <w:szCs w:val="21"/>
              </w:rPr>
            </w:pPr>
            <w:r>
              <w:rPr>
                <w:rFonts w:hint="eastAsia" w:ascii="宋体" w:hAnsi="宋体" w:cs="宋体"/>
                <w:kern w:val="0"/>
                <w:sz w:val="21"/>
                <w:szCs w:val="21"/>
              </w:rPr>
              <w:t>水循环冷却泵站</w:t>
            </w:r>
          </w:p>
        </w:tc>
        <w:tc>
          <w:tcPr>
            <w:tcW w:w="1416" w:type="pct"/>
            <w:noWrap/>
            <w:vAlign w:val="center"/>
          </w:tcPr>
          <w:p>
            <w:pPr>
              <w:snapToGrid w:val="0"/>
              <w:spacing w:line="240" w:lineRule="auto"/>
              <w:ind w:firstLine="0" w:firstLineChars="0"/>
              <w:jc w:val="center"/>
              <w:rPr>
                <w:rFonts w:ascii="宋体" w:hAnsi="宋体" w:cs="宋体"/>
                <w:kern w:val="0"/>
                <w:sz w:val="21"/>
                <w:szCs w:val="21"/>
              </w:rPr>
            </w:pPr>
          </w:p>
        </w:tc>
        <w:tc>
          <w:tcPr>
            <w:tcW w:w="407"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1</w:t>
            </w:r>
          </w:p>
        </w:tc>
        <w:tc>
          <w:tcPr>
            <w:tcW w:w="811" w:type="pct"/>
            <w:noWrap/>
            <w:vAlign w:val="center"/>
          </w:tcPr>
          <w:p>
            <w:pPr>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snapToGrid w:val="0"/>
              <w:spacing w:line="240" w:lineRule="auto"/>
              <w:ind w:firstLine="0" w:firstLineChars="0"/>
              <w:jc w:val="center"/>
              <w:rPr>
                <w:rFonts w:ascii="宋体" w:hAnsi="宋体" w:cs="宋体"/>
                <w:b/>
                <w:bCs/>
                <w:kern w:val="0"/>
                <w:sz w:val="21"/>
                <w:szCs w:val="21"/>
              </w:rPr>
            </w:pPr>
            <w:r>
              <w:rPr>
                <w:rFonts w:hint="eastAsia" w:ascii="宋体" w:hAnsi="宋体" w:cs="宋体"/>
                <w:b/>
                <w:bCs/>
                <w:kern w:val="0"/>
                <w:sz w:val="21"/>
                <w:szCs w:val="21"/>
              </w:rPr>
              <w:t>（3）</w:t>
            </w:r>
          </w:p>
        </w:tc>
        <w:tc>
          <w:tcPr>
            <w:tcW w:w="1865" w:type="pct"/>
            <w:noWrap/>
            <w:vAlign w:val="center"/>
          </w:tcPr>
          <w:p>
            <w:pPr>
              <w:snapToGrid w:val="0"/>
              <w:spacing w:line="240" w:lineRule="auto"/>
              <w:ind w:firstLine="0" w:firstLineChars="0"/>
              <w:rPr>
                <w:rFonts w:ascii="宋体" w:hAnsi="宋体" w:cs="宋体"/>
                <w:kern w:val="0"/>
                <w:sz w:val="21"/>
                <w:szCs w:val="21"/>
              </w:rPr>
            </w:pPr>
            <w:r>
              <w:rPr>
                <w:rFonts w:hint="eastAsia" w:ascii="宋体" w:hAnsi="宋体" w:cs="宋体"/>
                <w:kern w:val="0"/>
                <w:sz w:val="21"/>
                <w:szCs w:val="21"/>
              </w:rPr>
              <w:t>柴油发电机组（紧急备用电源）</w:t>
            </w:r>
          </w:p>
        </w:tc>
        <w:tc>
          <w:tcPr>
            <w:tcW w:w="1416" w:type="pct"/>
            <w:noWrap/>
            <w:vAlign w:val="center"/>
          </w:tcPr>
          <w:p>
            <w:pPr>
              <w:snapToGrid w:val="0"/>
              <w:spacing w:line="240" w:lineRule="auto"/>
              <w:ind w:firstLine="0" w:firstLineChars="0"/>
              <w:jc w:val="center"/>
              <w:rPr>
                <w:rFonts w:ascii="宋体" w:hAnsi="宋体" w:cs="宋体"/>
                <w:kern w:val="0"/>
                <w:sz w:val="21"/>
                <w:szCs w:val="21"/>
              </w:rPr>
            </w:pPr>
          </w:p>
        </w:tc>
        <w:tc>
          <w:tcPr>
            <w:tcW w:w="407"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1</w:t>
            </w:r>
          </w:p>
        </w:tc>
        <w:tc>
          <w:tcPr>
            <w:tcW w:w="811" w:type="pct"/>
            <w:noWrap/>
            <w:vAlign w:val="center"/>
          </w:tcPr>
          <w:p>
            <w:pPr>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snapToGrid w:val="0"/>
              <w:spacing w:line="240" w:lineRule="auto"/>
              <w:ind w:firstLine="0" w:firstLineChars="0"/>
              <w:jc w:val="center"/>
              <w:rPr>
                <w:rFonts w:ascii="宋体" w:hAnsi="宋体" w:cs="宋体"/>
                <w:b/>
                <w:bCs/>
                <w:kern w:val="0"/>
                <w:sz w:val="21"/>
                <w:szCs w:val="21"/>
              </w:rPr>
            </w:pPr>
            <w:r>
              <w:rPr>
                <w:rFonts w:hint="eastAsia" w:ascii="宋体" w:hAnsi="宋体" w:cs="宋体"/>
                <w:b/>
                <w:bCs/>
                <w:kern w:val="0"/>
                <w:sz w:val="21"/>
                <w:szCs w:val="21"/>
              </w:rPr>
              <w:t>2</w:t>
            </w:r>
          </w:p>
        </w:tc>
        <w:tc>
          <w:tcPr>
            <w:tcW w:w="1865" w:type="pct"/>
            <w:noWrap/>
            <w:vAlign w:val="center"/>
          </w:tcPr>
          <w:p>
            <w:pPr>
              <w:snapToGrid w:val="0"/>
              <w:spacing w:line="240" w:lineRule="auto"/>
              <w:ind w:firstLine="0" w:firstLineChars="0"/>
              <w:rPr>
                <w:rFonts w:ascii="宋体" w:hAnsi="宋体" w:cs="宋体"/>
                <w:kern w:val="0"/>
                <w:sz w:val="21"/>
                <w:szCs w:val="21"/>
              </w:rPr>
            </w:pPr>
            <w:r>
              <w:rPr>
                <w:rFonts w:hint="eastAsia" w:ascii="宋体" w:hAnsi="宋体" w:cs="宋体"/>
                <w:kern w:val="0"/>
                <w:sz w:val="21"/>
                <w:szCs w:val="21"/>
              </w:rPr>
              <w:t>铁水包</w:t>
            </w:r>
          </w:p>
        </w:tc>
        <w:tc>
          <w:tcPr>
            <w:tcW w:w="1416" w:type="pct"/>
            <w:noWrap/>
            <w:vAlign w:val="center"/>
          </w:tcPr>
          <w:p>
            <w:pPr>
              <w:snapToGrid w:val="0"/>
              <w:spacing w:line="240" w:lineRule="auto"/>
              <w:ind w:firstLine="0" w:firstLineChars="0"/>
              <w:jc w:val="center"/>
              <w:rPr>
                <w:rFonts w:ascii="宋体" w:hAnsi="宋体" w:cs="宋体"/>
                <w:kern w:val="0"/>
                <w:sz w:val="21"/>
                <w:szCs w:val="21"/>
              </w:rPr>
            </w:pPr>
          </w:p>
        </w:tc>
        <w:tc>
          <w:tcPr>
            <w:tcW w:w="407"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6</w:t>
            </w:r>
          </w:p>
        </w:tc>
        <w:tc>
          <w:tcPr>
            <w:tcW w:w="811" w:type="pct"/>
            <w:noWrap/>
            <w:vAlign w:val="center"/>
          </w:tcPr>
          <w:p>
            <w:pPr>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snapToGrid w:val="0"/>
              <w:spacing w:line="240" w:lineRule="auto"/>
              <w:ind w:firstLine="0" w:firstLineChars="0"/>
              <w:jc w:val="center"/>
              <w:rPr>
                <w:rFonts w:ascii="宋体" w:hAnsi="宋体" w:cs="宋体"/>
                <w:b/>
                <w:bCs/>
                <w:kern w:val="0"/>
                <w:sz w:val="21"/>
                <w:szCs w:val="21"/>
              </w:rPr>
            </w:pPr>
            <w:r>
              <w:rPr>
                <w:rFonts w:hint="eastAsia" w:ascii="宋体" w:hAnsi="宋体" w:cs="宋体"/>
                <w:b/>
                <w:bCs/>
                <w:kern w:val="0"/>
                <w:sz w:val="21"/>
                <w:szCs w:val="21"/>
              </w:rPr>
              <w:t>（四）</w:t>
            </w:r>
          </w:p>
        </w:tc>
        <w:tc>
          <w:tcPr>
            <w:tcW w:w="1865" w:type="pct"/>
            <w:noWrap/>
            <w:vAlign w:val="center"/>
          </w:tcPr>
          <w:p>
            <w:pPr>
              <w:snapToGrid w:val="0"/>
              <w:spacing w:line="240" w:lineRule="auto"/>
              <w:ind w:firstLine="0" w:firstLineChars="0"/>
              <w:jc w:val="center"/>
              <w:rPr>
                <w:rFonts w:ascii="宋体" w:hAnsi="宋体" w:cs="宋体"/>
                <w:b/>
                <w:bCs/>
                <w:kern w:val="0"/>
                <w:sz w:val="21"/>
                <w:szCs w:val="21"/>
              </w:rPr>
            </w:pPr>
            <w:r>
              <w:rPr>
                <w:rFonts w:hint="eastAsia" w:ascii="宋体" w:hAnsi="宋体" w:cs="宋体"/>
                <w:b/>
                <w:bCs/>
                <w:kern w:val="0"/>
                <w:sz w:val="21"/>
                <w:szCs w:val="21"/>
              </w:rPr>
              <w:t>清理及热处理</w:t>
            </w:r>
          </w:p>
        </w:tc>
        <w:tc>
          <w:tcPr>
            <w:tcW w:w="1416" w:type="pct"/>
            <w:noWrap/>
            <w:vAlign w:val="center"/>
          </w:tcPr>
          <w:p>
            <w:pPr>
              <w:snapToGrid w:val="0"/>
              <w:spacing w:line="240" w:lineRule="auto"/>
              <w:ind w:firstLine="0" w:firstLineChars="0"/>
              <w:jc w:val="center"/>
              <w:rPr>
                <w:rFonts w:ascii="宋体" w:hAnsi="宋体" w:cs="宋体"/>
                <w:kern w:val="0"/>
                <w:sz w:val="21"/>
                <w:szCs w:val="21"/>
              </w:rPr>
            </w:pPr>
          </w:p>
        </w:tc>
        <w:tc>
          <w:tcPr>
            <w:tcW w:w="407" w:type="pct"/>
            <w:noWrap/>
            <w:vAlign w:val="center"/>
          </w:tcPr>
          <w:p>
            <w:pPr>
              <w:snapToGrid w:val="0"/>
              <w:spacing w:line="240" w:lineRule="auto"/>
              <w:ind w:firstLine="0" w:firstLineChars="0"/>
              <w:jc w:val="center"/>
              <w:rPr>
                <w:rFonts w:ascii="宋体" w:hAnsi="宋体" w:cs="宋体"/>
                <w:kern w:val="0"/>
                <w:sz w:val="21"/>
                <w:szCs w:val="21"/>
              </w:rPr>
            </w:pPr>
          </w:p>
        </w:tc>
        <w:tc>
          <w:tcPr>
            <w:tcW w:w="811" w:type="pct"/>
            <w:noWrap/>
            <w:vAlign w:val="center"/>
          </w:tcPr>
          <w:p>
            <w:pPr>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numPr>
                <w:ilvl w:val="0"/>
                <w:numId w:val="14"/>
              </w:numPr>
              <w:snapToGrid w:val="0"/>
              <w:spacing w:line="240" w:lineRule="auto"/>
              <w:ind w:firstLineChars="0"/>
              <w:jc w:val="center"/>
              <w:rPr>
                <w:rFonts w:ascii="宋体" w:hAnsi="宋体" w:cs="宋体"/>
                <w:b/>
                <w:bCs/>
                <w:kern w:val="0"/>
                <w:sz w:val="21"/>
                <w:szCs w:val="21"/>
              </w:rPr>
            </w:pPr>
          </w:p>
        </w:tc>
        <w:tc>
          <w:tcPr>
            <w:tcW w:w="1865" w:type="pct"/>
            <w:noWrap/>
            <w:vAlign w:val="center"/>
          </w:tcPr>
          <w:p>
            <w:pPr>
              <w:snapToGrid w:val="0"/>
              <w:spacing w:line="240" w:lineRule="auto"/>
              <w:ind w:firstLine="0" w:firstLineChars="0"/>
              <w:rPr>
                <w:rFonts w:ascii="宋体" w:hAnsi="宋体" w:cs="宋体"/>
                <w:kern w:val="0"/>
                <w:sz w:val="21"/>
                <w:szCs w:val="21"/>
              </w:rPr>
            </w:pPr>
            <w:r>
              <w:rPr>
                <w:rFonts w:hint="eastAsia" w:ascii="宋体" w:hAnsi="宋体" w:cs="宋体"/>
                <w:kern w:val="0"/>
                <w:sz w:val="21"/>
                <w:szCs w:val="21"/>
              </w:rPr>
              <w:t>除尘系统</w:t>
            </w:r>
          </w:p>
        </w:tc>
        <w:tc>
          <w:tcPr>
            <w:tcW w:w="1416" w:type="pct"/>
            <w:noWrap/>
            <w:vAlign w:val="center"/>
          </w:tcPr>
          <w:p>
            <w:pPr>
              <w:snapToGrid w:val="0"/>
              <w:spacing w:line="240" w:lineRule="auto"/>
              <w:ind w:firstLine="0" w:firstLineChars="0"/>
              <w:jc w:val="center"/>
              <w:rPr>
                <w:rFonts w:ascii="宋体" w:hAnsi="宋体" w:cs="宋体"/>
                <w:kern w:val="0"/>
                <w:sz w:val="21"/>
                <w:szCs w:val="21"/>
              </w:rPr>
            </w:pPr>
          </w:p>
        </w:tc>
        <w:tc>
          <w:tcPr>
            <w:tcW w:w="407"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2</w:t>
            </w:r>
          </w:p>
        </w:tc>
        <w:tc>
          <w:tcPr>
            <w:tcW w:w="811" w:type="pct"/>
            <w:noWrap/>
            <w:vAlign w:val="center"/>
          </w:tcPr>
          <w:p>
            <w:pPr>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numPr>
                <w:ilvl w:val="0"/>
                <w:numId w:val="14"/>
              </w:numPr>
              <w:snapToGrid w:val="0"/>
              <w:spacing w:line="240" w:lineRule="auto"/>
              <w:ind w:firstLineChars="0"/>
              <w:jc w:val="center"/>
              <w:rPr>
                <w:rFonts w:ascii="宋体" w:hAnsi="宋体" w:cs="宋体"/>
                <w:b/>
                <w:bCs/>
                <w:kern w:val="0"/>
                <w:sz w:val="21"/>
                <w:szCs w:val="21"/>
              </w:rPr>
            </w:pPr>
          </w:p>
        </w:tc>
        <w:tc>
          <w:tcPr>
            <w:tcW w:w="1865" w:type="pct"/>
            <w:noWrap/>
            <w:vAlign w:val="center"/>
          </w:tcPr>
          <w:p>
            <w:pPr>
              <w:snapToGrid w:val="0"/>
              <w:spacing w:line="240" w:lineRule="auto"/>
              <w:ind w:firstLine="0" w:firstLineChars="0"/>
              <w:rPr>
                <w:rFonts w:ascii="宋体" w:hAnsi="宋体" w:cs="宋体"/>
                <w:kern w:val="0"/>
                <w:sz w:val="21"/>
                <w:szCs w:val="21"/>
              </w:rPr>
            </w:pPr>
            <w:r>
              <w:rPr>
                <w:rFonts w:hint="eastAsia" w:ascii="宋体" w:hAnsi="宋体" w:cs="宋体"/>
                <w:kern w:val="0"/>
                <w:sz w:val="21"/>
                <w:szCs w:val="21"/>
              </w:rPr>
              <w:t>抛丸清理机</w:t>
            </w:r>
          </w:p>
        </w:tc>
        <w:tc>
          <w:tcPr>
            <w:tcW w:w="1416"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Q378</w:t>
            </w:r>
          </w:p>
        </w:tc>
        <w:tc>
          <w:tcPr>
            <w:tcW w:w="407"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2</w:t>
            </w:r>
          </w:p>
        </w:tc>
        <w:tc>
          <w:tcPr>
            <w:tcW w:w="811" w:type="pct"/>
            <w:noWrap/>
            <w:vAlign w:val="center"/>
          </w:tcPr>
          <w:p>
            <w:pPr>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numPr>
                <w:ilvl w:val="0"/>
                <w:numId w:val="14"/>
              </w:numPr>
              <w:snapToGrid w:val="0"/>
              <w:spacing w:line="240" w:lineRule="auto"/>
              <w:ind w:firstLineChars="0"/>
              <w:jc w:val="center"/>
              <w:rPr>
                <w:rFonts w:ascii="宋体" w:hAnsi="宋体" w:cs="宋体"/>
                <w:b/>
                <w:bCs/>
                <w:kern w:val="0"/>
                <w:sz w:val="21"/>
                <w:szCs w:val="21"/>
              </w:rPr>
            </w:pPr>
          </w:p>
        </w:tc>
        <w:tc>
          <w:tcPr>
            <w:tcW w:w="1865" w:type="pct"/>
            <w:noWrap/>
            <w:vAlign w:val="center"/>
          </w:tcPr>
          <w:p>
            <w:pPr>
              <w:snapToGrid w:val="0"/>
              <w:spacing w:line="240" w:lineRule="auto"/>
              <w:ind w:firstLine="0" w:firstLineChars="0"/>
              <w:rPr>
                <w:rFonts w:ascii="宋体" w:hAnsi="宋体" w:cs="宋体"/>
                <w:kern w:val="0"/>
                <w:sz w:val="21"/>
                <w:szCs w:val="21"/>
              </w:rPr>
            </w:pPr>
            <w:r>
              <w:rPr>
                <w:rFonts w:hint="eastAsia" w:ascii="宋体" w:hAnsi="宋体" w:cs="宋体"/>
                <w:kern w:val="0"/>
                <w:sz w:val="21"/>
                <w:szCs w:val="21"/>
              </w:rPr>
              <w:t>热处理炉</w:t>
            </w:r>
          </w:p>
        </w:tc>
        <w:tc>
          <w:tcPr>
            <w:tcW w:w="1416" w:type="pct"/>
            <w:noWrap/>
            <w:vAlign w:val="center"/>
          </w:tcPr>
          <w:p>
            <w:pPr>
              <w:snapToGrid w:val="0"/>
              <w:spacing w:line="240" w:lineRule="auto"/>
              <w:ind w:firstLine="0" w:firstLineChars="0"/>
              <w:jc w:val="center"/>
              <w:rPr>
                <w:rFonts w:ascii="宋体" w:hAnsi="宋体" w:cs="宋体"/>
                <w:kern w:val="0"/>
                <w:sz w:val="21"/>
                <w:szCs w:val="21"/>
              </w:rPr>
            </w:pPr>
          </w:p>
        </w:tc>
        <w:tc>
          <w:tcPr>
            <w:tcW w:w="407"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1</w:t>
            </w:r>
          </w:p>
        </w:tc>
        <w:tc>
          <w:tcPr>
            <w:tcW w:w="811" w:type="pct"/>
            <w:noWrap/>
            <w:vAlign w:val="center"/>
          </w:tcPr>
          <w:p>
            <w:pPr>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snapToGrid w:val="0"/>
              <w:spacing w:line="240" w:lineRule="auto"/>
              <w:ind w:firstLine="0" w:firstLineChars="0"/>
              <w:jc w:val="center"/>
              <w:rPr>
                <w:rFonts w:ascii="宋体" w:hAnsi="宋体" w:cs="宋体"/>
                <w:b/>
                <w:bCs/>
                <w:kern w:val="0"/>
                <w:sz w:val="21"/>
                <w:szCs w:val="21"/>
              </w:rPr>
            </w:pPr>
            <w:r>
              <w:rPr>
                <w:rFonts w:hint="eastAsia" w:ascii="宋体" w:hAnsi="宋体" w:cs="宋体"/>
                <w:b/>
                <w:bCs/>
                <w:kern w:val="0"/>
                <w:sz w:val="21"/>
                <w:szCs w:val="21"/>
              </w:rPr>
              <w:t>（五）</w:t>
            </w:r>
          </w:p>
        </w:tc>
        <w:tc>
          <w:tcPr>
            <w:tcW w:w="1865" w:type="pct"/>
            <w:noWrap/>
            <w:vAlign w:val="center"/>
          </w:tcPr>
          <w:p>
            <w:pPr>
              <w:snapToGrid w:val="0"/>
              <w:spacing w:line="240" w:lineRule="auto"/>
              <w:ind w:firstLine="0" w:firstLineChars="0"/>
              <w:jc w:val="center"/>
              <w:rPr>
                <w:rFonts w:ascii="宋体" w:hAnsi="宋体" w:cs="宋体"/>
                <w:b/>
                <w:bCs/>
                <w:kern w:val="0"/>
                <w:sz w:val="21"/>
                <w:szCs w:val="21"/>
              </w:rPr>
            </w:pPr>
            <w:r>
              <w:rPr>
                <w:rFonts w:hint="eastAsia" w:ascii="宋体" w:hAnsi="宋体" w:cs="宋体"/>
                <w:b/>
                <w:bCs/>
                <w:kern w:val="0"/>
                <w:sz w:val="21"/>
                <w:szCs w:val="21"/>
              </w:rPr>
              <w:t>检测设备</w:t>
            </w:r>
          </w:p>
        </w:tc>
        <w:tc>
          <w:tcPr>
            <w:tcW w:w="1416" w:type="pct"/>
            <w:noWrap/>
            <w:vAlign w:val="center"/>
          </w:tcPr>
          <w:p>
            <w:pPr>
              <w:snapToGrid w:val="0"/>
              <w:spacing w:line="240" w:lineRule="auto"/>
              <w:ind w:firstLine="0" w:firstLineChars="0"/>
              <w:jc w:val="center"/>
              <w:rPr>
                <w:rFonts w:ascii="宋体" w:hAnsi="宋体" w:cs="宋体"/>
                <w:kern w:val="0"/>
                <w:sz w:val="21"/>
                <w:szCs w:val="21"/>
              </w:rPr>
            </w:pPr>
          </w:p>
        </w:tc>
        <w:tc>
          <w:tcPr>
            <w:tcW w:w="407" w:type="pct"/>
            <w:noWrap/>
            <w:vAlign w:val="center"/>
          </w:tcPr>
          <w:p>
            <w:pPr>
              <w:snapToGrid w:val="0"/>
              <w:spacing w:line="240" w:lineRule="auto"/>
              <w:ind w:firstLine="0" w:firstLineChars="0"/>
              <w:jc w:val="center"/>
              <w:rPr>
                <w:rFonts w:ascii="宋体" w:hAnsi="宋体" w:cs="宋体"/>
                <w:kern w:val="0"/>
                <w:sz w:val="21"/>
                <w:szCs w:val="21"/>
              </w:rPr>
            </w:pPr>
          </w:p>
        </w:tc>
        <w:tc>
          <w:tcPr>
            <w:tcW w:w="811" w:type="pct"/>
            <w:noWrap/>
            <w:vAlign w:val="center"/>
          </w:tcPr>
          <w:p>
            <w:pPr>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numPr>
                <w:ilvl w:val="0"/>
                <w:numId w:val="15"/>
              </w:numPr>
              <w:snapToGrid w:val="0"/>
              <w:spacing w:line="240" w:lineRule="auto"/>
              <w:ind w:firstLineChars="0"/>
              <w:jc w:val="center"/>
              <w:rPr>
                <w:rFonts w:ascii="宋体" w:hAnsi="宋体" w:cs="宋体"/>
                <w:b/>
                <w:bCs/>
                <w:kern w:val="0"/>
                <w:sz w:val="21"/>
                <w:szCs w:val="21"/>
              </w:rPr>
            </w:pPr>
          </w:p>
        </w:tc>
        <w:tc>
          <w:tcPr>
            <w:tcW w:w="1865" w:type="pct"/>
            <w:noWrap/>
            <w:vAlign w:val="center"/>
          </w:tcPr>
          <w:p>
            <w:pPr>
              <w:snapToGrid w:val="0"/>
              <w:spacing w:line="240" w:lineRule="auto"/>
              <w:ind w:firstLine="0" w:firstLineChars="0"/>
              <w:rPr>
                <w:rFonts w:ascii="宋体" w:hAnsi="宋体" w:cs="宋体"/>
                <w:kern w:val="0"/>
                <w:sz w:val="21"/>
                <w:szCs w:val="21"/>
              </w:rPr>
            </w:pPr>
            <w:r>
              <w:rPr>
                <w:rFonts w:hint="eastAsia" w:ascii="宋体" w:hAnsi="宋体" w:cs="宋体"/>
                <w:kern w:val="0"/>
                <w:sz w:val="21"/>
                <w:szCs w:val="21"/>
              </w:rPr>
              <w:t>直读光谱仪</w:t>
            </w:r>
          </w:p>
        </w:tc>
        <w:tc>
          <w:tcPr>
            <w:tcW w:w="1416"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20通道</w:t>
            </w:r>
          </w:p>
        </w:tc>
        <w:tc>
          <w:tcPr>
            <w:tcW w:w="407"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1</w:t>
            </w:r>
          </w:p>
        </w:tc>
        <w:tc>
          <w:tcPr>
            <w:tcW w:w="811" w:type="pct"/>
            <w:noWrap/>
            <w:vAlign w:val="center"/>
          </w:tcPr>
          <w:p>
            <w:pPr>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numPr>
                <w:ilvl w:val="0"/>
                <w:numId w:val="15"/>
              </w:numPr>
              <w:snapToGrid w:val="0"/>
              <w:spacing w:line="240" w:lineRule="auto"/>
              <w:ind w:firstLineChars="0"/>
              <w:jc w:val="center"/>
              <w:rPr>
                <w:rFonts w:ascii="宋体" w:hAnsi="宋体" w:cs="宋体"/>
                <w:b/>
                <w:bCs/>
                <w:kern w:val="0"/>
                <w:sz w:val="21"/>
                <w:szCs w:val="21"/>
              </w:rPr>
            </w:pPr>
          </w:p>
        </w:tc>
        <w:tc>
          <w:tcPr>
            <w:tcW w:w="1865" w:type="pct"/>
            <w:noWrap/>
            <w:vAlign w:val="center"/>
          </w:tcPr>
          <w:p>
            <w:pPr>
              <w:snapToGrid w:val="0"/>
              <w:spacing w:line="240" w:lineRule="auto"/>
              <w:ind w:firstLine="0" w:firstLineChars="0"/>
              <w:rPr>
                <w:rFonts w:ascii="宋体" w:hAnsi="宋体" w:cs="宋体"/>
                <w:kern w:val="0"/>
                <w:sz w:val="21"/>
                <w:szCs w:val="21"/>
              </w:rPr>
            </w:pPr>
            <w:r>
              <w:rPr>
                <w:rFonts w:hint="eastAsia" w:ascii="宋体" w:hAnsi="宋体" w:cs="宋体"/>
                <w:kern w:val="0"/>
                <w:sz w:val="21"/>
                <w:szCs w:val="21"/>
              </w:rPr>
              <w:t>双发智能仪</w:t>
            </w:r>
          </w:p>
        </w:tc>
        <w:tc>
          <w:tcPr>
            <w:tcW w:w="1416" w:type="pct"/>
            <w:noWrap/>
            <w:vAlign w:val="center"/>
          </w:tcPr>
          <w:p>
            <w:pPr>
              <w:snapToGrid w:val="0"/>
              <w:spacing w:line="240" w:lineRule="auto"/>
              <w:ind w:firstLine="0" w:firstLineChars="0"/>
              <w:jc w:val="center"/>
              <w:rPr>
                <w:rFonts w:ascii="宋体" w:hAnsi="宋体" w:cs="宋体"/>
                <w:kern w:val="0"/>
                <w:sz w:val="21"/>
                <w:szCs w:val="21"/>
              </w:rPr>
            </w:pPr>
          </w:p>
        </w:tc>
        <w:tc>
          <w:tcPr>
            <w:tcW w:w="407"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1</w:t>
            </w:r>
          </w:p>
        </w:tc>
        <w:tc>
          <w:tcPr>
            <w:tcW w:w="811" w:type="pct"/>
            <w:noWrap/>
            <w:vAlign w:val="center"/>
          </w:tcPr>
          <w:p>
            <w:pPr>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numPr>
                <w:ilvl w:val="0"/>
                <w:numId w:val="15"/>
              </w:numPr>
              <w:snapToGrid w:val="0"/>
              <w:spacing w:line="240" w:lineRule="auto"/>
              <w:ind w:firstLineChars="0"/>
              <w:jc w:val="center"/>
              <w:rPr>
                <w:rFonts w:ascii="宋体" w:hAnsi="宋体" w:cs="宋体"/>
                <w:b/>
                <w:bCs/>
                <w:kern w:val="0"/>
                <w:sz w:val="21"/>
                <w:szCs w:val="21"/>
              </w:rPr>
            </w:pPr>
          </w:p>
        </w:tc>
        <w:tc>
          <w:tcPr>
            <w:tcW w:w="1865" w:type="pct"/>
            <w:noWrap/>
            <w:vAlign w:val="center"/>
          </w:tcPr>
          <w:p>
            <w:pPr>
              <w:snapToGrid w:val="0"/>
              <w:spacing w:line="240" w:lineRule="auto"/>
              <w:ind w:firstLine="0" w:firstLineChars="0"/>
              <w:rPr>
                <w:rFonts w:ascii="宋体" w:hAnsi="宋体" w:cs="宋体"/>
                <w:kern w:val="0"/>
                <w:sz w:val="21"/>
                <w:szCs w:val="21"/>
              </w:rPr>
            </w:pPr>
            <w:r>
              <w:rPr>
                <w:rFonts w:hint="eastAsia" w:ascii="宋体" w:hAnsi="宋体" w:cs="宋体"/>
                <w:kern w:val="0"/>
                <w:sz w:val="21"/>
                <w:szCs w:val="21"/>
              </w:rPr>
              <w:t>金相显微镜</w:t>
            </w:r>
          </w:p>
        </w:tc>
        <w:tc>
          <w:tcPr>
            <w:tcW w:w="1416" w:type="pct"/>
            <w:noWrap/>
            <w:vAlign w:val="center"/>
          </w:tcPr>
          <w:p>
            <w:pPr>
              <w:snapToGrid w:val="0"/>
              <w:spacing w:line="240" w:lineRule="auto"/>
              <w:ind w:firstLine="0" w:firstLineChars="0"/>
              <w:jc w:val="center"/>
              <w:rPr>
                <w:rFonts w:ascii="宋体" w:hAnsi="宋体" w:cs="宋体"/>
                <w:kern w:val="0"/>
                <w:sz w:val="21"/>
                <w:szCs w:val="21"/>
              </w:rPr>
            </w:pPr>
          </w:p>
        </w:tc>
        <w:tc>
          <w:tcPr>
            <w:tcW w:w="407"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1</w:t>
            </w:r>
          </w:p>
        </w:tc>
        <w:tc>
          <w:tcPr>
            <w:tcW w:w="811" w:type="pct"/>
            <w:noWrap/>
            <w:vAlign w:val="center"/>
          </w:tcPr>
          <w:p>
            <w:pPr>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numPr>
                <w:ilvl w:val="0"/>
                <w:numId w:val="15"/>
              </w:numPr>
              <w:snapToGrid w:val="0"/>
              <w:spacing w:line="240" w:lineRule="auto"/>
              <w:ind w:firstLineChars="0"/>
              <w:jc w:val="center"/>
              <w:rPr>
                <w:rFonts w:ascii="宋体" w:hAnsi="宋体" w:cs="宋体"/>
                <w:b/>
                <w:bCs/>
                <w:kern w:val="0"/>
                <w:sz w:val="21"/>
                <w:szCs w:val="21"/>
              </w:rPr>
            </w:pPr>
          </w:p>
        </w:tc>
        <w:tc>
          <w:tcPr>
            <w:tcW w:w="1865" w:type="pct"/>
            <w:noWrap/>
            <w:vAlign w:val="center"/>
          </w:tcPr>
          <w:p>
            <w:pPr>
              <w:snapToGrid w:val="0"/>
              <w:spacing w:line="240" w:lineRule="auto"/>
              <w:ind w:firstLine="0" w:firstLineChars="0"/>
              <w:rPr>
                <w:rFonts w:ascii="宋体" w:hAnsi="宋体" w:cs="宋体"/>
                <w:kern w:val="0"/>
                <w:sz w:val="21"/>
                <w:szCs w:val="21"/>
              </w:rPr>
            </w:pPr>
            <w:r>
              <w:rPr>
                <w:rFonts w:hint="eastAsia" w:ascii="宋体" w:hAnsi="宋体" w:cs="宋体"/>
                <w:kern w:val="0"/>
                <w:sz w:val="21"/>
                <w:szCs w:val="21"/>
              </w:rPr>
              <w:t>10吨材料拉伸试验机</w:t>
            </w:r>
          </w:p>
        </w:tc>
        <w:tc>
          <w:tcPr>
            <w:tcW w:w="1416" w:type="pct"/>
            <w:noWrap/>
            <w:vAlign w:val="center"/>
          </w:tcPr>
          <w:p>
            <w:pPr>
              <w:snapToGrid w:val="0"/>
              <w:spacing w:line="240" w:lineRule="auto"/>
              <w:ind w:firstLine="0" w:firstLineChars="0"/>
              <w:jc w:val="center"/>
              <w:rPr>
                <w:rFonts w:ascii="宋体" w:hAnsi="宋体" w:cs="宋体"/>
                <w:kern w:val="0"/>
                <w:sz w:val="21"/>
                <w:szCs w:val="21"/>
              </w:rPr>
            </w:pPr>
          </w:p>
        </w:tc>
        <w:tc>
          <w:tcPr>
            <w:tcW w:w="407"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1</w:t>
            </w:r>
          </w:p>
        </w:tc>
        <w:tc>
          <w:tcPr>
            <w:tcW w:w="811" w:type="pct"/>
            <w:noWrap/>
            <w:vAlign w:val="center"/>
          </w:tcPr>
          <w:p>
            <w:pPr>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numPr>
                <w:ilvl w:val="0"/>
                <w:numId w:val="15"/>
              </w:numPr>
              <w:snapToGrid w:val="0"/>
              <w:spacing w:line="240" w:lineRule="auto"/>
              <w:ind w:firstLineChars="0"/>
              <w:jc w:val="center"/>
              <w:rPr>
                <w:rFonts w:ascii="宋体" w:hAnsi="宋体" w:cs="宋体"/>
                <w:b/>
                <w:bCs/>
                <w:kern w:val="0"/>
                <w:sz w:val="21"/>
                <w:szCs w:val="21"/>
              </w:rPr>
            </w:pPr>
          </w:p>
        </w:tc>
        <w:tc>
          <w:tcPr>
            <w:tcW w:w="1865" w:type="pct"/>
            <w:noWrap/>
            <w:vAlign w:val="center"/>
          </w:tcPr>
          <w:p>
            <w:pPr>
              <w:snapToGrid w:val="0"/>
              <w:spacing w:line="240" w:lineRule="auto"/>
              <w:ind w:firstLine="0" w:firstLineChars="0"/>
              <w:rPr>
                <w:rFonts w:ascii="宋体" w:hAnsi="宋体" w:cs="宋体"/>
                <w:kern w:val="0"/>
                <w:sz w:val="21"/>
                <w:szCs w:val="21"/>
              </w:rPr>
            </w:pPr>
            <w:r>
              <w:rPr>
                <w:rFonts w:hint="eastAsia" w:ascii="宋体" w:hAnsi="宋体" w:cs="宋体"/>
                <w:kern w:val="0"/>
                <w:sz w:val="21"/>
                <w:szCs w:val="21"/>
              </w:rPr>
              <w:t>台式硬度计</w:t>
            </w:r>
          </w:p>
        </w:tc>
        <w:tc>
          <w:tcPr>
            <w:tcW w:w="1416" w:type="pct"/>
            <w:noWrap/>
            <w:vAlign w:val="center"/>
          </w:tcPr>
          <w:p>
            <w:pPr>
              <w:snapToGrid w:val="0"/>
              <w:spacing w:line="240" w:lineRule="auto"/>
              <w:ind w:firstLine="0" w:firstLineChars="0"/>
              <w:jc w:val="center"/>
              <w:rPr>
                <w:rFonts w:ascii="宋体" w:hAnsi="宋体" w:cs="宋体"/>
                <w:kern w:val="0"/>
                <w:sz w:val="21"/>
                <w:szCs w:val="21"/>
              </w:rPr>
            </w:pPr>
          </w:p>
        </w:tc>
        <w:tc>
          <w:tcPr>
            <w:tcW w:w="407"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1</w:t>
            </w:r>
          </w:p>
        </w:tc>
        <w:tc>
          <w:tcPr>
            <w:tcW w:w="811" w:type="pct"/>
            <w:noWrap/>
            <w:vAlign w:val="center"/>
          </w:tcPr>
          <w:p>
            <w:pPr>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numPr>
                <w:ilvl w:val="0"/>
                <w:numId w:val="15"/>
              </w:numPr>
              <w:snapToGrid w:val="0"/>
              <w:spacing w:line="240" w:lineRule="auto"/>
              <w:ind w:firstLineChars="0"/>
              <w:jc w:val="center"/>
              <w:rPr>
                <w:rFonts w:ascii="宋体" w:hAnsi="宋体" w:cs="宋体"/>
                <w:b/>
                <w:bCs/>
                <w:kern w:val="0"/>
                <w:sz w:val="21"/>
                <w:szCs w:val="21"/>
              </w:rPr>
            </w:pPr>
          </w:p>
        </w:tc>
        <w:tc>
          <w:tcPr>
            <w:tcW w:w="1865" w:type="pct"/>
            <w:noWrap/>
            <w:vAlign w:val="center"/>
          </w:tcPr>
          <w:p>
            <w:pPr>
              <w:snapToGrid w:val="0"/>
              <w:spacing w:line="240" w:lineRule="auto"/>
              <w:ind w:firstLine="0" w:firstLineChars="0"/>
              <w:rPr>
                <w:rFonts w:ascii="宋体" w:hAnsi="宋体" w:cs="宋体"/>
                <w:kern w:val="0"/>
                <w:sz w:val="21"/>
                <w:szCs w:val="21"/>
              </w:rPr>
            </w:pPr>
            <w:r>
              <w:rPr>
                <w:rFonts w:hint="eastAsia" w:ascii="宋体" w:hAnsi="宋体" w:cs="宋体"/>
                <w:kern w:val="0"/>
                <w:sz w:val="21"/>
                <w:szCs w:val="21"/>
              </w:rPr>
              <w:t>铁（钢)水测量仪</w:t>
            </w:r>
          </w:p>
        </w:tc>
        <w:tc>
          <w:tcPr>
            <w:tcW w:w="1416" w:type="pct"/>
            <w:noWrap/>
            <w:vAlign w:val="center"/>
          </w:tcPr>
          <w:p>
            <w:pPr>
              <w:snapToGrid w:val="0"/>
              <w:spacing w:line="240" w:lineRule="auto"/>
              <w:ind w:firstLine="0" w:firstLineChars="0"/>
              <w:jc w:val="center"/>
              <w:rPr>
                <w:rFonts w:ascii="宋体" w:hAnsi="宋体" w:cs="宋体"/>
                <w:kern w:val="0"/>
                <w:sz w:val="21"/>
                <w:szCs w:val="21"/>
              </w:rPr>
            </w:pPr>
          </w:p>
        </w:tc>
        <w:tc>
          <w:tcPr>
            <w:tcW w:w="407"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2</w:t>
            </w:r>
          </w:p>
        </w:tc>
        <w:tc>
          <w:tcPr>
            <w:tcW w:w="811" w:type="pct"/>
            <w:noWrap/>
            <w:vAlign w:val="center"/>
          </w:tcPr>
          <w:p>
            <w:pPr>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numPr>
                <w:ilvl w:val="0"/>
                <w:numId w:val="15"/>
              </w:numPr>
              <w:snapToGrid w:val="0"/>
              <w:spacing w:line="240" w:lineRule="auto"/>
              <w:ind w:firstLineChars="0"/>
              <w:jc w:val="center"/>
              <w:rPr>
                <w:rFonts w:ascii="宋体" w:hAnsi="宋体" w:cs="宋体"/>
                <w:b/>
                <w:bCs/>
                <w:kern w:val="0"/>
                <w:sz w:val="21"/>
                <w:szCs w:val="21"/>
              </w:rPr>
            </w:pPr>
          </w:p>
        </w:tc>
        <w:tc>
          <w:tcPr>
            <w:tcW w:w="1865" w:type="pct"/>
            <w:noWrap/>
            <w:vAlign w:val="center"/>
          </w:tcPr>
          <w:p>
            <w:pPr>
              <w:snapToGrid w:val="0"/>
              <w:spacing w:line="240" w:lineRule="auto"/>
              <w:ind w:firstLine="0" w:firstLineChars="0"/>
              <w:rPr>
                <w:rFonts w:ascii="宋体" w:hAnsi="宋体" w:cs="宋体"/>
                <w:kern w:val="0"/>
                <w:sz w:val="21"/>
                <w:szCs w:val="21"/>
              </w:rPr>
            </w:pPr>
            <w:r>
              <w:rPr>
                <w:rFonts w:hint="eastAsia" w:ascii="宋体" w:hAnsi="宋体" w:cs="宋体"/>
                <w:kern w:val="0"/>
                <w:sz w:val="21"/>
                <w:szCs w:val="21"/>
              </w:rPr>
              <w:t>炉前铁水热分析仪</w:t>
            </w:r>
          </w:p>
        </w:tc>
        <w:tc>
          <w:tcPr>
            <w:tcW w:w="1416" w:type="pct"/>
            <w:noWrap/>
            <w:vAlign w:val="center"/>
          </w:tcPr>
          <w:p>
            <w:pPr>
              <w:snapToGrid w:val="0"/>
              <w:spacing w:line="240" w:lineRule="auto"/>
              <w:ind w:firstLine="0" w:firstLineChars="0"/>
              <w:jc w:val="center"/>
              <w:rPr>
                <w:rFonts w:ascii="宋体" w:hAnsi="宋体" w:cs="宋体"/>
                <w:kern w:val="0"/>
                <w:sz w:val="21"/>
                <w:szCs w:val="21"/>
              </w:rPr>
            </w:pPr>
          </w:p>
        </w:tc>
        <w:tc>
          <w:tcPr>
            <w:tcW w:w="407"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1</w:t>
            </w:r>
          </w:p>
        </w:tc>
        <w:tc>
          <w:tcPr>
            <w:tcW w:w="811" w:type="pct"/>
            <w:noWrap/>
            <w:vAlign w:val="center"/>
          </w:tcPr>
          <w:p>
            <w:pPr>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numPr>
                <w:ilvl w:val="0"/>
                <w:numId w:val="15"/>
              </w:numPr>
              <w:snapToGrid w:val="0"/>
              <w:spacing w:line="240" w:lineRule="auto"/>
              <w:ind w:firstLineChars="0"/>
              <w:jc w:val="center"/>
              <w:rPr>
                <w:rFonts w:ascii="宋体" w:hAnsi="宋体" w:cs="宋体"/>
                <w:b/>
                <w:bCs/>
                <w:kern w:val="0"/>
                <w:sz w:val="21"/>
                <w:szCs w:val="21"/>
              </w:rPr>
            </w:pPr>
          </w:p>
        </w:tc>
        <w:tc>
          <w:tcPr>
            <w:tcW w:w="1865" w:type="pct"/>
            <w:noWrap/>
            <w:vAlign w:val="center"/>
          </w:tcPr>
          <w:p>
            <w:pPr>
              <w:snapToGrid w:val="0"/>
              <w:spacing w:line="240" w:lineRule="auto"/>
              <w:ind w:firstLine="0" w:firstLineChars="0"/>
              <w:rPr>
                <w:rFonts w:ascii="宋体" w:hAnsi="宋体" w:cs="宋体"/>
                <w:kern w:val="0"/>
                <w:sz w:val="21"/>
                <w:szCs w:val="21"/>
              </w:rPr>
            </w:pPr>
            <w:r>
              <w:rPr>
                <w:rFonts w:hint="eastAsia" w:ascii="宋体" w:hAnsi="宋体" w:cs="宋体"/>
                <w:kern w:val="0"/>
                <w:sz w:val="21"/>
                <w:szCs w:val="21"/>
              </w:rPr>
              <w:t>小型理化用高温箱式电炉</w:t>
            </w:r>
          </w:p>
        </w:tc>
        <w:tc>
          <w:tcPr>
            <w:tcW w:w="1416" w:type="pct"/>
            <w:noWrap/>
            <w:vAlign w:val="center"/>
          </w:tcPr>
          <w:p>
            <w:pPr>
              <w:snapToGrid w:val="0"/>
              <w:spacing w:line="240" w:lineRule="auto"/>
              <w:ind w:firstLine="0" w:firstLineChars="0"/>
              <w:jc w:val="center"/>
              <w:rPr>
                <w:rFonts w:ascii="宋体" w:hAnsi="宋体" w:cs="宋体"/>
                <w:kern w:val="0"/>
                <w:sz w:val="21"/>
                <w:szCs w:val="21"/>
              </w:rPr>
            </w:pPr>
          </w:p>
        </w:tc>
        <w:tc>
          <w:tcPr>
            <w:tcW w:w="407"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1</w:t>
            </w:r>
          </w:p>
        </w:tc>
        <w:tc>
          <w:tcPr>
            <w:tcW w:w="811" w:type="pct"/>
            <w:noWrap/>
            <w:vAlign w:val="center"/>
          </w:tcPr>
          <w:p>
            <w:pPr>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numPr>
                <w:ilvl w:val="0"/>
                <w:numId w:val="15"/>
              </w:numPr>
              <w:snapToGrid w:val="0"/>
              <w:spacing w:line="240" w:lineRule="auto"/>
              <w:ind w:firstLineChars="0"/>
              <w:jc w:val="center"/>
              <w:rPr>
                <w:rFonts w:ascii="宋体" w:hAnsi="宋体" w:cs="宋体"/>
                <w:b/>
                <w:bCs/>
                <w:kern w:val="0"/>
                <w:sz w:val="21"/>
                <w:szCs w:val="21"/>
              </w:rPr>
            </w:pPr>
          </w:p>
        </w:tc>
        <w:tc>
          <w:tcPr>
            <w:tcW w:w="1865" w:type="pct"/>
            <w:noWrap/>
            <w:vAlign w:val="center"/>
          </w:tcPr>
          <w:p>
            <w:pPr>
              <w:snapToGrid w:val="0"/>
              <w:spacing w:line="240" w:lineRule="auto"/>
              <w:ind w:firstLine="0" w:firstLineChars="0"/>
              <w:rPr>
                <w:rFonts w:ascii="宋体" w:hAnsi="宋体" w:cs="宋体"/>
                <w:kern w:val="0"/>
                <w:sz w:val="21"/>
                <w:szCs w:val="21"/>
              </w:rPr>
            </w:pPr>
            <w:r>
              <w:rPr>
                <w:rFonts w:hint="eastAsia" w:ascii="宋体" w:hAnsi="宋体" w:cs="宋体"/>
                <w:kern w:val="0"/>
                <w:sz w:val="21"/>
                <w:szCs w:val="21"/>
              </w:rPr>
              <w:t>理化用抛光机</w:t>
            </w:r>
          </w:p>
        </w:tc>
        <w:tc>
          <w:tcPr>
            <w:tcW w:w="1416" w:type="pct"/>
            <w:noWrap/>
            <w:vAlign w:val="center"/>
          </w:tcPr>
          <w:p>
            <w:pPr>
              <w:snapToGrid w:val="0"/>
              <w:spacing w:line="240" w:lineRule="auto"/>
              <w:ind w:firstLine="0" w:firstLineChars="0"/>
              <w:jc w:val="center"/>
              <w:rPr>
                <w:rFonts w:ascii="宋体" w:hAnsi="宋体" w:cs="宋体"/>
                <w:kern w:val="0"/>
                <w:sz w:val="21"/>
                <w:szCs w:val="21"/>
              </w:rPr>
            </w:pPr>
          </w:p>
        </w:tc>
        <w:tc>
          <w:tcPr>
            <w:tcW w:w="407"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1</w:t>
            </w:r>
          </w:p>
        </w:tc>
        <w:tc>
          <w:tcPr>
            <w:tcW w:w="811" w:type="pct"/>
            <w:noWrap/>
            <w:vAlign w:val="center"/>
          </w:tcPr>
          <w:p>
            <w:pPr>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numPr>
                <w:ilvl w:val="0"/>
                <w:numId w:val="15"/>
              </w:numPr>
              <w:snapToGrid w:val="0"/>
              <w:spacing w:line="240" w:lineRule="auto"/>
              <w:ind w:firstLineChars="0"/>
              <w:jc w:val="center"/>
              <w:rPr>
                <w:rFonts w:ascii="宋体" w:hAnsi="宋体" w:cs="宋体"/>
                <w:b/>
                <w:bCs/>
                <w:kern w:val="0"/>
                <w:sz w:val="21"/>
                <w:szCs w:val="21"/>
              </w:rPr>
            </w:pPr>
          </w:p>
        </w:tc>
        <w:tc>
          <w:tcPr>
            <w:tcW w:w="1865" w:type="pct"/>
            <w:noWrap/>
            <w:vAlign w:val="center"/>
          </w:tcPr>
          <w:p>
            <w:pPr>
              <w:snapToGrid w:val="0"/>
              <w:spacing w:line="240" w:lineRule="auto"/>
              <w:ind w:firstLine="0" w:firstLineChars="0"/>
              <w:rPr>
                <w:rFonts w:ascii="宋体" w:hAnsi="宋体" w:cs="宋体"/>
                <w:kern w:val="0"/>
                <w:sz w:val="21"/>
                <w:szCs w:val="21"/>
              </w:rPr>
            </w:pPr>
            <w:r>
              <w:rPr>
                <w:rFonts w:hint="eastAsia" w:ascii="宋体" w:hAnsi="宋体" w:cs="宋体"/>
                <w:kern w:val="0"/>
                <w:sz w:val="21"/>
                <w:szCs w:val="21"/>
              </w:rPr>
              <w:t>型砂试验仪器</w:t>
            </w:r>
          </w:p>
        </w:tc>
        <w:tc>
          <w:tcPr>
            <w:tcW w:w="1416" w:type="pct"/>
            <w:noWrap/>
            <w:vAlign w:val="center"/>
          </w:tcPr>
          <w:p>
            <w:pPr>
              <w:snapToGrid w:val="0"/>
              <w:spacing w:line="240" w:lineRule="auto"/>
              <w:ind w:firstLine="0" w:firstLineChars="0"/>
              <w:jc w:val="center"/>
              <w:rPr>
                <w:rFonts w:ascii="宋体" w:hAnsi="宋体" w:cs="宋体"/>
                <w:kern w:val="0"/>
                <w:sz w:val="21"/>
                <w:szCs w:val="21"/>
              </w:rPr>
            </w:pPr>
          </w:p>
        </w:tc>
        <w:tc>
          <w:tcPr>
            <w:tcW w:w="407"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1套</w:t>
            </w:r>
          </w:p>
        </w:tc>
        <w:tc>
          <w:tcPr>
            <w:tcW w:w="811" w:type="pct"/>
            <w:noWrap/>
            <w:vAlign w:val="center"/>
          </w:tcPr>
          <w:p>
            <w:pPr>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snapToGrid w:val="0"/>
              <w:spacing w:line="240" w:lineRule="auto"/>
              <w:ind w:firstLine="0" w:firstLineChars="0"/>
              <w:jc w:val="center"/>
              <w:rPr>
                <w:rFonts w:ascii="宋体" w:hAnsi="宋体" w:cs="宋体"/>
                <w:b/>
                <w:bCs/>
                <w:kern w:val="0"/>
                <w:sz w:val="21"/>
                <w:szCs w:val="21"/>
              </w:rPr>
            </w:pPr>
            <w:r>
              <w:rPr>
                <w:rFonts w:hint="eastAsia" w:ascii="宋体" w:hAnsi="宋体" w:cs="宋体"/>
                <w:b/>
                <w:bCs/>
                <w:kern w:val="0"/>
                <w:sz w:val="21"/>
                <w:szCs w:val="21"/>
              </w:rPr>
              <w:t>二</w:t>
            </w:r>
          </w:p>
        </w:tc>
        <w:tc>
          <w:tcPr>
            <w:tcW w:w="1865" w:type="pct"/>
            <w:noWrap/>
            <w:vAlign w:val="center"/>
          </w:tcPr>
          <w:p>
            <w:pPr>
              <w:snapToGrid w:val="0"/>
              <w:spacing w:line="240" w:lineRule="auto"/>
              <w:ind w:firstLine="0" w:firstLineChars="0"/>
              <w:jc w:val="center"/>
              <w:rPr>
                <w:rFonts w:ascii="宋体" w:hAnsi="宋体" w:cs="宋体"/>
                <w:b/>
                <w:bCs/>
                <w:kern w:val="0"/>
                <w:sz w:val="21"/>
                <w:szCs w:val="21"/>
              </w:rPr>
            </w:pPr>
            <w:r>
              <w:rPr>
                <w:rFonts w:hint="eastAsia" w:ascii="宋体" w:hAnsi="宋体" w:cs="宋体"/>
                <w:b/>
                <w:bCs/>
                <w:kern w:val="0"/>
                <w:sz w:val="21"/>
                <w:szCs w:val="21"/>
              </w:rPr>
              <w:t>机加工车间</w:t>
            </w:r>
          </w:p>
        </w:tc>
        <w:tc>
          <w:tcPr>
            <w:tcW w:w="1416" w:type="pct"/>
            <w:noWrap/>
            <w:vAlign w:val="center"/>
          </w:tcPr>
          <w:p>
            <w:pPr>
              <w:snapToGrid w:val="0"/>
              <w:spacing w:line="240" w:lineRule="auto"/>
              <w:ind w:firstLine="0" w:firstLineChars="0"/>
              <w:jc w:val="center"/>
              <w:rPr>
                <w:rFonts w:ascii="宋体" w:hAnsi="宋体" w:cs="宋体"/>
                <w:kern w:val="0"/>
                <w:sz w:val="21"/>
                <w:szCs w:val="21"/>
              </w:rPr>
            </w:pPr>
          </w:p>
        </w:tc>
        <w:tc>
          <w:tcPr>
            <w:tcW w:w="407" w:type="pct"/>
            <w:noWrap/>
            <w:vAlign w:val="center"/>
          </w:tcPr>
          <w:p>
            <w:pPr>
              <w:snapToGrid w:val="0"/>
              <w:spacing w:line="240" w:lineRule="auto"/>
              <w:ind w:firstLine="0" w:firstLineChars="0"/>
              <w:jc w:val="center"/>
              <w:rPr>
                <w:rFonts w:ascii="宋体" w:hAnsi="宋体" w:cs="宋体"/>
                <w:kern w:val="0"/>
                <w:sz w:val="21"/>
                <w:szCs w:val="21"/>
              </w:rPr>
            </w:pPr>
          </w:p>
        </w:tc>
        <w:tc>
          <w:tcPr>
            <w:tcW w:w="811" w:type="pct"/>
            <w:noWrap/>
            <w:vAlign w:val="center"/>
          </w:tcPr>
          <w:p>
            <w:pPr>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numPr>
                <w:ilvl w:val="0"/>
                <w:numId w:val="16"/>
              </w:numPr>
              <w:snapToGrid w:val="0"/>
              <w:spacing w:line="240" w:lineRule="auto"/>
              <w:ind w:firstLineChars="0"/>
              <w:jc w:val="center"/>
              <w:rPr>
                <w:rFonts w:ascii="宋体" w:hAnsi="宋体" w:cs="宋体"/>
                <w:b/>
                <w:bCs/>
                <w:kern w:val="0"/>
                <w:sz w:val="21"/>
                <w:szCs w:val="21"/>
              </w:rPr>
            </w:pPr>
          </w:p>
        </w:tc>
        <w:tc>
          <w:tcPr>
            <w:tcW w:w="1865" w:type="pct"/>
            <w:noWrap/>
            <w:vAlign w:val="center"/>
          </w:tcPr>
          <w:p>
            <w:pPr>
              <w:snapToGrid w:val="0"/>
              <w:spacing w:line="240" w:lineRule="auto"/>
              <w:ind w:firstLine="0" w:firstLineChars="0"/>
              <w:rPr>
                <w:rFonts w:ascii="宋体" w:hAnsi="宋体" w:cs="宋体"/>
                <w:kern w:val="0"/>
                <w:sz w:val="21"/>
                <w:szCs w:val="21"/>
              </w:rPr>
            </w:pPr>
            <w:r>
              <w:rPr>
                <w:rFonts w:hint="eastAsia" w:ascii="宋体" w:hAnsi="宋体" w:cs="宋体"/>
                <w:kern w:val="0"/>
                <w:sz w:val="21"/>
                <w:szCs w:val="21"/>
              </w:rPr>
              <w:t>卧式加工中心</w:t>
            </w:r>
          </w:p>
        </w:tc>
        <w:tc>
          <w:tcPr>
            <w:tcW w:w="1416"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HMC630A</w:t>
            </w:r>
          </w:p>
        </w:tc>
        <w:tc>
          <w:tcPr>
            <w:tcW w:w="407"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1</w:t>
            </w:r>
          </w:p>
        </w:tc>
        <w:tc>
          <w:tcPr>
            <w:tcW w:w="811" w:type="pct"/>
            <w:noWrap/>
            <w:vAlign w:val="center"/>
          </w:tcPr>
          <w:p>
            <w:pPr>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numPr>
                <w:ilvl w:val="0"/>
                <w:numId w:val="16"/>
              </w:numPr>
              <w:snapToGrid w:val="0"/>
              <w:spacing w:line="240" w:lineRule="auto"/>
              <w:ind w:firstLineChars="0"/>
              <w:jc w:val="center"/>
              <w:rPr>
                <w:rFonts w:ascii="宋体" w:hAnsi="宋体" w:cs="宋体"/>
                <w:b/>
                <w:bCs/>
                <w:kern w:val="0"/>
                <w:sz w:val="21"/>
                <w:szCs w:val="21"/>
              </w:rPr>
            </w:pPr>
          </w:p>
        </w:tc>
        <w:tc>
          <w:tcPr>
            <w:tcW w:w="1865" w:type="pct"/>
            <w:noWrap/>
            <w:vAlign w:val="center"/>
          </w:tcPr>
          <w:p>
            <w:pPr>
              <w:snapToGrid w:val="0"/>
              <w:spacing w:line="240" w:lineRule="auto"/>
              <w:ind w:firstLine="0" w:firstLineChars="0"/>
              <w:rPr>
                <w:rFonts w:ascii="宋体" w:hAnsi="宋体" w:cs="宋体"/>
                <w:kern w:val="0"/>
                <w:sz w:val="21"/>
                <w:szCs w:val="21"/>
              </w:rPr>
            </w:pPr>
            <w:r>
              <w:rPr>
                <w:rFonts w:hint="eastAsia" w:ascii="宋体" w:hAnsi="宋体" w:cs="宋体"/>
                <w:kern w:val="0"/>
                <w:sz w:val="21"/>
                <w:szCs w:val="21"/>
              </w:rPr>
              <w:t>立式加工中心</w:t>
            </w:r>
          </w:p>
        </w:tc>
        <w:tc>
          <w:tcPr>
            <w:tcW w:w="1416"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VMC850E</w:t>
            </w:r>
          </w:p>
        </w:tc>
        <w:tc>
          <w:tcPr>
            <w:tcW w:w="407"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4</w:t>
            </w:r>
          </w:p>
        </w:tc>
        <w:tc>
          <w:tcPr>
            <w:tcW w:w="811" w:type="pct"/>
            <w:noWrap/>
            <w:vAlign w:val="center"/>
          </w:tcPr>
          <w:p>
            <w:pPr>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numPr>
                <w:ilvl w:val="0"/>
                <w:numId w:val="16"/>
              </w:numPr>
              <w:snapToGrid w:val="0"/>
              <w:spacing w:line="240" w:lineRule="auto"/>
              <w:ind w:firstLineChars="0"/>
              <w:jc w:val="center"/>
              <w:rPr>
                <w:rFonts w:ascii="宋体" w:hAnsi="宋体" w:cs="宋体"/>
                <w:b/>
                <w:bCs/>
                <w:kern w:val="0"/>
                <w:sz w:val="21"/>
                <w:szCs w:val="21"/>
              </w:rPr>
            </w:pPr>
          </w:p>
        </w:tc>
        <w:tc>
          <w:tcPr>
            <w:tcW w:w="1865" w:type="pct"/>
            <w:noWrap/>
            <w:vAlign w:val="center"/>
          </w:tcPr>
          <w:p>
            <w:pPr>
              <w:snapToGrid w:val="0"/>
              <w:spacing w:line="240" w:lineRule="auto"/>
              <w:ind w:firstLine="0" w:firstLineChars="0"/>
              <w:rPr>
                <w:rFonts w:ascii="宋体" w:hAnsi="宋体" w:cs="宋体"/>
                <w:kern w:val="0"/>
                <w:sz w:val="21"/>
                <w:szCs w:val="21"/>
              </w:rPr>
            </w:pPr>
            <w:r>
              <w:rPr>
                <w:rFonts w:hint="eastAsia" w:ascii="宋体" w:hAnsi="宋体" w:cs="宋体"/>
                <w:kern w:val="0"/>
                <w:sz w:val="21"/>
                <w:szCs w:val="21"/>
              </w:rPr>
              <w:t>数控车床</w:t>
            </w:r>
          </w:p>
        </w:tc>
        <w:tc>
          <w:tcPr>
            <w:tcW w:w="1416"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CK6163×750</w:t>
            </w:r>
          </w:p>
        </w:tc>
        <w:tc>
          <w:tcPr>
            <w:tcW w:w="407"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4</w:t>
            </w:r>
          </w:p>
        </w:tc>
        <w:tc>
          <w:tcPr>
            <w:tcW w:w="811" w:type="pct"/>
            <w:noWrap/>
            <w:vAlign w:val="center"/>
          </w:tcPr>
          <w:p>
            <w:pPr>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numPr>
                <w:ilvl w:val="0"/>
                <w:numId w:val="16"/>
              </w:numPr>
              <w:snapToGrid w:val="0"/>
              <w:spacing w:line="240" w:lineRule="auto"/>
              <w:ind w:firstLineChars="0"/>
              <w:jc w:val="center"/>
              <w:rPr>
                <w:rFonts w:ascii="宋体" w:hAnsi="宋体" w:cs="宋体"/>
                <w:b/>
                <w:bCs/>
                <w:kern w:val="0"/>
                <w:sz w:val="21"/>
                <w:szCs w:val="21"/>
              </w:rPr>
            </w:pPr>
          </w:p>
        </w:tc>
        <w:tc>
          <w:tcPr>
            <w:tcW w:w="1865" w:type="pct"/>
            <w:noWrap/>
            <w:vAlign w:val="center"/>
          </w:tcPr>
          <w:p>
            <w:pPr>
              <w:snapToGrid w:val="0"/>
              <w:spacing w:line="240" w:lineRule="auto"/>
              <w:ind w:firstLine="0" w:firstLineChars="0"/>
              <w:rPr>
                <w:rFonts w:ascii="宋体" w:hAnsi="宋体" w:cs="宋体"/>
                <w:kern w:val="0"/>
                <w:sz w:val="21"/>
                <w:szCs w:val="21"/>
              </w:rPr>
            </w:pPr>
            <w:r>
              <w:rPr>
                <w:rFonts w:hint="eastAsia" w:ascii="宋体" w:hAnsi="宋体" w:cs="宋体"/>
                <w:kern w:val="0"/>
                <w:sz w:val="21"/>
                <w:szCs w:val="21"/>
              </w:rPr>
              <w:t>普通车床</w:t>
            </w:r>
          </w:p>
        </w:tc>
        <w:tc>
          <w:tcPr>
            <w:tcW w:w="1416"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CW6180B×750</w:t>
            </w:r>
          </w:p>
        </w:tc>
        <w:tc>
          <w:tcPr>
            <w:tcW w:w="407"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3</w:t>
            </w:r>
          </w:p>
        </w:tc>
        <w:tc>
          <w:tcPr>
            <w:tcW w:w="811" w:type="pct"/>
            <w:noWrap/>
            <w:vAlign w:val="center"/>
          </w:tcPr>
          <w:p>
            <w:pPr>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numPr>
                <w:ilvl w:val="0"/>
                <w:numId w:val="16"/>
              </w:numPr>
              <w:snapToGrid w:val="0"/>
              <w:spacing w:line="240" w:lineRule="auto"/>
              <w:ind w:firstLineChars="0"/>
              <w:jc w:val="center"/>
              <w:rPr>
                <w:rFonts w:ascii="宋体" w:hAnsi="宋体" w:cs="宋体"/>
                <w:b/>
                <w:bCs/>
                <w:kern w:val="0"/>
                <w:sz w:val="21"/>
                <w:szCs w:val="21"/>
              </w:rPr>
            </w:pPr>
          </w:p>
        </w:tc>
        <w:tc>
          <w:tcPr>
            <w:tcW w:w="1865" w:type="pct"/>
            <w:noWrap/>
            <w:vAlign w:val="center"/>
          </w:tcPr>
          <w:p>
            <w:pPr>
              <w:snapToGrid w:val="0"/>
              <w:spacing w:line="240" w:lineRule="auto"/>
              <w:ind w:firstLine="0" w:firstLineChars="0"/>
              <w:rPr>
                <w:rFonts w:ascii="宋体" w:hAnsi="宋体" w:cs="宋体"/>
                <w:kern w:val="0"/>
                <w:sz w:val="21"/>
                <w:szCs w:val="21"/>
              </w:rPr>
            </w:pPr>
            <w:r>
              <w:rPr>
                <w:rFonts w:hint="eastAsia" w:ascii="宋体" w:hAnsi="宋体" w:cs="宋体"/>
                <w:kern w:val="0"/>
                <w:sz w:val="21"/>
                <w:szCs w:val="21"/>
              </w:rPr>
              <w:t>数控立式钻床</w:t>
            </w:r>
          </w:p>
        </w:tc>
        <w:tc>
          <w:tcPr>
            <w:tcW w:w="1416"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ZK5140C</w:t>
            </w:r>
          </w:p>
        </w:tc>
        <w:tc>
          <w:tcPr>
            <w:tcW w:w="407"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4</w:t>
            </w:r>
          </w:p>
        </w:tc>
        <w:tc>
          <w:tcPr>
            <w:tcW w:w="811" w:type="pct"/>
            <w:noWrap/>
            <w:vAlign w:val="center"/>
          </w:tcPr>
          <w:p>
            <w:pPr>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numPr>
                <w:ilvl w:val="0"/>
                <w:numId w:val="16"/>
              </w:numPr>
              <w:snapToGrid w:val="0"/>
              <w:spacing w:line="240" w:lineRule="auto"/>
              <w:ind w:firstLineChars="0"/>
              <w:jc w:val="center"/>
              <w:rPr>
                <w:rFonts w:ascii="宋体" w:hAnsi="宋体" w:cs="宋体"/>
                <w:b/>
                <w:bCs/>
                <w:kern w:val="0"/>
                <w:sz w:val="21"/>
                <w:szCs w:val="21"/>
              </w:rPr>
            </w:pPr>
          </w:p>
        </w:tc>
        <w:tc>
          <w:tcPr>
            <w:tcW w:w="1865" w:type="pct"/>
            <w:noWrap/>
            <w:vAlign w:val="center"/>
          </w:tcPr>
          <w:p>
            <w:pPr>
              <w:snapToGrid w:val="0"/>
              <w:spacing w:line="240" w:lineRule="auto"/>
              <w:ind w:firstLine="0" w:firstLineChars="0"/>
              <w:rPr>
                <w:rFonts w:ascii="宋体" w:hAnsi="宋体" w:cs="宋体"/>
                <w:kern w:val="0"/>
                <w:sz w:val="21"/>
                <w:szCs w:val="21"/>
              </w:rPr>
            </w:pPr>
            <w:r>
              <w:rPr>
                <w:rFonts w:hint="eastAsia" w:ascii="宋体" w:hAnsi="宋体" w:cs="宋体"/>
                <w:kern w:val="0"/>
                <w:sz w:val="21"/>
                <w:szCs w:val="21"/>
              </w:rPr>
              <w:t>卧轴矩台平面磨床</w:t>
            </w:r>
          </w:p>
        </w:tc>
        <w:tc>
          <w:tcPr>
            <w:tcW w:w="1416"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M7140</w:t>
            </w:r>
          </w:p>
        </w:tc>
        <w:tc>
          <w:tcPr>
            <w:tcW w:w="407"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1</w:t>
            </w:r>
          </w:p>
        </w:tc>
        <w:tc>
          <w:tcPr>
            <w:tcW w:w="811" w:type="pct"/>
            <w:noWrap/>
            <w:vAlign w:val="center"/>
          </w:tcPr>
          <w:p>
            <w:pPr>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numPr>
                <w:ilvl w:val="0"/>
                <w:numId w:val="16"/>
              </w:numPr>
              <w:snapToGrid w:val="0"/>
              <w:spacing w:line="240" w:lineRule="auto"/>
              <w:ind w:firstLineChars="0"/>
              <w:jc w:val="center"/>
              <w:rPr>
                <w:rFonts w:ascii="宋体" w:hAnsi="宋体" w:cs="宋体"/>
                <w:b/>
                <w:bCs/>
                <w:kern w:val="0"/>
                <w:sz w:val="21"/>
                <w:szCs w:val="21"/>
              </w:rPr>
            </w:pPr>
          </w:p>
        </w:tc>
        <w:tc>
          <w:tcPr>
            <w:tcW w:w="1865" w:type="pct"/>
            <w:noWrap/>
            <w:vAlign w:val="center"/>
          </w:tcPr>
          <w:p>
            <w:pPr>
              <w:snapToGrid w:val="0"/>
              <w:spacing w:line="240" w:lineRule="auto"/>
              <w:ind w:firstLine="0" w:firstLineChars="0"/>
              <w:rPr>
                <w:rFonts w:ascii="宋体" w:hAnsi="宋体" w:cs="宋体"/>
                <w:kern w:val="0"/>
                <w:sz w:val="21"/>
                <w:szCs w:val="21"/>
              </w:rPr>
            </w:pPr>
            <w:r>
              <w:rPr>
                <w:rFonts w:hint="eastAsia" w:ascii="宋体" w:hAnsi="宋体" w:cs="宋体"/>
                <w:kern w:val="0"/>
                <w:sz w:val="21"/>
                <w:szCs w:val="21"/>
              </w:rPr>
              <w:t>普通车床</w:t>
            </w:r>
          </w:p>
        </w:tc>
        <w:tc>
          <w:tcPr>
            <w:tcW w:w="1416"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CW6163B×750</w:t>
            </w:r>
          </w:p>
        </w:tc>
        <w:tc>
          <w:tcPr>
            <w:tcW w:w="407"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2</w:t>
            </w:r>
          </w:p>
        </w:tc>
        <w:tc>
          <w:tcPr>
            <w:tcW w:w="811" w:type="pct"/>
            <w:noWrap/>
            <w:vAlign w:val="center"/>
          </w:tcPr>
          <w:p>
            <w:pPr>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numPr>
                <w:ilvl w:val="0"/>
                <w:numId w:val="16"/>
              </w:numPr>
              <w:snapToGrid w:val="0"/>
              <w:spacing w:line="240" w:lineRule="auto"/>
              <w:ind w:firstLineChars="0"/>
              <w:jc w:val="center"/>
              <w:rPr>
                <w:rFonts w:ascii="宋体" w:hAnsi="宋体" w:cs="宋体"/>
                <w:b/>
                <w:bCs/>
                <w:kern w:val="0"/>
                <w:sz w:val="21"/>
                <w:szCs w:val="21"/>
              </w:rPr>
            </w:pPr>
          </w:p>
        </w:tc>
        <w:tc>
          <w:tcPr>
            <w:tcW w:w="1865" w:type="pct"/>
            <w:noWrap/>
            <w:vAlign w:val="center"/>
          </w:tcPr>
          <w:p>
            <w:pPr>
              <w:snapToGrid w:val="0"/>
              <w:spacing w:line="240" w:lineRule="auto"/>
              <w:ind w:firstLine="0" w:firstLineChars="0"/>
              <w:rPr>
                <w:rFonts w:ascii="宋体" w:hAnsi="宋体" w:cs="宋体"/>
                <w:kern w:val="0"/>
                <w:sz w:val="21"/>
                <w:szCs w:val="21"/>
              </w:rPr>
            </w:pPr>
            <w:r>
              <w:rPr>
                <w:rFonts w:hint="eastAsia" w:ascii="宋体" w:hAnsi="宋体" w:cs="宋体"/>
                <w:kern w:val="0"/>
                <w:sz w:val="21"/>
                <w:szCs w:val="21"/>
              </w:rPr>
              <w:t>摇臂钻床</w:t>
            </w:r>
          </w:p>
        </w:tc>
        <w:tc>
          <w:tcPr>
            <w:tcW w:w="1416"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Z3050×12</w:t>
            </w:r>
          </w:p>
        </w:tc>
        <w:tc>
          <w:tcPr>
            <w:tcW w:w="407"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4</w:t>
            </w:r>
          </w:p>
        </w:tc>
        <w:tc>
          <w:tcPr>
            <w:tcW w:w="811" w:type="pct"/>
            <w:noWrap/>
            <w:vAlign w:val="center"/>
          </w:tcPr>
          <w:p>
            <w:pPr>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numPr>
                <w:ilvl w:val="0"/>
                <w:numId w:val="16"/>
              </w:numPr>
              <w:snapToGrid w:val="0"/>
              <w:spacing w:line="240" w:lineRule="auto"/>
              <w:ind w:firstLineChars="0"/>
              <w:jc w:val="center"/>
              <w:rPr>
                <w:rFonts w:ascii="宋体" w:hAnsi="宋体" w:cs="宋体"/>
                <w:b/>
                <w:bCs/>
                <w:kern w:val="0"/>
                <w:sz w:val="21"/>
                <w:szCs w:val="21"/>
              </w:rPr>
            </w:pPr>
          </w:p>
        </w:tc>
        <w:tc>
          <w:tcPr>
            <w:tcW w:w="1865" w:type="pct"/>
            <w:noWrap/>
            <w:vAlign w:val="center"/>
          </w:tcPr>
          <w:p>
            <w:pPr>
              <w:snapToGrid w:val="0"/>
              <w:spacing w:line="240" w:lineRule="auto"/>
              <w:ind w:firstLine="0" w:firstLineChars="0"/>
              <w:rPr>
                <w:rFonts w:ascii="宋体" w:hAnsi="宋体" w:cs="宋体"/>
                <w:kern w:val="0"/>
                <w:sz w:val="21"/>
                <w:szCs w:val="21"/>
              </w:rPr>
            </w:pPr>
            <w:r>
              <w:rPr>
                <w:rFonts w:hint="eastAsia" w:ascii="宋体" w:hAnsi="宋体" w:cs="宋体"/>
                <w:kern w:val="0"/>
                <w:sz w:val="21"/>
                <w:szCs w:val="21"/>
              </w:rPr>
              <w:t>可调多轴钻床</w:t>
            </w:r>
          </w:p>
        </w:tc>
        <w:tc>
          <w:tcPr>
            <w:tcW w:w="1416"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KZ2-B4-14</w:t>
            </w:r>
          </w:p>
        </w:tc>
        <w:tc>
          <w:tcPr>
            <w:tcW w:w="407"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2</w:t>
            </w:r>
          </w:p>
        </w:tc>
        <w:tc>
          <w:tcPr>
            <w:tcW w:w="811" w:type="pct"/>
            <w:noWrap/>
            <w:vAlign w:val="center"/>
          </w:tcPr>
          <w:p>
            <w:pPr>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numPr>
                <w:ilvl w:val="0"/>
                <w:numId w:val="16"/>
              </w:numPr>
              <w:snapToGrid w:val="0"/>
              <w:spacing w:line="240" w:lineRule="auto"/>
              <w:ind w:firstLineChars="0"/>
              <w:jc w:val="center"/>
              <w:rPr>
                <w:rFonts w:ascii="宋体" w:hAnsi="宋体" w:cs="宋体"/>
                <w:b/>
                <w:bCs/>
                <w:kern w:val="0"/>
                <w:sz w:val="21"/>
                <w:szCs w:val="21"/>
              </w:rPr>
            </w:pPr>
          </w:p>
        </w:tc>
        <w:tc>
          <w:tcPr>
            <w:tcW w:w="1865" w:type="pct"/>
            <w:noWrap/>
            <w:vAlign w:val="center"/>
          </w:tcPr>
          <w:p>
            <w:pPr>
              <w:snapToGrid w:val="0"/>
              <w:spacing w:line="240" w:lineRule="auto"/>
              <w:ind w:firstLine="0" w:firstLineChars="0"/>
              <w:rPr>
                <w:rFonts w:ascii="宋体" w:hAnsi="宋体" w:cs="宋体"/>
                <w:kern w:val="0"/>
                <w:sz w:val="21"/>
                <w:szCs w:val="21"/>
              </w:rPr>
            </w:pPr>
            <w:r>
              <w:rPr>
                <w:rFonts w:hint="eastAsia" w:ascii="宋体" w:hAnsi="宋体" w:cs="宋体"/>
                <w:kern w:val="0"/>
                <w:sz w:val="21"/>
                <w:szCs w:val="21"/>
              </w:rPr>
              <w:t>立式升降台铣床</w:t>
            </w:r>
          </w:p>
        </w:tc>
        <w:tc>
          <w:tcPr>
            <w:tcW w:w="1416"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X5032A</w:t>
            </w:r>
          </w:p>
        </w:tc>
        <w:tc>
          <w:tcPr>
            <w:tcW w:w="407"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3</w:t>
            </w:r>
          </w:p>
        </w:tc>
        <w:tc>
          <w:tcPr>
            <w:tcW w:w="811" w:type="pct"/>
            <w:noWrap/>
            <w:vAlign w:val="center"/>
          </w:tcPr>
          <w:p>
            <w:pPr>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numPr>
                <w:ilvl w:val="0"/>
                <w:numId w:val="16"/>
              </w:numPr>
              <w:snapToGrid w:val="0"/>
              <w:spacing w:line="240" w:lineRule="auto"/>
              <w:ind w:firstLineChars="0"/>
              <w:jc w:val="center"/>
              <w:rPr>
                <w:rFonts w:ascii="宋体" w:hAnsi="宋体" w:cs="宋体"/>
                <w:b/>
                <w:bCs/>
                <w:kern w:val="0"/>
                <w:sz w:val="21"/>
                <w:szCs w:val="21"/>
              </w:rPr>
            </w:pPr>
          </w:p>
        </w:tc>
        <w:tc>
          <w:tcPr>
            <w:tcW w:w="1865" w:type="pct"/>
            <w:noWrap/>
            <w:vAlign w:val="center"/>
          </w:tcPr>
          <w:p>
            <w:pPr>
              <w:snapToGrid w:val="0"/>
              <w:spacing w:line="240" w:lineRule="auto"/>
              <w:ind w:firstLine="0" w:firstLineChars="0"/>
              <w:rPr>
                <w:rFonts w:ascii="宋体" w:hAnsi="宋体" w:cs="宋体"/>
                <w:kern w:val="0"/>
                <w:sz w:val="21"/>
                <w:szCs w:val="21"/>
              </w:rPr>
            </w:pPr>
            <w:r>
              <w:rPr>
                <w:rFonts w:hint="eastAsia" w:ascii="宋体" w:hAnsi="宋体" w:cs="宋体"/>
                <w:kern w:val="0"/>
                <w:sz w:val="21"/>
                <w:szCs w:val="21"/>
              </w:rPr>
              <w:t>立式金刚镗床</w:t>
            </w:r>
          </w:p>
        </w:tc>
        <w:tc>
          <w:tcPr>
            <w:tcW w:w="1416"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T716A</w:t>
            </w:r>
          </w:p>
        </w:tc>
        <w:tc>
          <w:tcPr>
            <w:tcW w:w="407"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1</w:t>
            </w:r>
          </w:p>
        </w:tc>
        <w:tc>
          <w:tcPr>
            <w:tcW w:w="811" w:type="pct"/>
            <w:noWrap/>
            <w:vAlign w:val="center"/>
          </w:tcPr>
          <w:p>
            <w:pPr>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numPr>
                <w:ilvl w:val="0"/>
                <w:numId w:val="16"/>
              </w:numPr>
              <w:snapToGrid w:val="0"/>
              <w:spacing w:line="240" w:lineRule="auto"/>
              <w:ind w:firstLineChars="0"/>
              <w:jc w:val="center"/>
              <w:rPr>
                <w:rFonts w:ascii="宋体" w:hAnsi="宋体" w:cs="宋体"/>
                <w:b/>
                <w:bCs/>
                <w:kern w:val="0"/>
                <w:sz w:val="21"/>
                <w:szCs w:val="21"/>
              </w:rPr>
            </w:pPr>
          </w:p>
        </w:tc>
        <w:tc>
          <w:tcPr>
            <w:tcW w:w="1865" w:type="pct"/>
            <w:noWrap/>
            <w:vAlign w:val="center"/>
          </w:tcPr>
          <w:p>
            <w:pPr>
              <w:snapToGrid w:val="0"/>
              <w:spacing w:line="240" w:lineRule="auto"/>
              <w:ind w:firstLine="0" w:firstLineChars="0"/>
              <w:rPr>
                <w:rFonts w:ascii="宋体" w:hAnsi="宋体" w:cs="宋体"/>
                <w:kern w:val="0"/>
                <w:sz w:val="21"/>
                <w:szCs w:val="21"/>
              </w:rPr>
            </w:pPr>
            <w:r>
              <w:rPr>
                <w:rFonts w:hint="eastAsia" w:ascii="宋体" w:hAnsi="宋体" w:cs="宋体"/>
                <w:kern w:val="0"/>
                <w:sz w:val="21"/>
                <w:szCs w:val="21"/>
              </w:rPr>
              <w:t>立式金刚镗床</w:t>
            </w:r>
          </w:p>
        </w:tc>
        <w:tc>
          <w:tcPr>
            <w:tcW w:w="1416"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T7220B</w:t>
            </w:r>
          </w:p>
        </w:tc>
        <w:tc>
          <w:tcPr>
            <w:tcW w:w="407"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1</w:t>
            </w:r>
          </w:p>
        </w:tc>
        <w:tc>
          <w:tcPr>
            <w:tcW w:w="811" w:type="pct"/>
            <w:noWrap/>
            <w:vAlign w:val="center"/>
          </w:tcPr>
          <w:p>
            <w:pPr>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numPr>
                <w:ilvl w:val="0"/>
                <w:numId w:val="16"/>
              </w:numPr>
              <w:snapToGrid w:val="0"/>
              <w:spacing w:line="240" w:lineRule="auto"/>
              <w:ind w:firstLineChars="0"/>
              <w:jc w:val="center"/>
              <w:rPr>
                <w:rFonts w:ascii="宋体" w:hAnsi="宋体" w:cs="宋体"/>
                <w:b/>
                <w:bCs/>
                <w:kern w:val="0"/>
                <w:sz w:val="21"/>
                <w:szCs w:val="21"/>
              </w:rPr>
            </w:pPr>
          </w:p>
        </w:tc>
        <w:tc>
          <w:tcPr>
            <w:tcW w:w="1865" w:type="pct"/>
            <w:noWrap/>
            <w:vAlign w:val="center"/>
          </w:tcPr>
          <w:p>
            <w:pPr>
              <w:snapToGrid w:val="0"/>
              <w:spacing w:line="240" w:lineRule="auto"/>
              <w:ind w:firstLine="0" w:firstLineChars="0"/>
              <w:rPr>
                <w:rFonts w:ascii="宋体" w:hAnsi="宋体" w:cs="宋体"/>
                <w:kern w:val="0"/>
                <w:sz w:val="21"/>
                <w:szCs w:val="21"/>
              </w:rPr>
            </w:pPr>
            <w:r>
              <w:rPr>
                <w:rFonts w:hint="eastAsia" w:ascii="宋体" w:hAnsi="宋体" w:cs="宋体"/>
                <w:kern w:val="0"/>
                <w:sz w:val="21"/>
                <w:szCs w:val="21"/>
              </w:rPr>
              <w:t>三坐标测量仪</w:t>
            </w:r>
          </w:p>
        </w:tc>
        <w:tc>
          <w:tcPr>
            <w:tcW w:w="1416"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GLOBAL Silver 575</w:t>
            </w:r>
          </w:p>
        </w:tc>
        <w:tc>
          <w:tcPr>
            <w:tcW w:w="407"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1</w:t>
            </w:r>
          </w:p>
        </w:tc>
        <w:tc>
          <w:tcPr>
            <w:tcW w:w="811" w:type="pct"/>
            <w:noWrap/>
            <w:vAlign w:val="center"/>
          </w:tcPr>
          <w:p>
            <w:pPr>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numPr>
                <w:ilvl w:val="0"/>
                <w:numId w:val="16"/>
              </w:numPr>
              <w:snapToGrid w:val="0"/>
              <w:spacing w:line="240" w:lineRule="auto"/>
              <w:ind w:firstLineChars="0"/>
              <w:jc w:val="center"/>
              <w:rPr>
                <w:rFonts w:ascii="宋体" w:hAnsi="宋体" w:cs="宋体"/>
                <w:b/>
                <w:bCs/>
                <w:kern w:val="0"/>
                <w:sz w:val="21"/>
                <w:szCs w:val="21"/>
              </w:rPr>
            </w:pPr>
          </w:p>
        </w:tc>
        <w:tc>
          <w:tcPr>
            <w:tcW w:w="1865" w:type="pct"/>
            <w:noWrap/>
            <w:vAlign w:val="center"/>
          </w:tcPr>
          <w:p>
            <w:pPr>
              <w:snapToGrid w:val="0"/>
              <w:spacing w:line="240" w:lineRule="auto"/>
              <w:ind w:firstLine="0" w:firstLineChars="0"/>
              <w:rPr>
                <w:rFonts w:ascii="宋体" w:hAnsi="宋体" w:cs="宋体"/>
                <w:kern w:val="0"/>
                <w:sz w:val="21"/>
                <w:szCs w:val="21"/>
              </w:rPr>
            </w:pPr>
            <w:r>
              <w:rPr>
                <w:rFonts w:hint="eastAsia" w:ascii="宋体" w:hAnsi="宋体" w:cs="宋体"/>
                <w:kern w:val="0"/>
                <w:sz w:val="21"/>
                <w:szCs w:val="21"/>
              </w:rPr>
              <w:t>箱式电阻炉</w:t>
            </w:r>
          </w:p>
        </w:tc>
        <w:tc>
          <w:tcPr>
            <w:tcW w:w="1416"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RX3-15-9</w:t>
            </w:r>
          </w:p>
        </w:tc>
        <w:tc>
          <w:tcPr>
            <w:tcW w:w="407"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1</w:t>
            </w:r>
          </w:p>
        </w:tc>
        <w:tc>
          <w:tcPr>
            <w:tcW w:w="811" w:type="pct"/>
            <w:noWrap/>
            <w:vAlign w:val="center"/>
          </w:tcPr>
          <w:p>
            <w:pPr>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numPr>
                <w:ilvl w:val="0"/>
                <w:numId w:val="16"/>
              </w:numPr>
              <w:snapToGrid w:val="0"/>
              <w:spacing w:line="240" w:lineRule="auto"/>
              <w:ind w:firstLineChars="0"/>
              <w:jc w:val="center"/>
              <w:rPr>
                <w:rFonts w:ascii="宋体" w:hAnsi="宋体" w:cs="宋体"/>
                <w:b/>
                <w:bCs/>
                <w:kern w:val="0"/>
                <w:sz w:val="21"/>
                <w:szCs w:val="21"/>
              </w:rPr>
            </w:pPr>
          </w:p>
        </w:tc>
        <w:tc>
          <w:tcPr>
            <w:tcW w:w="1865" w:type="pct"/>
            <w:noWrap/>
            <w:vAlign w:val="center"/>
          </w:tcPr>
          <w:p>
            <w:pPr>
              <w:snapToGrid w:val="0"/>
              <w:spacing w:line="240" w:lineRule="auto"/>
              <w:ind w:firstLine="0" w:firstLineChars="0"/>
              <w:rPr>
                <w:rFonts w:ascii="宋体" w:hAnsi="宋体" w:cs="宋体"/>
                <w:kern w:val="0"/>
                <w:sz w:val="21"/>
                <w:szCs w:val="21"/>
              </w:rPr>
            </w:pPr>
            <w:r>
              <w:rPr>
                <w:rFonts w:hint="eastAsia" w:ascii="宋体" w:hAnsi="宋体" w:cs="宋体"/>
                <w:kern w:val="0"/>
                <w:sz w:val="21"/>
                <w:szCs w:val="21"/>
              </w:rPr>
              <w:t>清洁度检测成套设备</w:t>
            </w:r>
          </w:p>
        </w:tc>
        <w:tc>
          <w:tcPr>
            <w:tcW w:w="1416" w:type="pct"/>
            <w:noWrap/>
            <w:vAlign w:val="center"/>
          </w:tcPr>
          <w:p>
            <w:pPr>
              <w:snapToGrid w:val="0"/>
              <w:spacing w:line="240" w:lineRule="auto"/>
              <w:ind w:firstLine="0" w:firstLineChars="0"/>
              <w:jc w:val="center"/>
              <w:rPr>
                <w:rFonts w:ascii="宋体" w:hAnsi="宋体" w:cs="宋体"/>
                <w:kern w:val="0"/>
                <w:sz w:val="21"/>
                <w:szCs w:val="21"/>
              </w:rPr>
            </w:pPr>
          </w:p>
        </w:tc>
        <w:tc>
          <w:tcPr>
            <w:tcW w:w="407" w:type="pct"/>
            <w:noWrap/>
            <w:vAlign w:val="center"/>
          </w:tcPr>
          <w:p>
            <w:pPr>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1</w:t>
            </w:r>
          </w:p>
        </w:tc>
        <w:tc>
          <w:tcPr>
            <w:tcW w:w="811" w:type="pct"/>
            <w:noWrap/>
            <w:vAlign w:val="center"/>
          </w:tcPr>
          <w:p>
            <w:pPr>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snapToGrid w:val="0"/>
              <w:spacing w:line="240" w:lineRule="auto"/>
              <w:ind w:firstLine="0" w:firstLineChars="0"/>
              <w:jc w:val="center"/>
              <w:rPr>
                <w:rFonts w:ascii="宋体" w:hAnsi="宋体" w:cs="宋体"/>
                <w:b/>
                <w:bCs/>
                <w:kern w:val="0"/>
                <w:sz w:val="21"/>
                <w:szCs w:val="21"/>
              </w:rPr>
            </w:pPr>
            <w:r>
              <w:rPr>
                <w:rFonts w:hint="eastAsia" w:ascii="宋体" w:hAnsi="宋体" w:cs="宋体"/>
                <w:b/>
                <w:bCs/>
                <w:kern w:val="0"/>
                <w:sz w:val="21"/>
                <w:szCs w:val="21"/>
              </w:rPr>
              <w:t>三</w:t>
            </w:r>
          </w:p>
        </w:tc>
        <w:tc>
          <w:tcPr>
            <w:tcW w:w="1865" w:type="pct"/>
            <w:noWrap/>
            <w:vAlign w:val="center"/>
          </w:tcPr>
          <w:p>
            <w:pPr>
              <w:snapToGrid w:val="0"/>
              <w:spacing w:line="240" w:lineRule="auto"/>
              <w:ind w:firstLine="0" w:firstLineChars="0"/>
              <w:jc w:val="center"/>
              <w:rPr>
                <w:rFonts w:ascii="宋体" w:hAnsi="宋体" w:cs="宋体"/>
                <w:b/>
                <w:bCs/>
                <w:kern w:val="0"/>
                <w:sz w:val="21"/>
                <w:szCs w:val="21"/>
              </w:rPr>
            </w:pPr>
            <w:r>
              <w:rPr>
                <w:rFonts w:hint="eastAsia" w:ascii="宋体" w:hAnsi="宋体" w:cs="宋体"/>
                <w:b/>
                <w:bCs/>
                <w:kern w:val="0"/>
                <w:sz w:val="21"/>
                <w:szCs w:val="21"/>
              </w:rPr>
              <w:t>起重运输设备</w:t>
            </w:r>
          </w:p>
        </w:tc>
        <w:tc>
          <w:tcPr>
            <w:tcW w:w="1416" w:type="pct"/>
            <w:noWrap/>
            <w:vAlign w:val="center"/>
          </w:tcPr>
          <w:p>
            <w:pPr>
              <w:snapToGrid w:val="0"/>
              <w:spacing w:line="240" w:lineRule="auto"/>
              <w:ind w:firstLine="0" w:firstLineChars="0"/>
              <w:jc w:val="center"/>
              <w:rPr>
                <w:rFonts w:ascii="宋体" w:hAnsi="宋体" w:cs="宋体"/>
                <w:kern w:val="0"/>
                <w:sz w:val="21"/>
                <w:szCs w:val="21"/>
              </w:rPr>
            </w:pPr>
          </w:p>
        </w:tc>
        <w:tc>
          <w:tcPr>
            <w:tcW w:w="407" w:type="pct"/>
            <w:noWrap/>
            <w:vAlign w:val="center"/>
          </w:tcPr>
          <w:p>
            <w:pPr>
              <w:snapToGrid w:val="0"/>
              <w:spacing w:line="240" w:lineRule="auto"/>
              <w:ind w:firstLine="0" w:firstLineChars="0"/>
              <w:jc w:val="center"/>
              <w:rPr>
                <w:rFonts w:ascii="宋体" w:hAnsi="宋体" w:cs="宋体"/>
                <w:kern w:val="0"/>
                <w:sz w:val="21"/>
                <w:szCs w:val="21"/>
              </w:rPr>
            </w:pPr>
          </w:p>
        </w:tc>
        <w:tc>
          <w:tcPr>
            <w:tcW w:w="811" w:type="pct"/>
            <w:noWrap/>
            <w:vAlign w:val="center"/>
          </w:tcPr>
          <w:p>
            <w:pPr>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widowControl/>
              <w:numPr>
                <w:ilvl w:val="0"/>
                <w:numId w:val="17"/>
              </w:numPr>
              <w:snapToGrid w:val="0"/>
              <w:spacing w:line="240" w:lineRule="auto"/>
              <w:ind w:firstLineChars="0"/>
              <w:jc w:val="center"/>
              <w:rPr>
                <w:rFonts w:ascii="宋体" w:hAnsi="宋体" w:cs="宋体"/>
                <w:b/>
                <w:bCs/>
                <w:kern w:val="0"/>
                <w:sz w:val="21"/>
                <w:szCs w:val="21"/>
              </w:rPr>
            </w:pPr>
          </w:p>
        </w:tc>
        <w:tc>
          <w:tcPr>
            <w:tcW w:w="1865" w:type="pct"/>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2"/>
                <w:lang w:bidi="ar"/>
              </w:rPr>
              <w:t>电动单梁起重机（冶金吊）</w:t>
            </w:r>
          </w:p>
        </w:tc>
        <w:tc>
          <w:tcPr>
            <w:tcW w:w="1416" w:type="pct"/>
            <w:noWrap/>
            <w:vAlign w:val="center"/>
          </w:tcPr>
          <w:p>
            <w:pPr>
              <w:widowControl/>
              <w:spacing w:line="240" w:lineRule="auto"/>
              <w:ind w:firstLine="0" w:firstLineChars="0"/>
              <w:jc w:val="center"/>
              <w:textAlignment w:val="center"/>
              <w:rPr>
                <w:rFonts w:ascii="宋体" w:hAnsi="宋体" w:cs="宋体"/>
                <w:b/>
                <w:bCs/>
                <w:color w:val="000000"/>
                <w:sz w:val="24"/>
                <w:szCs w:val="24"/>
              </w:rPr>
            </w:pPr>
            <w:r>
              <w:rPr>
                <w:rFonts w:hint="eastAsia" w:ascii="宋体" w:hAnsi="宋体" w:cs="宋体"/>
                <w:color w:val="000000"/>
                <w:kern w:val="0"/>
                <w:sz w:val="22"/>
                <w:lang w:bidi="ar"/>
              </w:rPr>
              <w:t>LDY10-25.5 A3</w:t>
            </w:r>
          </w:p>
        </w:tc>
        <w:tc>
          <w:tcPr>
            <w:tcW w:w="407" w:type="pct"/>
            <w:noWrap/>
            <w:vAlign w:val="center"/>
          </w:tcPr>
          <w:p>
            <w:pPr>
              <w:widowControl/>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1</w:t>
            </w:r>
          </w:p>
        </w:tc>
        <w:tc>
          <w:tcPr>
            <w:tcW w:w="811" w:type="pct"/>
            <w:noWrap/>
            <w:vAlign w:val="center"/>
          </w:tcPr>
          <w:p>
            <w:pPr>
              <w:widowControl/>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widowControl/>
              <w:numPr>
                <w:ilvl w:val="0"/>
                <w:numId w:val="17"/>
              </w:numPr>
              <w:snapToGrid w:val="0"/>
              <w:spacing w:line="240" w:lineRule="auto"/>
              <w:ind w:firstLineChars="0"/>
              <w:jc w:val="center"/>
              <w:rPr>
                <w:rFonts w:ascii="宋体" w:hAnsi="宋体" w:cs="宋体"/>
                <w:b/>
                <w:bCs/>
                <w:kern w:val="0"/>
                <w:sz w:val="21"/>
                <w:szCs w:val="21"/>
              </w:rPr>
            </w:pPr>
          </w:p>
        </w:tc>
        <w:tc>
          <w:tcPr>
            <w:tcW w:w="1865" w:type="pct"/>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2"/>
                <w:lang w:bidi="ar"/>
              </w:rPr>
              <w:t>电动单梁起重机</w:t>
            </w:r>
          </w:p>
        </w:tc>
        <w:tc>
          <w:tcPr>
            <w:tcW w:w="1416" w:type="pct"/>
            <w:noWrap/>
            <w:vAlign w:val="center"/>
          </w:tcPr>
          <w:p>
            <w:pPr>
              <w:widowControl/>
              <w:spacing w:line="240" w:lineRule="auto"/>
              <w:ind w:firstLine="0" w:firstLineChars="0"/>
              <w:jc w:val="center"/>
              <w:textAlignment w:val="center"/>
              <w:rPr>
                <w:rFonts w:ascii="宋体" w:hAnsi="宋体" w:cs="宋体"/>
                <w:b/>
                <w:bCs/>
                <w:color w:val="000000"/>
                <w:sz w:val="24"/>
                <w:szCs w:val="24"/>
              </w:rPr>
            </w:pPr>
            <w:r>
              <w:rPr>
                <w:rFonts w:hint="eastAsia" w:ascii="宋体" w:hAnsi="宋体" w:cs="宋体"/>
                <w:color w:val="000000"/>
                <w:kern w:val="0"/>
                <w:sz w:val="22"/>
                <w:lang w:bidi="ar"/>
              </w:rPr>
              <w:t>LD5-25.5 A4</w:t>
            </w:r>
          </w:p>
        </w:tc>
        <w:tc>
          <w:tcPr>
            <w:tcW w:w="407" w:type="pct"/>
            <w:noWrap/>
            <w:vAlign w:val="center"/>
          </w:tcPr>
          <w:p>
            <w:pPr>
              <w:widowControl/>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1</w:t>
            </w:r>
          </w:p>
        </w:tc>
        <w:tc>
          <w:tcPr>
            <w:tcW w:w="811" w:type="pct"/>
            <w:noWrap/>
            <w:vAlign w:val="center"/>
          </w:tcPr>
          <w:p>
            <w:pPr>
              <w:widowControl/>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widowControl/>
              <w:numPr>
                <w:ilvl w:val="0"/>
                <w:numId w:val="17"/>
              </w:numPr>
              <w:snapToGrid w:val="0"/>
              <w:spacing w:line="240" w:lineRule="auto"/>
              <w:ind w:firstLineChars="0"/>
              <w:jc w:val="center"/>
              <w:rPr>
                <w:rFonts w:ascii="宋体" w:hAnsi="宋体" w:cs="宋体"/>
                <w:b/>
                <w:bCs/>
                <w:kern w:val="0"/>
                <w:sz w:val="21"/>
                <w:szCs w:val="21"/>
              </w:rPr>
            </w:pPr>
          </w:p>
        </w:tc>
        <w:tc>
          <w:tcPr>
            <w:tcW w:w="1865" w:type="pct"/>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2"/>
                <w:lang w:bidi="ar"/>
              </w:rPr>
              <w:t>电动单梁起重机</w:t>
            </w:r>
          </w:p>
        </w:tc>
        <w:tc>
          <w:tcPr>
            <w:tcW w:w="1416" w:type="pct"/>
            <w:noWrap/>
            <w:vAlign w:val="center"/>
          </w:tcPr>
          <w:p>
            <w:pPr>
              <w:widowControl/>
              <w:spacing w:line="240" w:lineRule="auto"/>
              <w:ind w:firstLine="0" w:firstLineChars="0"/>
              <w:jc w:val="center"/>
              <w:textAlignment w:val="center"/>
              <w:rPr>
                <w:rFonts w:ascii="宋体" w:hAnsi="宋体" w:cs="宋体"/>
                <w:kern w:val="0"/>
                <w:sz w:val="21"/>
                <w:szCs w:val="21"/>
              </w:rPr>
            </w:pPr>
            <w:r>
              <w:rPr>
                <w:rFonts w:hint="eastAsia" w:ascii="宋体" w:hAnsi="宋体" w:cs="宋体"/>
                <w:color w:val="000000"/>
                <w:kern w:val="0"/>
                <w:sz w:val="22"/>
                <w:lang w:bidi="ar"/>
              </w:rPr>
              <w:t>LDY10-16.5 A4</w:t>
            </w:r>
          </w:p>
        </w:tc>
        <w:tc>
          <w:tcPr>
            <w:tcW w:w="407" w:type="pct"/>
            <w:noWrap/>
            <w:vAlign w:val="center"/>
          </w:tcPr>
          <w:p>
            <w:pPr>
              <w:widowControl/>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1</w:t>
            </w:r>
          </w:p>
        </w:tc>
        <w:tc>
          <w:tcPr>
            <w:tcW w:w="811" w:type="pct"/>
            <w:noWrap/>
            <w:vAlign w:val="center"/>
          </w:tcPr>
          <w:p>
            <w:pPr>
              <w:widowControl/>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widowControl/>
              <w:numPr>
                <w:ilvl w:val="0"/>
                <w:numId w:val="17"/>
              </w:numPr>
              <w:snapToGrid w:val="0"/>
              <w:spacing w:line="240" w:lineRule="auto"/>
              <w:ind w:firstLineChars="0"/>
              <w:jc w:val="center"/>
              <w:rPr>
                <w:rFonts w:ascii="宋体" w:hAnsi="宋体" w:cs="宋体"/>
                <w:b/>
                <w:bCs/>
                <w:kern w:val="0"/>
                <w:sz w:val="21"/>
                <w:szCs w:val="21"/>
              </w:rPr>
            </w:pPr>
          </w:p>
        </w:tc>
        <w:tc>
          <w:tcPr>
            <w:tcW w:w="1865" w:type="pct"/>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2"/>
                <w:lang w:bidi="ar"/>
              </w:rPr>
              <w:t>电动单梁起重机（冶金吊）</w:t>
            </w:r>
          </w:p>
        </w:tc>
        <w:tc>
          <w:tcPr>
            <w:tcW w:w="1416" w:type="pct"/>
            <w:noWrap/>
            <w:vAlign w:val="center"/>
          </w:tcPr>
          <w:p>
            <w:pPr>
              <w:widowControl/>
              <w:spacing w:line="240" w:lineRule="auto"/>
              <w:ind w:firstLine="0" w:firstLineChars="0"/>
              <w:jc w:val="center"/>
              <w:textAlignment w:val="center"/>
              <w:rPr>
                <w:rFonts w:ascii="宋体" w:hAnsi="宋体" w:cs="宋体"/>
                <w:kern w:val="0"/>
                <w:sz w:val="21"/>
                <w:szCs w:val="21"/>
              </w:rPr>
            </w:pPr>
            <w:r>
              <w:rPr>
                <w:rFonts w:hint="eastAsia" w:ascii="宋体" w:hAnsi="宋体" w:cs="宋体"/>
                <w:color w:val="000000"/>
                <w:kern w:val="0"/>
                <w:sz w:val="22"/>
                <w:lang w:bidi="ar"/>
              </w:rPr>
              <w:t>LDY10-25.5 A4</w:t>
            </w:r>
          </w:p>
        </w:tc>
        <w:tc>
          <w:tcPr>
            <w:tcW w:w="407" w:type="pct"/>
            <w:noWrap/>
            <w:vAlign w:val="center"/>
          </w:tcPr>
          <w:p>
            <w:pPr>
              <w:widowControl/>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1</w:t>
            </w:r>
          </w:p>
        </w:tc>
        <w:tc>
          <w:tcPr>
            <w:tcW w:w="811" w:type="pct"/>
            <w:noWrap/>
            <w:vAlign w:val="center"/>
          </w:tcPr>
          <w:p>
            <w:pPr>
              <w:widowControl/>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widowControl/>
              <w:numPr>
                <w:ilvl w:val="0"/>
                <w:numId w:val="17"/>
              </w:numPr>
              <w:snapToGrid w:val="0"/>
              <w:spacing w:line="240" w:lineRule="auto"/>
              <w:ind w:firstLineChars="0"/>
              <w:jc w:val="center"/>
              <w:rPr>
                <w:rFonts w:ascii="宋体" w:hAnsi="宋体" w:cs="宋体"/>
                <w:b/>
                <w:bCs/>
                <w:kern w:val="0"/>
                <w:sz w:val="21"/>
                <w:szCs w:val="21"/>
              </w:rPr>
            </w:pPr>
          </w:p>
        </w:tc>
        <w:tc>
          <w:tcPr>
            <w:tcW w:w="1865" w:type="pct"/>
            <w:noWrap/>
            <w:vAlign w:val="center"/>
          </w:tcPr>
          <w:p>
            <w:pPr>
              <w:widowControl/>
              <w:spacing w:line="240" w:lineRule="auto"/>
              <w:ind w:firstLine="0" w:firstLineChars="0"/>
              <w:textAlignment w:val="center"/>
              <w:rPr>
                <w:rFonts w:ascii="宋体" w:hAnsi="宋体" w:cs="宋体"/>
                <w:kern w:val="0"/>
                <w:sz w:val="21"/>
                <w:szCs w:val="21"/>
              </w:rPr>
            </w:pPr>
            <w:r>
              <w:rPr>
                <w:rFonts w:hint="eastAsia" w:ascii="宋体" w:hAnsi="宋体" w:cs="宋体"/>
                <w:color w:val="000000"/>
                <w:kern w:val="0"/>
                <w:sz w:val="22"/>
                <w:lang w:bidi="ar"/>
              </w:rPr>
              <w:t>电动单梁起重机</w:t>
            </w:r>
          </w:p>
        </w:tc>
        <w:tc>
          <w:tcPr>
            <w:tcW w:w="1416" w:type="pct"/>
            <w:noWrap/>
            <w:vAlign w:val="center"/>
          </w:tcPr>
          <w:p>
            <w:pPr>
              <w:widowControl/>
              <w:spacing w:line="240" w:lineRule="auto"/>
              <w:ind w:firstLine="0" w:firstLineChars="0"/>
              <w:jc w:val="center"/>
              <w:textAlignment w:val="center"/>
              <w:rPr>
                <w:rFonts w:ascii="宋体" w:hAnsi="宋体" w:cs="宋体"/>
                <w:kern w:val="0"/>
                <w:sz w:val="21"/>
                <w:szCs w:val="21"/>
              </w:rPr>
            </w:pPr>
            <w:r>
              <w:rPr>
                <w:rFonts w:hint="eastAsia" w:ascii="宋体" w:hAnsi="宋体" w:cs="宋体"/>
                <w:color w:val="000000"/>
                <w:kern w:val="0"/>
                <w:sz w:val="22"/>
                <w:lang w:bidi="ar"/>
              </w:rPr>
              <w:t>LD5-25.5 A4</w:t>
            </w:r>
          </w:p>
        </w:tc>
        <w:tc>
          <w:tcPr>
            <w:tcW w:w="407" w:type="pct"/>
            <w:noWrap/>
            <w:vAlign w:val="center"/>
          </w:tcPr>
          <w:p>
            <w:pPr>
              <w:widowControl/>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1</w:t>
            </w:r>
          </w:p>
        </w:tc>
        <w:tc>
          <w:tcPr>
            <w:tcW w:w="811" w:type="pct"/>
            <w:noWrap/>
            <w:vAlign w:val="center"/>
          </w:tcPr>
          <w:p>
            <w:pPr>
              <w:widowControl/>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widowControl/>
              <w:snapToGrid w:val="0"/>
              <w:spacing w:line="240" w:lineRule="auto"/>
              <w:ind w:firstLine="0" w:firstLineChars="0"/>
              <w:jc w:val="center"/>
              <w:rPr>
                <w:rFonts w:ascii="宋体" w:hAnsi="宋体" w:cs="宋体"/>
                <w:b/>
                <w:bCs/>
                <w:kern w:val="0"/>
                <w:sz w:val="21"/>
                <w:szCs w:val="21"/>
              </w:rPr>
            </w:pPr>
            <w:r>
              <w:rPr>
                <w:rFonts w:hint="eastAsia" w:ascii="宋体" w:hAnsi="宋体" w:cs="宋体"/>
                <w:b/>
                <w:bCs/>
                <w:kern w:val="0"/>
                <w:sz w:val="21"/>
                <w:szCs w:val="21"/>
              </w:rPr>
              <w:t>四</w:t>
            </w:r>
          </w:p>
        </w:tc>
        <w:tc>
          <w:tcPr>
            <w:tcW w:w="1865" w:type="pct"/>
            <w:noWrap/>
            <w:vAlign w:val="center"/>
          </w:tcPr>
          <w:p>
            <w:pPr>
              <w:widowControl/>
              <w:spacing w:line="240" w:lineRule="auto"/>
              <w:ind w:firstLine="0" w:firstLineChars="0"/>
              <w:jc w:val="center"/>
              <w:textAlignment w:val="center"/>
              <w:rPr>
                <w:rFonts w:ascii="宋体" w:hAnsi="宋体" w:cs="宋体"/>
                <w:color w:val="000000"/>
                <w:sz w:val="22"/>
              </w:rPr>
            </w:pPr>
            <w:r>
              <w:rPr>
                <w:rFonts w:hint="eastAsia" w:ascii="宋体" w:hAnsi="宋体" w:cs="宋体"/>
                <w:b/>
                <w:bCs/>
                <w:color w:val="000000"/>
                <w:sz w:val="22"/>
              </w:rPr>
              <w:t>叉车</w:t>
            </w:r>
          </w:p>
        </w:tc>
        <w:tc>
          <w:tcPr>
            <w:tcW w:w="1416" w:type="pct"/>
            <w:noWrap/>
            <w:vAlign w:val="center"/>
          </w:tcPr>
          <w:p>
            <w:pPr>
              <w:widowControl/>
              <w:spacing w:line="240" w:lineRule="auto"/>
              <w:ind w:firstLine="0" w:firstLineChars="0"/>
              <w:jc w:val="center"/>
              <w:textAlignment w:val="center"/>
              <w:rPr>
                <w:rFonts w:ascii="宋体" w:hAnsi="宋体" w:cs="宋体"/>
                <w:color w:val="000000"/>
                <w:sz w:val="22"/>
              </w:rPr>
            </w:pPr>
          </w:p>
        </w:tc>
        <w:tc>
          <w:tcPr>
            <w:tcW w:w="407" w:type="pct"/>
            <w:noWrap/>
            <w:vAlign w:val="center"/>
          </w:tcPr>
          <w:p>
            <w:pPr>
              <w:widowControl/>
              <w:snapToGrid w:val="0"/>
              <w:spacing w:line="240" w:lineRule="auto"/>
              <w:ind w:firstLine="0" w:firstLineChars="0"/>
              <w:jc w:val="center"/>
              <w:rPr>
                <w:rFonts w:ascii="宋体" w:hAnsi="宋体" w:cs="宋体"/>
                <w:kern w:val="0"/>
                <w:sz w:val="21"/>
                <w:szCs w:val="21"/>
              </w:rPr>
            </w:pPr>
          </w:p>
        </w:tc>
        <w:tc>
          <w:tcPr>
            <w:tcW w:w="811" w:type="pct"/>
            <w:noWrap/>
            <w:vAlign w:val="center"/>
          </w:tcPr>
          <w:p>
            <w:pPr>
              <w:widowControl/>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noWrap/>
            <w:vAlign w:val="center"/>
          </w:tcPr>
          <w:p>
            <w:pPr>
              <w:widowControl/>
              <w:numPr>
                <w:ilvl w:val="0"/>
                <w:numId w:val="18"/>
              </w:numPr>
              <w:snapToGrid w:val="0"/>
              <w:spacing w:line="240" w:lineRule="auto"/>
              <w:ind w:firstLineChars="0"/>
              <w:jc w:val="center"/>
              <w:rPr>
                <w:rFonts w:ascii="宋体" w:hAnsi="宋体" w:cs="宋体"/>
                <w:b/>
                <w:bCs/>
                <w:kern w:val="0"/>
                <w:sz w:val="21"/>
                <w:szCs w:val="21"/>
              </w:rPr>
            </w:pPr>
          </w:p>
        </w:tc>
        <w:tc>
          <w:tcPr>
            <w:tcW w:w="1865" w:type="pct"/>
            <w:noWrap/>
            <w:vAlign w:val="center"/>
          </w:tcPr>
          <w:p>
            <w:pPr>
              <w:widowControl/>
              <w:spacing w:line="240" w:lineRule="auto"/>
              <w:ind w:firstLine="0" w:firstLineChars="0"/>
              <w:textAlignment w:val="center"/>
              <w:rPr>
                <w:rFonts w:ascii="宋体" w:hAnsi="宋体" w:cs="宋体"/>
                <w:color w:val="000000"/>
                <w:sz w:val="22"/>
              </w:rPr>
            </w:pPr>
            <w:r>
              <w:rPr>
                <w:rFonts w:hint="eastAsia" w:ascii="宋体" w:hAnsi="宋体" w:cs="宋体"/>
                <w:color w:val="000000"/>
                <w:kern w:val="0"/>
                <w:sz w:val="22"/>
                <w:lang w:bidi="ar"/>
              </w:rPr>
              <w:t>内燃平衡重式叉车</w:t>
            </w:r>
          </w:p>
        </w:tc>
        <w:tc>
          <w:tcPr>
            <w:tcW w:w="1416" w:type="pct"/>
            <w:noWrap/>
            <w:vAlign w:val="center"/>
          </w:tcPr>
          <w:p>
            <w:pPr>
              <w:widowControl/>
              <w:spacing w:line="240" w:lineRule="auto"/>
              <w:ind w:firstLine="0" w:firstLineChars="0"/>
              <w:jc w:val="center"/>
              <w:textAlignment w:val="center"/>
              <w:rPr>
                <w:rFonts w:ascii="宋体" w:hAnsi="宋体" w:cs="宋体"/>
                <w:color w:val="000000"/>
                <w:sz w:val="22"/>
              </w:rPr>
            </w:pPr>
            <w:r>
              <w:rPr>
                <w:rFonts w:hint="eastAsia" w:ascii="宋体" w:hAnsi="宋体" w:cs="宋体"/>
                <w:color w:val="000000"/>
                <w:kern w:val="0"/>
                <w:sz w:val="22"/>
                <w:lang w:bidi="ar"/>
              </w:rPr>
              <w:t>CPCJ35</w:t>
            </w:r>
          </w:p>
        </w:tc>
        <w:tc>
          <w:tcPr>
            <w:tcW w:w="407" w:type="pct"/>
            <w:noWrap/>
            <w:vAlign w:val="center"/>
          </w:tcPr>
          <w:p>
            <w:pPr>
              <w:widowControl/>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1</w:t>
            </w:r>
          </w:p>
        </w:tc>
        <w:tc>
          <w:tcPr>
            <w:tcW w:w="811" w:type="pct"/>
            <w:noWrap/>
            <w:vAlign w:val="center"/>
          </w:tcPr>
          <w:p>
            <w:pPr>
              <w:widowControl/>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tcPr>
          <w:p>
            <w:pPr>
              <w:widowControl/>
              <w:numPr>
                <w:ilvl w:val="0"/>
                <w:numId w:val="18"/>
              </w:numPr>
              <w:snapToGrid w:val="0"/>
              <w:spacing w:line="240" w:lineRule="auto"/>
              <w:ind w:firstLineChars="0"/>
              <w:jc w:val="center"/>
              <w:rPr>
                <w:rFonts w:ascii="宋体" w:hAnsi="宋体" w:cs="宋体"/>
                <w:b/>
                <w:bCs/>
                <w:kern w:val="0"/>
                <w:sz w:val="21"/>
                <w:szCs w:val="21"/>
              </w:rPr>
            </w:pPr>
          </w:p>
        </w:tc>
        <w:tc>
          <w:tcPr>
            <w:tcW w:w="1865" w:type="pct"/>
            <w:vAlign w:val="center"/>
          </w:tcPr>
          <w:p>
            <w:pPr>
              <w:widowControl/>
              <w:spacing w:line="240" w:lineRule="auto"/>
              <w:ind w:firstLine="0" w:firstLineChars="0"/>
              <w:textAlignment w:val="center"/>
              <w:rPr>
                <w:rFonts w:ascii="宋体" w:hAnsi="宋体" w:cs="宋体"/>
                <w:color w:val="000000"/>
                <w:sz w:val="22"/>
              </w:rPr>
            </w:pPr>
            <w:r>
              <w:rPr>
                <w:rFonts w:hint="eastAsia" w:ascii="宋体" w:hAnsi="宋体" w:cs="宋体"/>
                <w:color w:val="000000"/>
                <w:kern w:val="0"/>
                <w:sz w:val="22"/>
                <w:lang w:bidi="ar"/>
              </w:rPr>
              <w:t>内燃平衡重式叉车</w:t>
            </w:r>
          </w:p>
        </w:tc>
        <w:tc>
          <w:tcPr>
            <w:tcW w:w="1416" w:type="pct"/>
            <w:vAlign w:val="center"/>
          </w:tcPr>
          <w:p>
            <w:pPr>
              <w:widowControl/>
              <w:spacing w:line="240" w:lineRule="auto"/>
              <w:ind w:firstLine="0" w:firstLineChars="0"/>
              <w:jc w:val="center"/>
              <w:textAlignment w:val="center"/>
              <w:rPr>
                <w:rFonts w:ascii="宋体" w:hAnsi="宋体" w:cs="宋体"/>
                <w:color w:val="000000"/>
                <w:sz w:val="22"/>
              </w:rPr>
            </w:pPr>
            <w:r>
              <w:rPr>
                <w:rFonts w:hint="eastAsia" w:ascii="宋体" w:hAnsi="宋体" w:cs="宋体"/>
                <w:color w:val="000000"/>
                <w:kern w:val="0"/>
                <w:sz w:val="22"/>
                <w:lang w:bidi="ar"/>
              </w:rPr>
              <w:t>CPC30</w:t>
            </w:r>
          </w:p>
        </w:tc>
        <w:tc>
          <w:tcPr>
            <w:tcW w:w="407" w:type="pct"/>
          </w:tcPr>
          <w:p>
            <w:pPr>
              <w:widowControl/>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1</w:t>
            </w:r>
          </w:p>
        </w:tc>
        <w:tc>
          <w:tcPr>
            <w:tcW w:w="811" w:type="pct"/>
          </w:tcPr>
          <w:p>
            <w:pPr>
              <w:widowControl/>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tcPr>
          <w:p>
            <w:pPr>
              <w:widowControl/>
              <w:numPr>
                <w:ilvl w:val="0"/>
                <w:numId w:val="18"/>
              </w:numPr>
              <w:snapToGrid w:val="0"/>
              <w:spacing w:line="240" w:lineRule="auto"/>
              <w:ind w:firstLineChars="0"/>
              <w:jc w:val="center"/>
              <w:rPr>
                <w:rFonts w:ascii="宋体" w:hAnsi="宋体" w:cs="宋体"/>
                <w:b/>
                <w:bCs/>
                <w:kern w:val="0"/>
                <w:sz w:val="21"/>
                <w:szCs w:val="21"/>
              </w:rPr>
            </w:pPr>
          </w:p>
        </w:tc>
        <w:tc>
          <w:tcPr>
            <w:tcW w:w="1865" w:type="pct"/>
            <w:vAlign w:val="center"/>
          </w:tcPr>
          <w:p>
            <w:pPr>
              <w:widowControl/>
              <w:spacing w:line="240" w:lineRule="auto"/>
              <w:ind w:firstLine="0" w:firstLineChars="0"/>
              <w:textAlignment w:val="center"/>
              <w:rPr>
                <w:rFonts w:ascii="宋体" w:hAnsi="宋体" w:cs="宋体"/>
                <w:color w:val="000000"/>
                <w:sz w:val="22"/>
              </w:rPr>
            </w:pPr>
            <w:r>
              <w:rPr>
                <w:rFonts w:hint="eastAsia" w:ascii="宋体" w:hAnsi="宋体" w:cs="宋体"/>
                <w:color w:val="000000"/>
                <w:kern w:val="0"/>
                <w:sz w:val="22"/>
                <w:lang w:bidi="ar"/>
              </w:rPr>
              <w:t>内燃平衡重式叉车</w:t>
            </w:r>
          </w:p>
        </w:tc>
        <w:tc>
          <w:tcPr>
            <w:tcW w:w="1416" w:type="pct"/>
            <w:vAlign w:val="center"/>
          </w:tcPr>
          <w:p>
            <w:pPr>
              <w:widowControl/>
              <w:spacing w:line="240" w:lineRule="auto"/>
              <w:ind w:firstLine="0" w:firstLineChars="0"/>
              <w:jc w:val="center"/>
              <w:textAlignment w:val="center"/>
              <w:rPr>
                <w:rFonts w:ascii="宋体" w:hAnsi="宋体" w:cs="宋体"/>
                <w:color w:val="000000"/>
                <w:sz w:val="22"/>
              </w:rPr>
            </w:pPr>
            <w:r>
              <w:rPr>
                <w:rFonts w:hint="eastAsia" w:ascii="宋体" w:hAnsi="宋体" w:cs="宋体"/>
                <w:color w:val="000000"/>
                <w:kern w:val="0"/>
                <w:sz w:val="22"/>
                <w:lang w:bidi="ar"/>
              </w:rPr>
              <w:t>CPC50</w:t>
            </w:r>
          </w:p>
        </w:tc>
        <w:tc>
          <w:tcPr>
            <w:tcW w:w="407" w:type="pct"/>
          </w:tcPr>
          <w:p>
            <w:pPr>
              <w:widowControl/>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1</w:t>
            </w:r>
          </w:p>
        </w:tc>
        <w:tc>
          <w:tcPr>
            <w:tcW w:w="811" w:type="pct"/>
          </w:tcPr>
          <w:p>
            <w:pPr>
              <w:widowControl/>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tcPr>
          <w:p>
            <w:pPr>
              <w:widowControl/>
              <w:numPr>
                <w:ilvl w:val="0"/>
                <w:numId w:val="18"/>
              </w:numPr>
              <w:snapToGrid w:val="0"/>
              <w:spacing w:line="240" w:lineRule="auto"/>
              <w:ind w:firstLineChars="0"/>
              <w:jc w:val="center"/>
              <w:rPr>
                <w:rFonts w:ascii="宋体" w:hAnsi="宋体" w:cs="宋体"/>
                <w:b/>
                <w:bCs/>
                <w:kern w:val="0"/>
                <w:sz w:val="21"/>
                <w:szCs w:val="21"/>
              </w:rPr>
            </w:pPr>
          </w:p>
        </w:tc>
        <w:tc>
          <w:tcPr>
            <w:tcW w:w="1865" w:type="pct"/>
            <w:vAlign w:val="center"/>
          </w:tcPr>
          <w:p>
            <w:pPr>
              <w:widowControl/>
              <w:spacing w:line="240" w:lineRule="auto"/>
              <w:ind w:firstLine="0" w:firstLineChars="0"/>
              <w:textAlignment w:val="center"/>
              <w:rPr>
                <w:rFonts w:ascii="宋体" w:hAnsi="宋体" w:cs="宋体"/>
                <w:color w:val="000000"/>
                <w:sz w:val="22"/>
              </w:rPr>
            </w:pPr>
            <w:r>
              <w:rPr>
                <w:rFonts w:hint="eastAsia" w:ascii="宋体" w:hAnsi="宋体" w:cs="宋体"/>
                <w:color w:val="000000"/>
                <w:kern w:val="0"/>
                <w:sz w:val="22"/>
                <w:lang w:bidi="ar"/>
              </w:rPr>
              <w:t>内燃平衡重式叉车</w:t>
            </w:r>
          </w:p>
        </w:tc>
        <w:tc>
          <w:tcPr>
            <w:tcW w:w="1416" w:type="pct"/>
            <w:vAlign w:val="center"/>
          </w:tcPr>
          <w:p>
            <w:pPr>
              <w:widowControl/>
              <w:spacing w:line="240" w:lineRule="auto"/>
              <w:ind w:firstLine="0" w:firstLineChars="0"/>
              <w:jc w:val="center"/>
              <w:textAlignment w:val="center"/>
              <w:rPr>
                <w:rFonts w:ascii="宋体" w:hAnsi="宋体" w:cs="宋体"/>
                <w:color w:val="000000"/>
                <w:sz w:val="22"/>
              </w:rPr>
            </w:pPr>
            <w:r>
              <w:rPr>
                <w:rFonts w:hint="eastAsia" w:ascii="宋体" w:hAnsi="宋体" w:cs="宋体"/>
                <w:color w:val="000000"/>
                <w:kern w:val="0"/>
                <w:sz w:val="22"/>
                <w:lang w:bidi="ar"/>
              </w:rPr>
              <w:t>CPC30</w:t>
            </w:r>
          </w:p>
        </w:tc>
        <w:tc>
          <w:tcPr>
            <w:tcW w:w="407" w:type="pct"/>
          </w:tcPr>
          <w:p>
            <w:pPr>
              <w:widowControl/>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1</w:t>
            </w:r>
          </w:p>
        </w:tc>
        <w:tc>
          <w:tcPr>
            <w:tcW w:w="811" w:type="pct"/>
          </w:tcPr>
          <w:p>
            <w:pPr>
              <w:widowControl/>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vAlign w:val="center"/>
          </w:tcPr>
          <w:p>
            <w:pPr>
              <w:widowControl/>
              <w:snapToGrid w:val="0"/>
              <w:spacing w:line="240" w:lineRule="auto"/>
              <w:ind w:firstLine="0" w:firstLineChars="0"/>
              <w:jc w:val="center"/>
              <w:rPr>
                <w:rFonts w:ascii="宋体" w:hAnsi="宋体" w:cs="宋体"/>
                <w:b/>
                <w:bCs/>
                <w:kern w:val="0"/>
                <w:sz w:val="21"/>
                <w:szCs w:val="21"/>
              </w:rPr>
            </w:pPr>
            <w:r>
              <w:rPr>
                <w:rFonts w:hint="eastAsia" w:ascii="宋体" w:hAnsi="宋体" w:cs="宋体"/>
                <w:b/>
                <w:bCs/>
                <w:kern w:val="0"/>
                <w:sz w:val="21"/>
                <w:szCs w:val="21"/>
              </w:rPr>
              <w:t>四</w:t>
            </w:r>
          </w:p>
        </w:tc>
        <w:tc>
          <w:tcPr>
            <w:tcW w:w="1865" w:type="pct"/>
            <w:vAlign w:val="center"/>
          </w:tcPr>
          <w:p>
            <w:pPr>
              <w:widowControl/>
              <w:snapToGrid w:val="0"/>
              <w:spacing w:line="240" w:lineRule="auto"/>
              <w:ind w:firstLine="0" w:firstLineChars="0"/>
              <w:jc w:val="center"/>
              <w:rPr>
                <w:rFonts w:ascii="宋体" w:hAnsi="宋体" w:cs="宋体"/>
                <w:color w:val="000000"/>
                <w:kern w:val="0"/>
                <w:sz w:val="22"/>
                <w:lang w:bidi="ar"/>
              </w:rPr>
            </w:pPr>
            <w:r>
              <w:rPr>
                <w:rFonts w:hint="eastAsia" w:ascii="宋体" w:hAnsi="宋体" w:cs="宋体"/>
                <w:b/>
                <w:bCs/>
                <w:kern w:val="0"/>
                <w:sz w:val="21"/>
                <w:szCs w:val="21"/>
              </w:rPr>
              <w:t>空气压缩机</w:t>
            </w:r>
          </w:p>
        </w:tc>
        <w:tc>
          <w:tcPr>
            <w:tcW w:w="1416" w:type="pct"/>
            <w:vAlign w:val="center"/>
          </w:tcPr>
          <w:p>
            <w:pPr>
              <w:widowControl/>
              <w:snapToGrid w:val="0"/>
              <w:spacing w:line="240" w:lineRule="auto"/>
              <w:ind w:firstLine="0" w:firstLineChars="0"/>
              <w:jc w:val="center"/>
              <w:rPr>
                <w:rFonts w:ascii="宋体" w:hAnsi="宋体" w:cs="宋体"/>
                <w:color w:val="000000"/>
                <w:kern w:val="0"/>
                <w:sz w:val="22"/>
                <w:lang w:bidi="ar"/>
              </w:rPr>
            </w:pPr>
          </w:p>
        </w:tc>
        <w:tc>
          <w:tcPr>
            <w:tcW w:w="407" w:type="pct"/>
            <w:vAlign w:val="center"/>
          </w:tcPr>
          <w:p>
            <w:pPr>
              <w:widowControl/>
              <w:snapToGrid w:val="0"/>
              <w:spacing w:line="240" w:lineRule="auto"/>
              <w:ind w:firstLine="0" w:firstLineChars="0"/>
              <w:jc w:val="center"/>
              <w:rPr>
                <w:rFonts w:ascii="宋体" w:hAnsi="宋体" w:cs="宋体"/>
                <w:kern w:val="0"/>
                <w:sz w:val="21"/>
                <w:szCs w:val="21"/>
              </w:rPr>
            </w:pPr>
          </w:p>
        </w:tc>
        <w:tc>
          <w:tcPr>
            <w:tcW w:w="811" w:type="pct"/>
            <w:vAlign w:val="center"/>
          </w:tcPr>
          <w:p>
            <w:pPr>
              <w:widowControl/>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vAlign w:val="center"/>
          </w:tcPr>
          <w:p>
            <w:pPr>
              <w:widowControl/>
              <w:numPr>
                <w:ilvl w:val="0"/>
                <w:numId w:val="19"/>
              </w:numPr>
              <w:snapToGrid w:val="0"/>
              <w:spacing w:line="240" w:lineRule="auto"/>
              <w:ind w:firstLineChars="0"/>
              <w:jc w:val="center"/>
              <w:rPr>
                <w:rFonts w:ascii="宋体" w:hAnsi="宋体" w:cs="宋体"/>
                <w:b/>
                <w:bCs/>
                <w:kern w:val="0"/>
                <w:sz w:val="21"/>
                <w:szCs w:val="21"/>
              </w:rPr>
            </w:pPr>
          </w:p>
        </w:tc>
        <w:tc>
          <w:tcPr>
            <w:tcW w:w="1865" w:type="pct"/>
            <w:vAlign w:val="center"/>
          </w:tcPr>
          <w:p>
            <w:pPr>
              <w:widowControl/>
              <w:spacing w:line="240" w:lineRule="auto"/>
              <w:ind w:firstLine="0" w:firstLineChars="0"/>
              <w:jc w:val="both"/>
              <w:textAlignment w:val="center"/>
              <w:rPr>
                <w:rFonts w:ascii="宋体" w:hAnsi="宋体" w:cs="宋体"/>
                <w:color w:val="000000"/>
                <w:kern w:val="0"/>
                <w:sz w:val="22"/>
                <w:lang w:bidi="ar"/>
              </w:rPr>
            </w:pPr>
            <w:r>
              <w:rPr>
                <w:rFonts w:hint="eastAsia" w:ascii="宋体" w:hAnsi="宋体" w:cs="宋体"/>
                <w:kern w:val="0"/>
                <w:sz w:val="21"/>
                <w:szCs w:val="21"/>
              </w:rPr>
              <w:t>空气压缩机</w:t>
            </w:r>
          </w:p>
        </w:tc>
        <w:tc>
          <w:tcPr>
            <w:tcW w:w="1416" w:type="pct"/>
            <w:vAlign w:val="center"/>
          </w:tcPr>
          <w:p>
            <w:pPr>
              <w:widowControl/>
              <w:spacing w:line="240" w:lineRule="auto"/>
              <w:ind w:firstLine="0" w:firstLineChars="0"/>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3.0m</w:t>
            </w:r>
            <w:r>
              <w:rPr>
                <w:rFonts w:hint="eastAsia" w:ascii="宋体" w:hAnsi="宋体" w:cs="宋体"/>
                <w:color w:val="000000"/>
                <w:kern w:val="0"/>
                <w:sz w:val="22"/>
                <w:vertAlign w:val="superscript"/>
                <w:lang w:bidi="ar"/>
              </w:rPr>
              <w:t>3</w:t>
            </w:r>
            <w:r>
              <w:rPr>
                <w:rFonts w:hint="eastAsia" w:ascii="宋体" w:hAnsi="宋体" w:cs="宋体"/>
                <w:color w:val="000000"/>
                <w:kern w:val="0"/>
                <w:sz w:val="22"/>
                <w:lang w:bidi="ar"/>
              </w:rPr>
              <w:t>,1.0Ma</w:t>
            </w:r>
          </w:p>
        </w:tc>
        <w:tc>
          <w:tcPr>
            <w:tcW w:w="407" w:type="pct"/>
            <w:vAlign w:val="center"/>
          </w:tcPr>
          <w:p>
            <w:pPr>
              <w:widowControl/>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1</w:t>
            </w:r>
          </w:p>
        </w:tc>
        <w:tc>
          <w:tcPr>
            <w:tcW w:w="811" w:type="pct"/>
            <w:vAlign w:val="center"/>
          </w:tcPr>
          <w:p>
            <w:pPr>
              <w:widowControl/>
              <w:snapToGrid w:val="0"/>
              <w:spacing w:line="240" w:lineRule="auto"/>
              <w:ind w:firstLine="0" w:firstLineChars="0"/>
              <w:jc w:val="center"/>
              <w:rPr>
                <w:rFonts w:ascii="宋体" w:hAnsi="宋体" w:cs="宋体"/>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498" w:type="pct"/>
            <w:vAlign w:val="center"/>
          </w:tcPr>
          <w:p>
            <w:pPr>
              <w:widowControl/>
              <w:numPr>
                <w:ilvl w:val="0"/>
                <w:numId w:val="19"/>
              </w:numPr>
              <w:snapToGrid w:val="0"/>
              <w:spacing w:line="240" w:lineRule="auto"/>
              <w:ind w:firstLineChars="0"/>
              <w:jc w:val="center"/>
              <w:rPr>
                <w:rFonts w:ascii="宋体" w:hAnsi="宋体" w:cs="宋体"/>
                <w:b/>
                <w:bCs/>
                <w:kern w:val="0"/>
                <w:sz w:val="21"/>
                <w:szCs w:val="21"/>
              </w:rPr>
            </w:pPr>
          </w:p>
        </w:tc>
        <w:tc>
          <w:tcPr>
            <w:tcW w:w="1865" w:type="pct"/>
            <w:vAlign w:val="center"/>
          </w:tcPr>
          <w:p>
            <w:pPr>
              <w:widowControl/>
              <w:snapToGrid w:val="0"/>
              <w:spacing w:line="240" w:lineRule="auto"/>
              <w:ind w:firstLine="0" w:firstLineChars="0"/>
              <w:rPr>
                <w:rFonts w:ascii="宋体" w:hAnsi="宋体" w:cs="宋体"/>
                <w:kern w:val="0"/>
                <w:sz w:val="21"/>
                <w:szCs w:val="21"/>
              </w:rPr>
            </w:pPr>
            <w:r>
              <w:rPr>
                <w:rFonts w:hint="eastAsia" w:ascii="宋体" w:hAnsi="宋体" w:cs="宋体"/>
                <w:kern w:val="0"/>
                <w:sz w:val="21"/>
                <w:szCs w:val="21"/>
              </w:rPr>
              <w:t>空气压缩机</w:t>
            </w:r>
          </w:p>
        </w:tc>
        <w:tc>
          <w:tcPr>
            <w:tcW w:w="1416" w:type="pct"/>
            <w:vAlign w:val="center"/>
          </w:tcPr>
          <w:p>
            <w:pPr>
              <w:widowControl/>
              <w:spacing w:line="240" w:lineRule="auto"/>
              <w:ind w:firstLine="0" w:firstLineChars="0"/>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2.0m</w:t>
            </w:r>
            <w:r>
              <w:rPr>
                <w:rFonts w:hint="eastAsia" w:ascii="宋体" w:hAnsi="宋体" w:cs="宋体"/>
                <w:color w:val="000000"/>
                <w:kern w:val="0"/>
                <w:sz w:val="22"/>
                <w:vertAlign w:val="superscript"/>
                <w:lang w:bidi="ar"/>
              </w:rPr>
              <w:t>3</w:t>
            </w:r>
            <w:r>
              <w:rPr>
                <w:rFonts w:hint="eastAsia" w:ascii="宋体" w:hAnsi="宋体" w:cs="宋体"/>
                <w:color w:val="000000"/>
                <w:kern w:val="0"/>
                <w:sz w:val="22"/>
                <w:lang w:bidi="ar"/>
              </w:rPr>
              <w:t>,0.84Ma</w:t>
            </w:r>
          </w:p>
        </w:tc>
        <w:tc>
          <w:tcPr>
            <w:tcW w:w="407" w:type="pct"/>
            <w:vAlign w:val="center"/>
          </w:tcPr>
          <w:p>
            <w:pPr>
              <w:widowControl/>
              <w:spacing w:line="240" w:lineRule="auto"/>
              <w:ind w:firstLine="0" w:firstLineChars="0"/>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3</w:t>
            </w:r>
          </w:p>
        </w:tc>
        <w:tc>
          <w:tcPr>
            <w:tcW w:w="811" w:type="pct"/>
            <w:vAlign w:val="center"/>
          </w:tcPr>
          <w:p>
            <w:pPr>
              <w:widowControl/>
              <w:snapToGrid w:val="0"/>
              <w:spacing w:line="240" w:lineRule="auto"/>
              <w:ind w:firstLine="0" w:firstLineChars="0"/>
              <w:jc w:val="center"/>
              <w:rPr>
                <w:rFonts w:ascii="宋体" w:hAnsi="宋体" w:cs="宋体"/>
                <w:kern w:val="0"/>
                <w:sz w:val="21"/>
                <w:szCs w:val="21"/>
              </w:rPr>
            </w:pPr>
          </w:p>
        </w:tc>
      </w:tr>
    </w:tbl>
    <w:p>
      <w:pPr>
        <w:pStyle w:val="7"/>
        <w:spacing w:before="156" w:after="156"/>
      </w:pPr>
      <w:r>
        <w:rPr>
          <w:rFonts w:hint="eastAsia"/>
        </w:rPr>
        <w:t>特种设备</w:t>
      </w:r>
    </w:p>
    <w:p>
      <w:pPr>
        <w:ind w:firstLine="560"/>
        <w:rPr>
          <w:kern w:val="0"/>
          <w:szCs w:val="32"/>
        </w:rPr>
      </w:pPr>
      <w:bookmarkStart w:id="50" w:name="_Toc76119854"/>
      <w:bookmarkStart w:id="51" w:name="_Toc76119853"/>
      <w:r>
        <w:rPr>
          <w:rFonts w:hint="eastAsia"/>
        </w:rPr>
        <w:t>本项目生产运行过程中使用的特种设备为起重机、叉车、压力容器储气罐。起重行车、叉车、储气罐均按要求进行登记。起重机安装前向相关部门进行了安装告知，并委托专业机构进行检验。压力容器储气罐及其安全附件定期检验。</w:t>
      </w:r>
    </w:p>
    <w:p>
      <w:pPr>
        <w:pStyle w:val="8"/>
        <w:spacing w:before="156" w:after="156"/>
      </w:pPr>
      <w:bookmarkStart w:id="52" w:name="_Toc498519844"/>
      <w:bookmarkStart w:id="53" w:name="_Toc500007182"/>
      <w:bookmarkStart w:id="54" w:name="_Toc498299374"/>
      <w:r>
        <w:t>起重机械</w:t>
      </w:r>
      <w:bookmarkEnd w:id="52"/>
      <w:bookmarkEnd w:id="53"/>
      <w:bookmarkEnd w:id="54"/>
    </w:p>
    <w:p>
      <w:pPr>
        <w:ind w:firstLine="560"/>
      </w:pPr>
      <w:r>
        <w:rPr>
          <w:rFonts w:hint="eastAsia"/>
        </w:rPr>
        <w:t>项目共使用</w:t>
      </w:r>
      <w:r>
        <w:t>起重机械</w:t>
      </w:r>
      <w:r>
        <w:rPr>
          <w:rFonts w:hint="eastAsia"/>
        </w:rPr>
        <w:t>5台，均已向楚雄州质量技术监督综合检测中心进行安装告知，并进行了检验和取得使用登记证书。起重机相关检测项目均为合格。检验报告见附件30。</w:t>
      </w:r>
    </w:p>
    <w:p>
      <w:pPr>
        <w:pStyle w:val="14"/>
        <w:spacing w:before="156" w:after="156"/>
      </w:pPr>
      <w:r>
        <w:t xml:space="preserve">表 </w:t>
      </w:r>
      <w:r>
        <w:fldChar w:fldCharType="begin"/>
      </w:r>
      <w:r>
        <w:instrText xml:space="preserve"> STYLEREF 2 \s </w:instrText>
      </w:r>
      <w:r>
        <w:fldChar w:fldCharType="separate"/>
      </w:r>
      <w:r>
        <w:t>2.3</w:t>
      </w:r>
      <w:r>
        <w:fldChar w:fldCharType="end"/>
      </w:r>
      <w:r>
        <w:rPr>
          <w:rFonts w:hint="eastAsia"/>
        </w:rPr>
        <w:t>-</w:t>
      </w:r>
      <w:r>
        <w:fldChar w:fldCharType="begin"/>
      </w:r>
      <w:r>
        <w:instrText xml:space="preserve"> SEQ 表 \* ARABIC \s 2 </w:instrText>
      </w:r>
      <w:r>
        <w:fldChar w:fldCharType="separate"/>
      </w:r>
      <w:r>
        <w:t>6</w:t>
      </w:r>
      <w:r>
        <w:fldChar w:fldCharType="end"/>
      </w:r>
      <w:r>
        <w:rPr>
          <w:rFonts w:hint="eastAsia"/>
        </w:rPr>
        <w:t xml:space="preserve"> 起重机械一览表</w:t>
      </w:r>
    </w:p>
    <w:tbl>
      <w:tblPr>
        <w:tblStyle w:val="29"/>
        <w:tblW w:w="4961" w:type="pct"/>
        <w:jc w:val="center"/>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fixed"/>
        <w:tblCellMar>
          <w:top w:w="0" w:type="dxa"/>
          <w:left w:w="108" w:type="dxa"/>
          <w:bottom w:w="0" w:type="dxa"/>
          <w:right w:w="108" w:type="dxa"/>
        </w:tblCellMar>
      </w:tblPr>
      <w:tblGrid>
        <w:gridCol w:w="707"/>
        <w:gridCol w:w="1224"/>
        <w:gridCol w:w="972"/>
        <w:gridCol w:w="1488"/>
        <w:gridCol w:w="1333"/>
        <w:gridCol w:w="1314"/>
        <w:gridCol w:w="676"/>
        <w:gridCol w:w="742"/>
      </w:tblGrid>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576" w:hRule="atLeast"/>
          <w:jc w:val="center"/>
        </w:trPr>
        <w:tc>
          <w:tcPr>
            <w:tcW w:w="417" w:type="pct"/>
            <w:tcBorders>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序号</w:t>
            </w:r>
          </w:p>
        </w:tc>
        <w:tc>
          <w:tcPr>
            <w:tcW w:w="723" w:type="pct"/>
            <w:tcBorders>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sz w:val="22"/>
              </w:rPr>
            </w:pPr>
            <w:r>
              <w:rPr>
                <w:rFonts w:hint="eastAsia" w:ascii="宋体" w:hAnsi="宋体" w:cs="宋体"/>
                <w:color w:val="000000"/>
                <w:kern w:val="0"/>
                <w:sz w:val="22"/>
                <w:lang w:bidi="ar"/>
              </w:rPr>
              <w:t>设备名称</w:t>
            </w:r>
          </w:p>
        </w:tc>
        <w:tc>
          <w:tcPr>
            <w:tcW w:w="574" w:type="pct"/>
            <w:tcBorders>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sz w:val="22"/>
              </w:rPr>
            </w:pPr>
            <w:r>
              <w:rPr>
                <w:rFonts w:hint="eastAsia" w:ascii="宋体" w:hAnsi="宋体" w:cs="宋体"/>
                <w:color w:val="000000"/>
                <w:kern w:val="0"/>
                <w:sz w:val="22"/>
                <w:lang w:bidi="ar"/>
              </w:rPr>
              <w:t>设备型号规格</w:t>
            </w:r>
          </w:p>
        </w:tc>
        <w:tc>
          <w:tcPr>
            <w:tcW w:w="879" w:type="pct"/>
            <w:tcBorders>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sz w:val="22"/>
              </w:rPr>
            </w:pPr>
            <w:r>
              <w:rPr>
                <w:rFonts w:hint="eastAsia" w:ascii="宋体" w:hAnsi="宋体" w:cs="宋体"/>
                <w:color w:val="000000"/>
                <w:kern w:val="0"/>
                <w:sz w:val="22"/>
                <w:lang w:bidi="ar"/>
              </w:rPr>
              <w:t>使用登记证编码</w:t>
            </w:r>
          </w:p>
        </w:tc>
        <w:tc>
          <w:tcPr>
            <w:tcW w:w="787" w:type="pct"/>
            <w:tcBorders>
              <w:left w:val="single" w:color="000000" w:sz="4" w:space="0"/>
              <w:bottom w:val="nil"/>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sz w:val="22"/>
              </w:rPr>
            </w:pPr>
            <w:r>
              <w:rPr>
                <w:rFonts w:hint="eastAsia" w:ascii="宋体" w:hAnsi="宋体" w:cs="宋体"/>
                <w:color w:val="000000"/>
                <w:kern w:val="0"/>
                <w:sz w:val="22"/>
                <w:lang w:bidi="ar"/>
              </w:rPr>
              <w:t>检验有效期</w:t>
            </w:r>
          </w:p>
        </w:tc>
        <w:tc>
          <w:tcPr>
            <w:tcW w:w="776" w:type="pct"/>
            <w:tcBorders>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sz w:val="22"/>
              </w:rPr>
            </w:pPr>
            <w:r>
              <w:rPr>
                <w:rFonts w:hint="eastAsia" w:ascii="宋体" w:hAnsi="宋体" w:cs="宋体"/>
                <w:color w:val="000000"/>
                <w:kern w:val="0"/>
                <w:sz w:val="22"/>
                <w:lang w:bidi="ar"/>
              </w:rPr>
              <w:t>设备代码</w:t>
            </w:r>
          </w:p>
        </w:tc>
        <w:tc>
          <w:tcPr>
            <w:tcW w:w="400" w:type="pct"/>
            <w:tcBorders>
              <w:left w:val="single" w:color="000000" w:sz="4" w:space="0"/>
              <w:bottom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sz w:val="22"/>
              </w:rPr>
            </w:pPr>
            <w:r>
              <w:rPr>
                <w:rFonts w:hint="eastAsia" w:ascii="宋体" w:hAnsi="宋体" w:cs="宋体"/>
                <w:color w:val="000000"/>
                <w:kern w:val="0"/>
                <w:sz w:val="22"/>
                <w:lang w:bidi="ar"/>
              </w:rPr>
              <w:t>检验结论</w:t>
            </w:r>
          </w:p>
        </w:tc>
        <w:tc>
          <w:tcPr>
            <w:tcW w:w="438" w:type="pct"/>
            <w:tcBorders>
              <w:left w:val="single" w:color="000000" w:sz="4" w:space="0"/>
              <w:bottom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用途</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417" w:type="pct"/>
            <w:tcBorders>
              <w:top w:val="single" w:color="000000" w:sz="4" w:space="0"/>
              <w:bottom w:val="single" w:color="000000" w:sz="4" w:space="0"/>
              <w:right w:val="single" w:color="000000" w:sz="4" w:space="0"/>
            </w:tcBorders>
            <w:shd w:val="clear" w:color="auto" w:fill="auto"/>
            <w:vAlign w:val="center"/>
          </w:tcPr>
          <w:p>
            <w:pPr>
              <w:widowControl/>
              <w:numPr>
                <w:ilvl w:val="0"/>
                <w:numId w:val="20"/>
              </w:numPr>
              <w:spacing w:line="240" w:lineRule="auto"/>
              <w:ind w:firstLineChars="0"/>
              <w:jc w:val="center"/>
              <w:textAlignment w:val="center"/>
              <w:rPr>
                <w:rFonts w:ascii="宋体" w:hAnsi="宋体" w:cs="宋体"/>
                <w:color w:val="000000"/>
                <w:kern w:val="0"/>
                <w:sz w:val="22"/>
                <w:lang w:bidi="ar"/>
              </w:rPr>
            </w:pPr>
          </w:p>
        </w:tc>
        <w:tc>
          <w:tcPr>
            <w:tcW w:w="723" w:type="pct"/>
            <w:tcBorders>
              <w:top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sz w:val="22"/>
              </w:rPr>
            </w:pPr>
            <w:r>
              <w:rPr>
                <w:rFonts w:hint="eastAsia" w:ascii="宋体" w:hAnsi="宋体" w:cs="宋体"/>
                <w:color w:val="000000"/>
                <w:kern w:val="0"/>
                <w:sz w:val="22"/>
                <w:lang w:bidi="ar"/>
              </w:rPr>
              <w:t>电动单梁起重机（冶金吊）</w:t>
            </w:r>
          </w:p>
        </w:tc>
        <w:tc>
          <w:tcPr>
            <w:tcW w:w="5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sz w:val="22"/>
              </w:rPr>
            </w:pPr>
            <w:r>
              <w:rPr>
                <w:rFonts w:hint="eastAsia" w:ascii="宋体" w:hAnsi="宋体" w:cs="宋体"/>
                <w:color w:val="000000"/>
                <w:kern w:val="0"/>
                <w:sz w:val="22"/>
                <w:lang w:bidi="ar"/>
              </w:rPr>
              <w:t>LDY10-25.5 A6</w:t>
            </w:r>
          </w:p>
        </w:tc>
        <w:tc>
          <w:tcPr>
            <w:tcW w:w="87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sz w:val="22"/>
              </w:rPr>
            </w:pPr>
            <w:r>
              <w:rPr>
                <w:rFonts w:hint="eastAsia" w:ascii="宋体" w:hAnsi="宋体" w:cs="宋体"/>
                <w:color w:val="000000"/>
                <w:kern w:val="0"/>
                <w:sz w:val="22"/>
                <w:lang w:bidi="ar"/>
              </w:rPr>
              <w:t>起17滇E00271(21)</w:t>
            </w:r>
          </w:p>
        </w:tc>
        <w:tc>
          <w:tcPr>
            <w:tcW w:w="78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sz w:val="22"/>
              </w:rPr>
            </w:pPr>
            <w:r>
              <w:rPr>
                <w:rFonts w:hint="eastAsia" w:ascii="宋体" w:hAnsi="宋体" w:cs="宋体"/>
                <w:color w:val="000000"/>
                <w:kern w:val="0"/>
                <w:sz w:val="22"/>
                <w:lang w:bidi="ar"/>
              </w:rPr>
              <w:t>2024.07</w:t>
            </w:r>
          </w:p>
        </w:tc>
        <w:tc>
          <w:tcPr>
            <w:tcW w:w="77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sz w:val="22"/>
              </w:rPr>
            </w:pPr>
            <w:r>
              <w:rPr>
                <w:rFonts w:hint="eastAsia" w:ascii="宋体" w:hAnsi="宋体" w:cs="宋体"/>
                <w:color w:val="000000"/>
                <w:kern w:val="0"/>
                <w:sz w:val="22"/>
                <w:lang w:bidi="ar"/>
              </w:rPr>
              <w:t>417041126201909482</w:t>
            </w:r>
          </w:p>
        </w:tc>
        <w:tc>
          <w:tcPr>
            <w:tcW w:w="400" w:type="pct"/>
            <w:tcBorders>
              <w:top w:val="single" w:color="000000" w:sz="4" w:space="0"/>
              <w:left w:val="single" w:color="000000" w:sz="4" w:space="0"/>
              <w:bottom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sz w:val="22"/>
              </w:rPr>
            </w:pPr>
            <w:r>
              <w:rPr>
                <w:rFonts w:hint="eastAsia" w:ascii="宋体" w:hAnsi="宋体" w:cs="宋体"/>
                <w:color w:val="000000"/>
                <w:kern w:val="0"/>
                <w:sz w:val="22"/>
                <w:lang w:bidi="ar"/>
              </w:rPr>
              <w:t>合格</w:t>
            </w:r>
          </w:p>
        </w:tc>
        <w:tc>
          <w:tcPr>
            <w:tcW w:w="438" w:type="pct"/>
            <w:tcBorders>
              <w:top w:val="single" w:color="000000" w:sz="4" w:space="0"/>
              <w:left w:val="single" w:color="000000" w:sz="4" w:space="0"/>
              <w:bottom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吊铸件</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840" w:hRule="atLeast"/>
          <w:jc w:val="center"/>
        </w:trPr>
        <w:tc>
          <w:tcPr>
            <w:tcW w:w="417" w:type="pct"/>
            <w:tcBorders>
              <w:top w:val="single" w:color="000000" w:sz="4" w:space="0"/>
              <w:bottom w:val="single" w:color="000000" w:sz="4" w:space="0"/>
              <w:right w:val="single" w:color="000000" w:sz="4" w:space="0"/>
            </w:tcBorders>
            <w:shd w:val="clear" w:color="auto" w:fill="auto"/>
            <w:vAlign w:val="center"/>
          </w:tcPr>
          <w:p>
            <w:pPr>
              <w:widowControl/>
              <w:numPr>
                <w:ilvl w:val="0"/>
                <w:numId w:val="20"/>
              </w:numPr>
              <w:spacing w:line="240" w:lineRule="auto"/>
              <w:ind w:firstLineChars="0"/>
              <w:jc w:val="center"/>
              <w:textAlignment w:val="center"/>
              <w:rPr>
                <w:rFonts w:ascii="宋体" w:hAnsi="宋体" w:cs="宋体"/>
                <w:color w:val="000000"/>
                <w:kern w:val="0"/>
                <w:sz w:val="22"/>
                <w:lang w:bidi="ar"/>
              </w:rPr>
            </w:pPr>
          </w:p>
        </w:tc>
        <w:tc>
          <w:tcPr>
            <w:tcW w:w="723" w:type="pct"/>
            <w:tcBorders>
              <w:top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电动单梁起重机（冶金吊）</w:t>
            </w:r>
          </w:p>
        </w:tc>
        <w:tc>
          <w:tcPr>
            <w:tcW w:w="5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LDY10-25.5 A6</w:t>
            </w:r>
          </w:p>
        </w:tc>
        <w:tc>
          <w:tcPr>
            <w:tcW w:w="87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起17滇E00272(21)</w:t>
            </w:r>
          </w:p>
        </w:tc>
        <w:tc>
          <w:tcPr>
            <w:tcW w:w="78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2024.07</w:t>
            </w:r>
          </w:p>
        </w:tc>
        <w:tc>
          <w:tcPr>
            <w:tcW w:w="77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417041126201909481</w:t>
            </w:r>
          </w:p>
        </w:tc>
        <w:tc>
          <w:tcPr>
            <w:tcW w:w="400" w:type="pct"/>
            <w:tcBorders>
              <w:top w:val="single" w:color="000000" w:sz="4" w:space="0"/>
              <w:left w:val="single" w:color="000000" w:sz="4" w:space="0"/>
              <w:bottom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合格</w:t>
            </w:r>
          </w:p>
        </w:tc>
        <w:tc>
          <w:tcPr>
            <w:tcW w:w="438" w:type="pct"/>
            <w:tcBorders>
              <w:top w:val="single" w:color="000000" w:sz="4" w:space="0"/>
              <w:left w:val="single" w:color="000000" w:sz="4" w:space="0"/>
              <w:bottom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kern w:val="0"/>
                <w:sz w:val="22"/>
                <w:lang w:bidi="ar"/>
              </w:rPr>
            </w:pPr>
            <w:r>
              <w:rPr>
                <w:rFonts w:hint="eastAsia" w:ascii="宋体" w:hAnsi="宋体" w:cs="宋体"/>
                <w:color w:val="000000"/>
                <w:kern w:val="0"/>
                <w:sz w:val="22"/>
                <w:lang w:val="en-US" w:eastAsia="zh-CN" w:bidi="ar"/>
              </w:rPr>
              <w:t>吊</w:t>
            </w:r>
            <w:r>
              <w:rPr>
                <w:rFonts w:hint="eastAsia" w:ascii="宋体" w:hAnsi="宋体" w:cs="宋体"/>
                <w:color w:val="000000"/>
                <w:kern w:val="0"/>
                <w:sz w:val="22"/>
                <w:lang w:eastAsia="zh-CN" w:bidi="ar"/>
              </w:rPr>
              <w:t>熔融</w:t>
            </w:r>
            <w:r>
              <w:rPr>
                <w:rFonts w:hint="eastAsia" w:ascii="宋体" w:hAnsi="宋体" w:cs="宋体"/>
                <w:color w:val="000000"/>
                <w:kern w:val="0"/>
                <w:sz w:val="22"/>
                <w:lang w:bidi="ar"/>
              </w:rPr>
              <w:t>金属</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840" w:hRule="atLeast"/>
          <w:jc w:val="center"/>
        </w:trPr>
        <w:tc>
          <w:tcPr>
            <w:tcW w:w="417" w:type="pct"/>
            <w:tcBorders>
              <w:top w:val="single" w:color="000000" w:sz="4" w:space="0"/>
              <w:bottom w:val="single" w:color="000000" w:sz="4" w:space="0"/>
              <w:right w:val="single" w:color="000000" w:sz="4" w:space="0"/>
            </w:tcBorders>
            <w:shd w:val="clear" w:color="auto" w:fill="auto"/>
            <w:vAlign w:val="center"/>
          </w:tcPr>
          <w:p>
            <w:pPr>
              <w:widowControl/>
              <w:numPr>
                <w:ilvl w:val="0"/>
                <w:numId w:val="20"/>
              </w:numPr>
              <w:spacing w:line="240" w:lineRule="auto"/>
              <w:ind w:firstLineChars="0"/>
              <w:jc w:val="center"/>
              <w:textAlignment w:val="center"/>
              <w:rPr>
                <w:rFonts w:ascii="宋体" w:hAnsi="宋体" w:cs="宋体"/>
                <w:color w:val="000000"/>
                <w:kern w:val="0"/>
                <w:sz w:val="22"/>
                <w:lang w:bidi="ar"/>
              </w:rPr>
            </w:pPr>
          </w:p>
        </w:tc>
        <w:tc>
          <w:tcPr>
            <w:tcW w:w="723" w:type="pct"/>
            <w:tcBorders>
              <w:top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电动单梁起重机</w:t>
            </w:r>
          </w:p>
        </w:tc>
        <w:tc>
          <w:tcPr>
            <w:tcW w:w="5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LD5-</w:t>
            </w:r>
          </w:p>
          <w:p>
            <w:pPr>
              <w:widowControl/>
              <w:spacing w:line="240" w:lineRule="auto"/>
              <w:ind w:firstLine="0" w:firstLineChars="0"/>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25.5 A4</w:t>
            </w:r>
          </w:p>
        </w:tc>
        <w:tc>
          <w:tcPr>
            <w:tcW w:w="87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起17滇E00273(21)</w:t>
            </w:r>
          </w:p>
        </w:tc>
        <w:tc>
          <w:tcPr>
            <w:tcW w:w="78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2024.07.27</w:t>
            </w:r>
          </w:p>
        </w:tc>
        <w:tc>
          <w:tcPr>
            <w:tcW w:w="77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200121200</w:t>
            </w:r>
          </w:p>
        </w:tc>
        <w:tc>
          <w:tcPr>
            <w:tcW w:w="400" w:type="pct"/>
            <w:tcBorders>
              <w:top w:val="single" w:color="000000" w:sz="4" w:space="0"/>
              <w:left w:val="single" w:color="000000" w:sz="4" w:space="0"/>
              <w:bottom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合格</w:t>
            </w:r>
          </w:p>
        </w:tc>
        <w:tc>
          <w:tcPr>
            <w:tcW w:w="438" w:type="pct"/>
            <w:tcBorders>
              <w:top w:val="single" w:color="000000" w:sz="4" w:space="0"/>
              <w:left w:val="single" w:color="000000" w:sz="4" w:space="0"/>
              <w:bottom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吊铸件</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840" w:hRule="atLeast"/>
          <w:jc w:val="center"/>
        </w:trPr>
        <w:tc>
          <w:tcPr>
            <w:tcW w:w="417" w:type="pct"/>
            <w:tcBorders>
              <w:top w:val="single" w:color="000000" w:sz="4" w:space="0"/>
              <w:bottom w:val="single" w:color="000000" w:sz="4" w:space="0"/>
              <w:right w:val="single" w:color="000000" w:sz="4" w:space="0"/>
            </w:tcBorders>
            <w:shd w:val="clear" w:color="auto" w:fill="auto"/>
            <w:vAlign w:val="center"/>
          </w:tcPr>
          <w:p>
            <w:pPr>
              <w:widowControl/>
              <w:numPr>
                <w:ilvl w:val="0"/>
                <w:numId w:val="20"/>
              </w:numPr>
              <w:spacing w:line="240" w:lineRule="auto"/>
              <w:ind w:firstLineChars="0"/>
              <w:jc w:val="center"/>
              <w:textAlignment w:val="center"/>
              <w:rPr>
                <w:rFonts w:ascii="宋体" w:hAnsi="宋体" w:cs="宋体"/>
                <w:color w:val="000000"/>
                <w:kern w:val="0"/>
                <w:sz w:val="22"/>
                <w:lang w:bidi="ar"/>
              </w:rPr>
            </w:pPr>
          </w:p>
        </w:tc>
        <w:tc>
          <w:tcPr>
            <w:tcW w:w="723" w:type="pct"/>
            <w:tcBorders>
              <w:top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电动单梁起重机</w:t>
            </w:r>
          </w:p>
        </w:tc>
        <w:tc>
          <w:tcPr>
            <w:tcW w:w="5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LDY10-16.5 A3</w:t>
            </w:r>
          </w:p>
        </w:tc>
        <w:tc>
          <w:tcPr>
            <w:tcW w:w="87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起17滇E00274(21)</w:t>
            </w:r>
          </w:p>
        </w:tc>
        <w:tc>
          <w:tcPr>
            <w:tcW w:w="78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2024.07.27</w:t>
            </w:r>
          </w:p>
        </w:tc>
        <w:tc>
          <w:tcPr>
            <w:tcW w:w="77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190119570</w:t>
            </w:r>
          </w:p>
        </w:tc>
        <w:tc>
          <w:tcPr>
            <w:tcW w:w="400" w:type="pct"/>
            <w:tcBorders>
              <w:top w:val="single" w:color="000000" w:sz="4" w:space="0"/>
              <w:left w:val="single" w:color="000000" w:sz="4" w:space="0"/>
              <w:bottom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合格</w:t>
            </w:r>
          </w:p>
        </w:tc>
        <w:tc>
          <w:tcPr>
            <w:tcW w:w="438" w:type="pct"/>
            <w:tcBorders>
              <w:top w:val="single" w:color="000000" w:sz="4" w:space="0"/>
              <w:left w:val="single" w:color="000000" w:sz="4" w:space="0"/>
              <w:bottom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吊废钢</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840" w:hRule="atLeast"/>
          <w:jc w:val="center"/>
        </w:trPr>
        <w:tc>
          <w:tcPr>
            <w:tcW w:w="417" w:type="pct"/>
            <w:tcBorders>
              <w:top w:val="single" w:color="000000" w:sz="4" w:space="0"/>
              <w:bottom w:val="single" w:color="000000" w:sz="4" w:space="0"/>
              <w:right w:val="single" w:color="000000" w:sz="4" w:space="0"/>
            </w:tcBorders>
            <w:shd w:val="clear" w:color="auto" w:fill="auto"/>
            <w:vAlign w:val="center"/>
          </w:tcPr>
          <w:p>
            <w:pPr>
              <w:widowControl/>
              <w:numPr>
                <w:ilvl w:val="0"/>
                <w:numId w:val="20"/>
              </w:numPr>
              <w:spacing w:line="240" w:lineRule="auto"/>
              <w:ind w:firstLineChars="0"/>
              <w:jc w:val="center"/>
              <w:textAlignment w:val="center"/>
              <w:rPr>
                <w:rFonts w:ascii="宋体" w:hAnsi="宋体" w:cs="宋体"/>
                <w:color w:val="000000"/>
                <w:kern w:val="0"/>
                <w:sz w:val="22"/>
                <w:lang w:bidi="ar"/>
              </w:rPr>
            </w:pPr>
            <w:bookmarkStart w:id="55" w:name="_Toc498519845"/>
            <w:bookmarkStart w:id="56" w:name="_Toc498299375"/>
            <w:bookmarkStart w:id="57" w:name="_Toc500007183"/>
          </w:p>
        </w:tc>
        <w:tc>
          <w:tcPr>
            <w:tcW w:w="723" w:type="pct"/>
            <w:tcBorders>
              <w:top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电动单梁起重机</w:t>
            </w:r>
          </w:p>
        </w:tc>
        <w:tc>
          <w:tcPr>
            <w:tcW w:w="5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LD5-</w:t>
            </w:r>
          </w:p>
          <w:p>
            <w:pPr>
              <w:widowControl/>
              <w:spacing w:line="240" w:lineRule="auto"/>
              <w:ind w:firstLine="0" w:firstLineChars="0"/>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25.5 A4</w:t>
            </w:r>
          </w:p>
        </w:tc>
        <w:tc>
          <w:tcPr>
            <w:tcW w:w="87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起17滇E00275(21)</w:t>
            </w:r>
          </w:p>
        </w:tc>
        <w:tc>
          <w:tcPr>
            <w:tcW w:w="78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2024.07.27</w:t>
            </w:r>
          </w:p>
        </w:tc>
        <w:tc>
          <w:tcPr>
            <w:tcW w:w="77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200121201</w:t>
            </w:r>
          </w:p>
        </w:tc>
        <w:tc>
          <w:tcPr>
            <w:tcW w:w="400" w:type="pct"/>
            <w:tcBorders>
              <w:top w:val="single" w:color="000000" w:sz="4" w:space="0"/>
              <w:left w:val="single" w:color="000000" w:sz="4" w:space="0"/>
              <w:bottom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合格</w:t>
            </w:r>
          </w:p>
        </w:tc>
        <w:tc>
          <w:tcPr>
            <w:tcW w:w="438" w:type="pct"/>
            <w:tcBorders>
              <w:top w:val="single" w:color="000000" w:sz="4" w:space="0"/>
              <w:left w:val="single" w:color="000000" w:sz="4" w:space="0"/>
              <w:bottom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吊砂模</w:t>
            </w:r>
          </w:p>
        </w:tc>
      </w:tr>
    </w:tbl>
    <w:p>
      <w:pPr>
        <w:pStyle w:val="8"/>
        <w:spacing w:before="156" w:after="156"/>
      </w:pPr>
      <w:r>
        <w:rPr>
          <w:rFonts w:hint="eastAsia"/>
        </w:rPr>
        <w:t>叉车</w:t>
      </w:r>
    </w:p>
    <w:p>
      <w:pPr>
        <w:ind w:firstLine="560"/>
      </w:pPr>
      <w:r>
        <w:rPr>
          <w:rFonts w:hint="eastAsia"/>
        </w:rPr>
        <w:t>项目共使用叉车4台，均有合格证明书，相关登记证书，并按</w:t>
      </w:r>
      <w:r>
        <w:rPr>
          <w:rFonts w:hint="eastAsia"/>
          <w:lang w:eastAsia="zh-CN"/>
        </w:rPr>
        <w:t>要求</w:t>
      </w:r>
      <w:r>
        <w:rPr>
          <w:rFonts w:hint="eastAsia"/>
        </w:rPr>
        <w:t>进行定期检验合格后使用。检验报告见附件31。</w:t>
      </w:r>
    </w:p>
    <w:p>
      <w:pPr>
        <w:ind w:firstLine="0" w:firstLineChars="0"/>
        <w:jc w:val="center"/>
      </w:pPr>
      <w:r>
        <w:rPr>
          <w:b/>
          <w:bCs/>
          <w:sz w:val="24"/>
          <w:szCs w:val="21"/>
        </w:rPr>
        <w:t xml:space="preserve">表 </w:t>
      </w:r>
      <w:r>
        <w:rPr>
          <w:b/>
          <w:bCs/>
          <w:sz w:val="24"/>
          <w:szCs w:val="21"/>
        </w:rPr>
        <w:fldChar w:fldCharType="begin"/>
      </w:r>
      <w:r>
        <w:rPr>
          <w:b/>
          <w:bCs/>
          <w:sz w:val="24"/>
          <w:szCs w:val="21"/>
        </w:rPr>
        <w:instrText xml:space="preserve"> STYLEREF 2 \s </w:instrText>
      </w:r>
      <w:r>
        <w:rPr>
          <w:b/>
          <w:bCs/>
          <w:sz w:val="24"/>
          <w:szCs w:val="21"/>
        </w:rPr>
        <w:fldChar w:fldCharType="separate"/>
      </w:r>
      <w:r>
        <w:rPr>
          <w:b/>
          <w:bCs/>
          <w:sz w:val="24"/>
          <w:szCs w:val="21"/>
        </w:rPr>
        <w:t>2.3</w:t>
      </w:r>
      <w:r>
        <w:rPr>
          <w:b/>
          <w:bCs/>
          <w:sz w:val="24"/>
          <w:szCs w:val="21"/>
        </w:rPr>
        <w:fldChar w:fldCharType="end"/>
      </w:r>
      <w:r>
        <w:rPr>
          <w:rFonts w:hint="eastAsia"/>
          <w:b/>
          <w:bCs/>
          <w:sz w:val="24"/>
          <w:szCs w:val="21"/>
        </w:rPr>
        <w:t>-</w:t>
      </w:r>
      <w:r>
        <w:rPr>
          <w:b/>
          <w:bCs/>
          <w:sz w:val="24"/>
          <w:szCs w:val="21"/>
        </w:rPr>
        <w:fldChar w:fldCharType="begin"/>
      </w:r>
      <w:r>
        <w:rPr>
          <w:b/>
          <w:bCs/>
          <w:sz w:val="24"/>
          <w:szCs w:val="21"/>
        </w:rPr>
        <w:instrText xml:space="preserve"> SEQ 表 \* ARABIC \s 2 </w:instrText>
      </w:r>
      <w:r>
        <w:rPr>
          <w:b/>
          <w:bCs/>
          <w:sz w:val="24"/>
          <w:szCs w:val="21"/>
        </w:rPr>
        <w:fldChar w:fldCharType="separate"/>
      </w:r>
      <w:r>
        <w:rPr>
          <w:b/>
          <w:bCs/>
          <w:sz w:val="24"/>
          <w:szCs w:val="21"/>
        </w:rPr>
        <w:t>7</w:t>
      </w:r>
      <w:r>
        <w:rPr>
          <w:b/>
          <w:bCs/>
          <w:sz w:val="24"/>
          <w:szCs w:val="21"/>
        </w:rPr>
        <w:fldChar w:fldCharType="end"/>
      </w:r>
      <w:r>
        <w:rPr>
          <w:rFonts w:hint="eastAsia"/>
          <w:b/>
          <w:bCs/>
          <w:sz w:val="24"/>
          <w:szCs w:val="21"/>
        </w:rPr>
        <w:t xml:space="preserve"> 叉车一览表</w:t>
      </w:r>
    </w:p>
    <w:tbl>
      <w:tblPr>
        <w:tblStyle w:val="29"/>
        <w:tblW w:w="4997" w:type="pct"/>
        <w:tblInd w:w="0" w:type="dxa"/>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fixed"/>
        <w:tblCellMar>
          <w:top w:w="0" w:type="dxa"/>
          <w:left w:w="108" w:type="dxa"/>
          <w:bottom w:w="0" w:type="dxa"/>
          <w:right w:w="108" w:type="dxa"/>
        </w:tblCellMar>
      </w:tblPr>
      <w:tblGrid>
        <w:gridCol w:w="1112"/>
        <w:gridCol w:w="888"/>
        <w:gridCol w:w="1055"/>
        <w:gridCol w:w="888"/>
        <w:gridCol w:w="1356"/>
        <w:gridCol w:w="1514"/>
        <w:gridCol w:w="767"/>
        <w:gridCol w:w="937"/>
      </w:tblGrid>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652" w:type="pct"/>
            <w:tcBorders>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sz w:val="22"/>
              </w:rPr>
            </w:pPr>
            <w:r>
              <w:rPr>
                <w:rFonts w:hint="eastAsia" w:ascii="宋体" w:hAnsi="宋体" w:cs="宋体"/>
                <w:color w:val="000000"/>
                <w:kern w:val="0"/>
                <w:sz w:val="22"/>
                <w:lang w:bidi="ar"/>
              </w:rPr>
              <w:t>制造单位</w:t>
            </w:r>
          </w:p>
        </w:tc>
        <w:tc>
          <w:tcPr>
            <w:tcW w:w="521" w:type="pct"/>
            <w:tcBorders>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sz w:val="22"/>
              </w:rPr>
            </w:pPr>
            <w:r>
              <w:rPr>
                <w:rFonts w:hint="eastAsia" w:ascii="宋体" w:hAnsi="宋体" w:cs="宋体"/>
                <w:color w:val="000000"/>
                <w:kern w:val="0"/>
                <w:sz w:val="22"/>
                <w:lang w:bidi="ar"/>
              </w:rPr>
              <w:t>车辆名称</w:t>
            </w:r>
          </w:p>
        </w:tc>
        <w:tc>
          <w:tcPr>
            <w:tcW w:w="619" w:type="pct"/>
            <w:tcBorders>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sz w:val="22"/>
              </w:rPr>
            </w:pPr>
            <w:r>
              <w:rPr>
                <w:rFonts w:hint="eastAsia" w:ascii="宋体" w:hAnsi="宋体" w:cs="宋体"/>
                <w:color w:val="000000"/>
                <w:kern w:val="0"/>
                <w:sz w:val="22"/>
                <w:lang w:bidi="ar"/>
              </w:rPr>
              <w:t>厂牌型号</w:t>
            </w:r>
          </w:p>
        </w:tc>
        <w:tc>
          <w:tcPr>
            <w:tcW w:w="521" w:type="pct"/>
            <w:tcBorders>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sz w:val="22"/>
              </w:rPr>
            </w:pPr>
            <w:r>
              <w:rPr>
                <w:rFonts w:hint="eastAsia" w:ascii="宋体" w:hAnsi="宋体" w:cs="宋体"/>
                <w:color w:val="000000"/>
                <w:kern w:val="0"/>
                <w:sz w:val="22"/>
                <w:lang w:bidi="ar"/>
              </w:rPr>
              <w:t>额定载重（kg）</w:t>
            </w:r>
          </w:p>
        </w:tc>
        <w:tc>
          <w:tcPr>
            <w:tcW w:w="796" w:type="pct"/>
            <w:tcBorders>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sz w:val="22"/>
              </w:rPr>
            </w:pPr>
            <w:r>
              <w:rPr>
                <w:rFonts w:hint="eastAsia" w:ascii="宋体" w:hAnsi="宋体" w:cs="宋体"/>
                <w:color w:val="000000"/>
                <w:kern w:val="0"/>
                <w:sz w:val="22"/>
                <w:lang w:bidi="ar"/>
              </w:rPr>
              <w:t>最大起升高度(m)</w:t>
            </w:r>
          </w:p>
        </w:tc>
        <w:tc>
          <w:tcPr>
            <w:tcW w:w="888" w:type="pct"/>
            <w:tcBorders>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sz w:val="22"/>
              </w:rPr>
            </w:pPr>
            <w:r>
              <w:rPr>
                <w:rFonts w:hint="eastAsia" w:ascii="宋体" w:hAnsi="宋体" w:cs="宋体"/>
                <w:color w:val="000000"/>
                <w:kern w:val="0"/>
                <w:sz w:val="22"/>
                <w:lang w:bidi="ar"/>
              </w:rPr>
              <w:t>检验有效期</w:t>
            </w:r>
          </w:p>
        </w:tc>
        <w:tc>
          <w:tcPr>
            <w:tcW w:w="450" w:type="pct"/>
            <w:tcBorders>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sz w:val="22"/>
              </w:rPr>
            </w:pPr>
            <w:r>
              <w:rPr>
                <w:rFonts w:hint="eastAsia" w:ascii="宋体" w:hAnsi="宋体" w:cs="宋体"/>
                <w:color w:val="000000"/>
                <w:kern w:val="0"/>
                <w:sz w:val="22"/>
                <w:lang w:bidi="ar"/>
              </w:rPr>
              <w:t>检验结论</w:t>
            </w:r>
          </w:p>
        </w:tc>
        <w:tc>
          <w:tcPr>
            <w:tcW w:w="550" w:type="pct"/>
            <w:tcBorders>
              <w:left w:val="single" w:color="000000" w:sz="4" w:space="0"/>
              <w:bottom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sz w:val="22"/>
              </w:rPr>
            </w:pPr>
            <w:r>
              <w:rPr>
                <w:rFonts w:hint="eastAsia" w:ascii="宋体" w:hAnsi="宋体" w:cs="宋体"/>
                <w:color w:val="000000"/>
                <w:sz w:val="22"/>
              </w:rPr>
              <w:t>登记证编号</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652" w:type="pct"/>
            <w:tcBorders>
              <w:top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sz w:val="22"/>
              </w:rPr>
            </w:pPr>
            <w:r>
              <w:rPr>
                <w:rFonts w:hint="eastAsia" w:ascii="宋体" w:hAnsi="宋体" w:cs="宋体"/>
                <w:color w:val="000000"/>
                <w:kern w:val="0"/>
                <w:sz w:val="22"/>
                <w:lang w:bidi="ar"/>
              </w:rPr>
              <w:t>安徽合力股份有限公司</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sz w:val="22"/>
              </w:rPr>
            </w:pPr>
            <w:r>
              <w:rPr>
                <w:rFonts w:hint="eastAsia" w:ascii="宋体" w:hAnsi="宋体" w:cs="宋体"/>
                <w:color w:val="000000"/>
                <w:kern w:val="0"/>
                <w:sz w:val="22"/>
                <w:lang w:bidi="ar"/>
              </w:rPr>
              <w:t>内燃平衡重式叉车</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sz w:val="22"/>
              </w:rPr>
            </w:pPr>
            <w:r>
              <w:rPr>
                <w:rFonts w:hint="eastAsia" w:ascii="宋体" w:hAnsi="宋体" w:cs="宋体"/>
                <w:color w:val="000000"/>
                <w:kern w:val="0"/>
                <w:sz w:val="22"/>
                <w:lang w:bidi="ar"/>
              </w:rPr>
              <w:t>CPCJ35</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sz w:val="22"/>
              </w:rPr>
            </w:pPr>
            <w:r>
              <w:rPr>
                <w:rFonts w:hint="eastAsia" w:ascii="宋体" w:hAnsi="宋体" w:cs="宋体"/>
                <w:color w:val="000000"/>
                <w:kern w:val="0"/>
                <w:sz w:val="22"/>
                <w:lang w:bidi="ar"/>
              </w:rPr>
              <w:t>3500</w:t>
            </w:r>
          </w:p>
        </w:tc>
        <w:tc>
          <w:tcPr>
            <w:tcW w:w="7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sz w:val="22"/>
              </w:rPr>
            </w:pPr>
            <w:r>
              <w:rPr>
                <w:rFonts w:hint="eastAsia" w:ascii="宋体" w:hAnsi="宋体" w:cs="宋体"/>
                <w:color w:val="000000"/>
                <w:kern w:val="0"/>
                <w:sz w:val="22"/>
                <w:lang w:bidi="ar"/>
              </w:rPr>
              <w:t xml:space="preserve">5.0 </w:t>
            </w:r>
          </w:p>
        </w:tc>
        <w:tc>
          <w:tcPr>
            <w:tcW w:w="88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sz w:val="22"/>
              </w:rPr>
            </w:pPr>
            <w:r>
              <w:rPr>
                <w:rFonts w:hint="eastAsia" w:ascii="宋体" w:hAnsi="宋体" w:cs="宋体"/>
                <w:color w:val="000000"/>
                <w:kern w:val="0"/>
                <w:sz w:val="22"/>
                <w:lang w:bidi="ar"/>
              </w:rPr>
              <w:t>2025.07</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sz w:val="22"/>
              </w:rPr>
            </w:pPr>
            <w:r>
              <w:rPr>
                <w:rFonts w:hint="eastAsia" w:ascii="宋体" w:hAnsi="宋体" w:cs="宋体"/>
                <w:color w:val="000000"/>
                <w:kern w:val="0"/>
                <w:sz w:val="22"/>
                <w:lang w:bidi="ar"/>
              </w:rPr>
              <w:t>合格</w:t>
            </w:r>
          </w:p>
        </w:tc>
        <w:tc>
          <w:tcPr>
            <w:tcW w:w="550" w:type="pct"/>
            <w:tcBorders>
              <w:top w:val="single" w:color="000000" w:sz="4" w:space="0"/>
              <w:left w:val="single" w:color="000000" w:sz="4" w:space="0"/>
              <w:bottom w:val="single" w:color="000000" w:sz="4" w:space="0"/>
            </w:tcBorders>
            <w:shd w:val="clear" w:color="auto" w:fill="auto"/>
            <w:vAlign w:val="center"/>
          </w:tcPr>
          <w:p>
            <w:pPr>
              <w:widowControl/>
              <w:spacing w:line="240" w:lineRule="auto"/>
              <w:ind w:firstLine="0" w:firstLineChars="0"/>
              <w:jc w:val="both"/>
              <w:textAlignment w:val="center"/>
              <w:rPr>
                <w:rFonts w:ascii="宋体" w:hAnsi="宋体" w:cs="宋体"/>
                <w:color w:val="000000"/>
                <w:kern w:val="0"/>
                <w:sz w:val="22"/>
                <w:lang w:bidi="ar"/>
              </w:rPr>
            </w:pPr>
            <w:r>
              <w:rPr>
                <w:rFonts w:hint="eastAsia" w:ascii="宋体" w:hAnsi="宋体" w:cs="宋体"/>
                <w:color w:val="000000"/>
                <w:kern w:val="0"/>
                <w:sz w:val="22"/>
                <w:lang w:bidi="ar"/>
              </w:rPr>
              <w:t>车11滇E00337（22）</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652" w:type="pct"/>
            <w:tcBorders>
              <w:top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sz w:val="22"/>
              </w:rPr>
            </w:pPr>
            <w:r>
              <w:rPr>
                <w:rFonts w:hint="eastAsia" w:ascii="宋体" w:hAnsi="宋体" w:cs="宋体"/>
                <w:color w:val="000000"/>
                <w:kern w:val="0"/>
                <w:sz w:val="22"/>
                <w:lang w:bidi="ar"/>
              </w:rPr>
              <w:t>安徽合力股份有限公司</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sz w:val="22"/>
              </w:rPr>
            </w:pPr>
            <w:r>
              <w:rPr>
                <w:rFonts w:hint="eastAsia" w:ascii="宋体" w:hAnsi="宋体" w:cs="宋体"/>
                <w:color w:val="000000"/>
                <w:kern w:val="0"/>
                <w:sz w:val="22"/>
                <w:lang w:bidi="ar"/>
              </w:rPr>
              <w:t>内燃平衡重式叉车</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sz w:val="22"/>
              </w:rPr>
            </w:pPr>
            <w:r>
              <w:rPr>
                <w:rFonts w:hint="eastAsia" w:ascii="宋体" w:hAnsi="宋体" w:cs="宋体"/>
                <w:color w:val="000000"/>
                <w:kern w:val="0"/>
                <w:sz w:val="22"/>
                <w:lang w:bidi="ar"/>
              </w:rPr>
              <w:t>CPC30</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sz w:val="22"/>
              </w:rPr>
            </w:pPr>
            <w:r>
              <w:rPr>
                <w:rFonts w:hint="eastAsia" w:ascii="宋体" w:hAnsi="宋体" w:cs="宋体"/>
                <w:color w:val="000000"/>
                <w:kern w:val="0"/>
                <w:sz w:val="22"/>
                <w:lang w:bidi="ar"/>
              </w:rPr>
              <w:t>3000</w:t>
            </w:r>
          </w:p>
        </w:tc>
        <w:tc>
          <w:tcPr>
            <w:tcW w:w="7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sz w:val="22"/>
              </w:rPr>
            </w:pPr>
            <w:r>
              <w:rPr>
                <w:rFonts w:hint="eastAsia" w:ascii="宋体" w:hAnsi="宋体" w:cs="宋体"/>
                <w:color w:val="000000"/>
                <w:kern w:val="0"/>
                <w:sz w:val="22"/>
                <w:lang w:bidi="ar"/>
              </w:rPr>
              <w:t xml:space="preserve">3.0 </w:t>
            </w:r>
          </w:p>
        </w:tc>
        <w:tc>
          <w:tcPr>
            <w:tcW w:w="88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sz w:val="22"/>
              </w:rPr>
            </w:pPr>
            <w:r>
              <w:rPr>
                <w:rFonts w:hint="eastAsia" w:ascii="宋体" w:hAnsi="宋体" w:cs="宋体"/>
                <w:color w:val="000000"/>
                <w:kern w:val="0"/>
                <w:sz w:val="22"/>
                <w:lang w:bidi="ar"/>
              </w:rPr>
              <w:t>2025.07</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sz w:val="22"/>
              </w:rPr>
            </w:pPr>
            <w:r>
              <w:rPr>
                <w:rFonts w:hint="eastAsia" w:ascii="宋体" w:hAnsi="宋体" w:cs="宋体"/>
                <w:color w:val="000000"/>
                <w:kern w:val="0"/>
                <w:sz w:val="22"/>
                <w:lang w:bidi="ar"/>
              </w:rPr>
              <w:t>合格</w:t>
            </w:r>
          </w:p>
        </w:tc>
        <w:tc>
          <w:tcPr>
            <w:tcW w:w="550" w:type="pct"/>
            <w:tcBorders>
              <w:top w:val="single" w:color="000000" w:sz="4" w:space="0"/>
              <w:left w:val="single" w:color="000000" w:sz="4" w:space="0"/>
              <w:bottom w:val="single" w:color="000000" w:sz="4" w:space="0"/>
            </w:tcBorders>
            <w:shd w:val="clear" w:color="auto" w:fill="auto"/>
            <w:vAlign w:val="center"/>
          </w:tcPr>
          <w:p>
            <w:pPr>
              <w:widowControl/>
              <w:spacing w:line="240" w:lineRule="auto"/>
              <w:ind w:firstLine="0" w:firstLineChars="0"/>
              <w:jc w:val="both"/>
              <w:textAlignment w:val="center"/>
              <w:rPr>
                <w:rFonts w:ascii="宋体" w:hAnsi="宋体" w:cs="宋体"/>
                <w:color w:val="000000"/>
                <w:kern w:val="0"/>
                <w:sz w:val="22"/>
                <w:lang w:bidi="ar"/>
              </w:rPr>
            </w:pPr>
            <w:r>
              <w:rPr>
                <w:rFonts w:hint="eastAsia" w:ascii="宋体" w:hAnsi="宋体" w:cs="宋体"/>
                <w:color w:val="000000"/>
                <w:kern w:val="0"/>
                <w:sz w:val="22"/>
                <w:lang w:bidi="ar"/>
              </w:rPr>
              <w:t>车11滇E00413（22）</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652" w:type="pct"/>
            <w:tcBorders>
              <w:top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sz w:val="22"/>
              </w:rPr>
            </w:pPr>
            <w:r>
              <w:rPr>
                <w:rFonts w:hint="eastAsia" w:ascii="宋体" w:hAnsi="宋体" w:cs="宋体"/>
                <w:color w:val="000000"/>
                <w:kern w:val="0"/>
                <w:sz w:val="22"/>
                <w:lang w:bidi="ar"/>
              </w:rPr>
              <w:t>安徽合力股份有限公司</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sz w:val="22"/>
              </w:rPr>
            </w:pPr>
            <w:r>
              <w:rPr>
                <w:rFonts w:hint="eastAsia" w:ascii="宋体" w:hAnsi="宋体" w:cs="宋体"/>
                <w:color w:val="000000"/>
                <w:kern w:val="0"/>
                <w:sz w:val="22"/>
                <w:lang w:bidi="ar"/>
              </w:rPr>
              <w:t>内燃平衡重式叉车</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sz w:val="22"/>
              </w:rPr>
            </w:pPr>
            <w:r>
              <w:rPr>
                <w:rFonts w:hint="eastAsia" w:ascii="宋体" w:hAnsi="宋体" w:cs="宋体"/>
                <w:color w:val="000000"/>
                <w:kern w:val="0"/>
                <w:sz w:val="22"/>
                <w:lang w:bidi="ar"/>
              </w:rPr>
              <w:t>CPC50</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sz w:val="22"/>
              </w:rPr>
            </w:pPr>
            <w:r>
              <w:rPr>
                <w:rFonts w:hint="eastAsia" w:ascii="宋体" w:hAnsi="宋体" w:cs="宋体"/>
                <w:color w:val="000000"/>
                <w:kern w:val="0"/>
                <w:sz w:val="22"/>
                <w:lang w:bidi="ar"/>
              </w:rPr>
              <w:t>5000</w:t>
            </w:r>
          </w:p>
        </w:tc>
        <w:tc>
          <w:tcPr>
            <w:tcW w:w="7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sz w:val="22"/>
              </w:rPr>
            </w:pPr>
            <w:r>
              <w:rPr>
                <w:rFonts w:hint="eastAsia" w:ascii="宋体" w:hAnsi="宋体" w:cs="宋体"/>
                <w:color w:val="000000"/>
                <w:kern w:val="0"/>
                <w:sz w:val="22"/>
                <w:lang w:bidi="ar"/>
              </w:rPr>
              <w:t xml:space="preserve">3.0 </w:t>
            </w:r>
          </w:p>
        </w:tc>
        <w:tc>
          <w:tcPr>
            <w:tcW w:w="88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sz w:val="22"/>
              </w:rPr>
            </w:pPr>
            <w:r>
              <w:rPr>
                <w:rFonts w:hint="eastAsia" w:ascii="宋体" w:hAnsi="宋体" w:cs="宋体"/>
                <w:color w:val="000000"/>
                <w:kern w:val="0"/>
                <w:sz w:val="22"/>
                <w:lang w:bidi="ar"/>
              </w:rPr>
              <w:t>2025.07</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sz w:val="22"/>
              </w:rPr>
            </w:pPr>
            <w:r>
              <w:rPr>
                <w:rFonts w:hint="eastAsia" w:ascii="宋体" w:hAnsi="宋体" w:cs="宋体"/>
                <w:color w:val="000000"/>
                <w:kern w:val="0"/>
                <w:sz w:val="22"/>
                <w:lang w:bidi="ar"/>
              </w:rPr>
              <w:t>合格</w:t>
            </w:r>
          </w:p>
        </w:tc>
        <w:tc>
          <w:tcPr>
            <w:tcW w:w="550" w:type="pct"/>
            <w:tcBorders>
              <w:top w:val="single" w:color="000000" w:sz="4" w:space="0"/>
              <w:left w:val="single" w:color="000000" w:sz="4" w:space="0"/>
              <w:bottom w:val="single" w:color="000000" w:sz="4" w:space="0"/>
            </w:tcBorders>
            <w:shd w:val="clear" w:color="auto" w:fill="auto"/>
            <w:vAlign w:val="center"/>
          </w:tcPr>
          <w:p>
            <w:pPr>
              <w:widowControl/>
              <w:spacing w:line="240" w:lineRule="auto"/>
              <w:ind w:firstLine="0" w:firstLineChars="0"/>
              <w:jc w:val="both"/>
              <w:textAlignment w:val="center"/>
              <w:rPr>
                <w:rFonts w:ascii="宋体" w:hAnsi="宋体" w:cs="宋体"/>
                <w:color w:val="000000"/>
                <w:kern w:val="0"/>
                <w:sz w:val="22"/>
                <w:lang w:bidi="ar"/>
              </w:rPr>
            </w:pPr>
            <w:r>
              <w:rPr>
                <w:rFonts w:hint="eastAsia" w:ascii="宋体" w:hAnsi="宋体" w:cs="宋体"/>
                <w:color w:val="000000"/>
                <w:kern w:val="0"/>
                <w:sz w:val="22"/>
                <w:lang w:bidi="ar"/>
              </w:rPr>
              <w:t>车Z0滇E00001（22）</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652" w:type="pct"/>
            <w:tcBorders>
              <w:top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sz w:val="22"/>
              </w:rPr>
            </w:pPr>
            <w:r>
              <w:rPr>
                <w:rFonts w:hint="eastAsia" w:ascii="宋体" w:hAnsi="宋体" w:cs="宋体"/>
                <w:color w:val="000000"/>
                <w:kern w:val="0"/>
                <w:sz w:val="22"/>
                <w:lang w:bidi="ar"/>
              </w:rPr>
              <w:t>安徽合力股份有限公司</w:t>
            </w:r>
          </w:p>
        </w:tc>
        <w:tc>
          <w:tcPr>
            <w:tcW w:w="521" w:type="pct"/>
            <w:tcBorders>
              <w:top w:val="single" w:color="000000" w:sz="4" w:space="0"/>
              <w:left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sz w:val="22"/>
              </w:rPr>
            </w:pPr>
            <w:r>
              <w:rPr>
                <w:rFonts w:hint="eastAsia" w:ascii="宋体" w:hAnsi="宋体" w:cs="宋体"/>
                <w:color w:val="000000"/>
                <w:kern w:val="0"/>
                <w:sz w:val="22"/>
                <w:lang w:bidi="ar"/>
              </w:rPr>
              <w:t>内燃平衡重式叉车</w:t>
            </w:r>
          </w:p>
        </w:tc>
        <w:tc>
          <w:tcPr>
            <w:tcW w:w="619" w:type="pct"/>
            <w:tcBorders>
              <w:top w:val="single" w:color="000000" w:sz="4" w:space="0"/>
              <w:left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sz w:val="22"/>
              </w:rPr>
            </w:pPr>
            <w:r>
              <w:rPr>
                <w:rFonts w:hint="eastAsia" w:ascii="宋体" w:hAnsi="宋体" w:cs="宋体"/>
                <w:color w:val="000000"/>
                <w:kern w:val="0"/>
                <w:sz w:val="22"/>
                <w:lang w:bidi="ar"/>
              </w:rPr>
              <w:t>CPC30</w:t>
            </w:r>
          </w:p>
        </w:tc>
        <w:tc>
          <w:tcPr>
            <w:tcW w:w="521" w:type="pct"/>
            <w:tcBorders>
              <w:top w:val="single" w:color="000000" w:sz="4" w:space="0"/>
              <w:left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sz w:val="22"/>
              </w:rPr>
            </w:pPr>
            <w:r>
              <w:rPr>
                <w:rFonts w:hint="eastAsia" w:ascii="宋体" w:hAnsi="宋体" w:cs="宋体"/>
                <w:color w:val="000000"/>
                <w:kern w:val="0"/>
                <w:sz w:val="22"/>
                <w:lang w:bidi="ar"/>
              </w:rPr>
              <w:t>3000</w:t>
            </w:r>
          </w:p>
        </w:tc>
        <w:tc>
          <w:tcPr>
            <w:tcW w:w="796" w:type="pct"/>
            <w:tcBorders>
              <w:top w:val="single" w:color="000000" w:sz="4" w:space="0"/>
              <w:left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sz w:val="22"/>
              </w:rPr>
            </w:pPr>
            <w:r>
              <w:rPr>
                <w:rFonts w:hint="eastAsia" w:ascii="宋体" w:hAnsi="宋体" w:cs="宋体"/>
                <w:color w:val="000000"/>
                <w:kern w:val="0"/>
                <w:sz w:val="22"/>
                <w:lang w:bidi="ar"/>
              </w:rPr>
              <w:t xml:space="preserve">3.0 </w:t>
            </w:r>
          </w:p>
        </w:tc>
        <w:tc>
          <w:tcPr>
            <w:tcW w:w="888" w:type="pct"/>
            <w:tcBorders>
              <w:top w:val="single" w:color="000000" w:sz="4" w:space="0"/>
              <w:left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sz w:val="22"/>
              </w:rPr>
            </w:pPr>
            <w:r>
              <w:rPr>
                <w:rFonts w:hint="eastAsia" w:ascii="宋体" w:hAnsi="宋体" w:cs="宋体"/>
                <w:color w:val="000000"/>
                <w:kern w:val="0"/>
                <w:sz w:val="22"/>
                <w:lang w:bidi="ar"/>
              </w:rPr>
              <w:t>2025.07</w:t>
            </w:r>
          </w:p>
        </w:tc>
        <w:tc>
          <w:tcPr>
            <w:tcW w:w="450" w:type="pct"/>
            <w:tcBorders>
              <w:top w:val="single" w:color="000000" w:sz="4" w:space="0"/>
              <w:left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sz w:val="22"/>
              </w:rPr>
            </w:pPr>
            <w:r>
              <w:rPr>
                <w:rFonts w:hint="eastAsia" w:ascii="宋体" w:hAnsi="宋体" w:cs="宋体"/>
                <w:color w:val="000000"/>
                <w:kern w:val="0"/>
                <w:sz w:val="22"/>
                <w:lang w:bidi="ar"/>
              </w:rPr>
              <w:t>合格</w:t>
            </w:r>
          </w:p>
        </w:tc>
        <w:tc>
          <w:tcPr>
            <w:tcW w:w="550" w:type="pct"/>
            <w:tcBorders>
              <w:top w:val="single" w:color="000000" w:sz="4" w:space="0"/>
              <w:left w:val="single" w:color="000000" w:sz="4" w:space="0"/>
            </w:tcBorders>
            <w:shd w:val="clear" w:color="auto" w:fill="auto"/>
            <w:vAlign w:val="center"/>
          </w:tcPr>
          <w:p>
            <w:pPr>
              <w:widowControl/>
              <w:spacing w:line="240" w:lineRule="auto"/>
              <w:ind w:firstLine="0" w:firstLineChars="0"/>
              <w:jc w:val="both"/>
              <w:textAlignment w:val="center"/>
              <w:rPr>
                <w:rFonts w:ascii="宋体" w:hAnsi="宋体" w:cs="宋体"/>
                <w:color w:val="000000"/>
                <w:kern w:val="0"/>
                <w:sz w:val="22"/>
                <w:lang w:bidi="ar"/>
              </w:rPr>
            </w:pPr>
            <w:r>
              <w:rPr>
                <w:rFonts w:hint="eastAsia" w:ascii="宋体" w:hAnsi="宋体" w:cs="宋体"/>
                <w:color w:val="000000"/>
                <w:kern w:val="0"/>
                <w:sz w:val="22"/>
                <w:lang w:bidi="ar"/>
              </w:rPr>
              <w:t>车11滇E00412（22）</w:t>
            </w:r>
          </w:p>
        </w:tc>
      </w:tr>
    </w:tbl>
    <w:p>
      <w:pPr>
        <w:pStyle w:val="8"/>
        <w:spacing w:before="156" w:after="156"/>
      </w:pPr>
      <w:r>
        <w:t>压力容器</w:t>
      </w:r>
      <w:bookmarkEnd w:id="55"/>
      <w:bookmarkEnd w:id="56"/>
      <w:bookmarkEnd w:id="57"/>
    </w:p>
    <w:p>
      <w:pPr>
        <w:ind w:firstLine="560"/>
      </w:pPr>
      <w:r>
        <w:rPr>
          <w:rFonts w:hint="eastAsia"/>
        </w:rPr>
        <w:t>项目使用压力容器储气罐2m</w:t>
      </w:r>
      <w:r>
        <w:rPr>
          <w:rFonts w:hint="eastAsia"/>
          <w:vertAlign w:val="superscript"/>
        </w:rPr>
        <w:t xml:space="preserve">3 </w:t>
      </w:r>
      <w:r>
        <w:rPr>
          <w:rFonts w:hint="eastAsia"/>
        </w:rPr>
        <w:t>4个，1m</w:t>
      </w:r>
      <w:r>
        <w:rPr>
          <w:rFonts w:hint="eastAsia"/>
          <w:vertAlign w:val="superscript"/>
        </w:rPr>
        <w:t>3</w:t>
      </w:r>
      <w:r>
        <w:rPr>
          <w:rFonts w:hint="eastAsia"/>
        </w:rPr>
        <w:t>以下的11个。储气罐均由有相应压力容器制造资质单位制造生产，并附有相应合格证明。1m</w:t>
      </w:r>
      <w:r>
        <w:rPr>
          <w:rFonts w:hint="eastAsia"/>
          <w:vertAlign w:val="superscript"/>
        </w:rPr>
        <w:t>3</w:t>
      </w:r>
      <w:r>
        <w:rPr>
          <w:rFonts w:hint="eastAsia"/>
        </w:rPr>
        <w:t>以上</w:t>
      </w:r>
      <w:r>
        <w:rPr>
          <w:rFonts w:hint="eastAsia"/>
          <w:lang w:eastAsia="zh-CN"/>
        </w:rPr>
        <w:t>储气罐</w:t>
      </w:r>
      <w:r>
        <w:rPr>
          <w:rFonts w:hint="eastAsia"/>
        </w:rPr>
        <w:t>按要求进行年度检验和定期检验。所有储气罐安全阀、压力表均进行定期检验。压力容器检验报告见附件32，安全阀、压力表检验报告见附件33。</w:t>
      </w:r>
    </w:p>
    <w:p>
      <w:pPr>
        <w:ind w:firstLine="560"/>
      </w:pPr>
    </w:p>
    <w:p>
      <w:pPr>
        <w:ind w:firstLine="560"/>
      </w:pPr>
    </w:p>
    <w:p>
      <w:pPr>
        <w:ind w:firstLine="560"/>
      </w:pPr>
    </w:p>
    <w:p>
      <w:pPr>
        <w:ind w:firstLine="0" w:firstLineChars="0"/>
        <w:jc w:val="center"/>
        <w:rPr>
          <w:b/>
          <w:bCs/>
          <w:sz w:val="24"/>
          <w:szCs w:val="21"/>
        </w:rPr>
      </w:pPr>
      <w:r>
        <w:rPr>
          <w:b/>
          <w:bCs/>
          <w:sz w:val="24"/>
          <w:szCs w:val="21"/>
        </w:rPr>
        <w:t xml:space="preserve">表 </w:t>
      </w:r>
      <w:r>
        <w:rPr>
          <w:b/>
          <w:bCs/>
          <w:sz w:val="24"/>
          <w:szCs w:val="21"/>
        </w:rPr>
        <w:fldChar w:fldCharType="begin"/>
      </w:r>
      <w:r>
        <w:rPr>
          <w:b/>
          <w:bCs/>
          <w:sz w:val="24"/>
          <w:szCs w:val="21"/>
        </w:rPr>
        <w:instrText xml:space="preserve"> STYLEREF 2 \s </w:instrText>
      </w:r>
      <w:r>
        <w:rPr>
          <w:b/>
          <w:bCs/>
          <w:sz w:val="24"/>
          <w:szCs w:val="21"/>
        </w:rPr>
        <w:fldChar w:fldCharType="separate"/>
      </w:r>
      <w:r>
        <w:rPr>
          <w:b/>
          <w:bCs/>
          <w:sz w:val="24"/>
          <w:szCs w:val="21"/>
        </w:rPr>
        <w:t>2.3</w:t>
      </w:r>
      <w:r>
        <w:rPr>
          <w:b/>
          <w:bCs/>
          <w:sz w:val="24"/>
          <w:szCs w:val="21"/>
        </w:rPr>
        <w:fldChar w:fldCharType="end"/>
      </w:r>
      <w:r>
        <w:rPr>
          <w:rFonts w:hint="eastAsia"/>
          <w:b/>
          <w:bCs/>
          <w:sz w:val="24"/>
          <w:szCs w:val="21"/>
        </w:rPr>
        <w:t>-</w:t>
      </w:r>
      <w:r>
        <w:rPr>
          <w:b/>
          <w:bCs/>
          <w:sz w:val="24"/>
          <w:szCs w:val="21"/>
        </w:rPr>
        <w:fldChar w:fldCharType="begin"/>
      </w:r>
      <w:r>
        <w:rPr>
          <w:b/>
          <w:bCs/>
          <w:sz w:val="24"/>
          <w:szCs w:val="21"/>
        </w:rPr>
        <w:instrText xml:space="preserve"> SEQ 表 \* ARABIC \s 2 </w:instrText>
      </w:r>
      <w:r>
        <w:rPr>
          <w:b/>
          <w:bCs/>
          <w:sz w:val="24"/>
          <w:szCs w:val="21"/>
        </w:rPr>
        <w:fldChar w:fldCharType="separate"/>
      </w:r>
      <w:r>
        <w:rPr>
          <w:b/>
          <w:bCs/>
          <w:sz w:val="24"/>
          <w:szCs w:val="21"/>
        </w:rPr>
        <w:t>8</w:t>
      </w:r>
      <w:r>
        <w:rPr>
          <w:b/>
          <w:bCs/>
          <w:sz w:val="24"/>
          <w:szCs w:val="21"/>
        </w:rPr>
        <w:fldChar w:fldCharType="end"/>
      </w:r>
      <w:r>
        <w:rPr>
          <w:rFonts w:hint="eastAsia"/>
          <w:b/>
          <w:bCs/>
          <w:sz w:val="24"/>
          <w:szCs w:val="21"/>
        </w:rPr>
        <w:t xml:space="preserve"> 空气储罐一览表</w:t>
      </w:r>
    </w:p>
    <w:tbl>
      <w:tblPr>
        <w:tblStyle w:val="29"/>
        <w:tblW w:w="4998" w:type="pct"/>
        <w:jc w:val="center"/>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fixed"/>
        <w:tblCellMar>
          <w:top w:w="0" w:type="dxa"/>
          <w:left w:w="108" w:type="dxa"/>
          <w:bottom w:w="0" w:type="dxa"/>
          <w:right w:w="108" w:type="dxa"/>
        </w:tblCellMar>
      </w:tblPr>
      <w:tblGrid>
        <w:gridCol w:w="1233"/>
        <w:gridCol w:w="1032"/>
        <w:gridCol w:w="877"/>
        <w:gridCol w:w="719"/>
        <w:gridCol w:w="1307"/>
        <w:gridCol w:w="1993"/>
        <w:gridCol w:w="1358"/>
      </w:tblGrid>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723" w:type="pct"/>
            <w:tcBorders>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制造日期</w:t>
            </w:r>
          </w:p>
        </w:tc>
        <w:tc>
          <w:tcPr>
            <w:tcW w:w="605" w:type="pct"/>
            <w:tcBorders>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设计压力(Mpa)</w:t>
            </w:r>
          </w:p>
        </w:tc>
        <w:tc>
          <w:tcPr>
            <w:tcW w:w="514" w:type="pct"/>
            <w:tcBorders>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容积</w:t>
            </w:r>
          </w:p>
          <w:p>
            <w:pPr>
              <w:widowControl/>
              <w:spacing w:line="240" w:lineRule="auto"/>
              <w:ind w:firstLine="0" w:firstLineChars="0"/>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（m³）</w:t>
            </w:r>
          </w:p>
        </w:tc>
        <w:tc>
          <w:tcPr>
            <w:tcW w:w="422" w:type="pct"/>
            <w:tcBorders>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工作介质</w:t>
            </w:r>
          </w:p>
        </w:tc>
        <w:tc>
          <w:tcPr>
            <w:tcW w:w="767" w:type="pct"/>
            <w:tcBorders>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使用登记证号</w:t>
            </w:r>
          </w:p>
        </w:tc>
        <w:tc>
          <w:tcPr>
            <w:tcW w:w="1169" w:type="pct"/>
            <w:tcBorders>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sz w:val="22"/>
              </w:rPr>
            </w:pPr>
            <w:r>
              <w:rPr>
                <w:rFonts w:hint="eastAsia" w:ascii="宋体" w:hAnsi="宋体" w:cs="宋体"/>
                <w:color w:val="000000"/>
                <w:kern w:val="0"/>
                <w:sz w:val="22"/>
                <w:lang w:bidi="ar"/>
              </w:rPr>
              <w:t>制造单位</w:t>
            </w:r>
          </w:p>
        </w:tc>
        <w:tc>
          <w:tcPr>
            <w:tcW w:w="797" w:type="pct"/>
            <w:tcBorders>
              <w:left w:val="single" w:color="000000" w:sz="4" w:space="0"/>
              <w:bottom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sz w:val="22"/>
              </w:rPr>
            </w:pPr>
            <w:r>
              <w:rPr>
                <w:rFonts w:hint="eastAsia" w:ascii="宋体" w:hAnsi="宋体" w:cs="宋体"/>
                <w:color w:val="000000"/>
                <w:kern w:val="0"/>
                <w:sz w:val="22"/>
                <w:lang w:bidi="ar"/>
              </w:rPr>
              <w:t>安装位置</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676" w:hRule="atLeast"/>
          <w:jc w:val="center"/>
        </w:trPr>
        <w:tc>
          <w:tcPr>
            <w:tcW w:w="723" w:type="pct"/>
            <w:tcBorders>
              <w:top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2019-06</w:t>
            </w:r>
          </w:p>
        </w:tc>
        <w:tc>
          <w:tcPr>
            <w:tcW w:w="60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0.84</w:t>
            </w:r>
          </w:p>
        </w:tc>
        <w:tc>
          <w:tcPr>
            <w:tcW w:w="51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3.0</w:t>
            </w:r>
          </w:p>
        </w:tc>
        <w:tc>
          <w:tcPr>
            <w:tcW w:w="42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空气</w:t>
            </w:r>
          </w:p>
        </w:tc>
        <w:tc>
          <w:tcPr>
            <w:tcW w:w="76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容17滇E00794（22）</w:t>
            </w:r>
          </w:p>
        </w:tc>
        <w:tc>
          <w:tcPr>
            <w:tcW w:w="116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sz w:val="22"/>
              </w:rPr>
            </w:pPr>
            <w:r>
              <w:rPr>
                <w:rFonts w:hint="eastAsia" w:ascii="宋体" w:hAnsi="宋体" w:cs="宋体"/>
                <w:color w:val="000000"/>
                <w:kern w:val="0"/>
                <w:sz w:val="22"/>
                <w:lang w:bidi="ar"/>
              </w:rPr>
              <w:t>濮阳市瑞德压力容器有限公司</w:t>
            </w:r>
          </w:p>
        </w:tc>
        <w:tc>
          <w:tcPr>
            <w:tcW w:w="797" w:type="pct"/>
            <w:tcBorders>
              <w:top w:val="single" w:color="000000" w:sz="4" w:space="0"/>
              <w:left w:val="single" w:color="000000" w:sz="4" w:space="0"/>
              <w:bottom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sz w:val="22"/>
              </w:rPr>
            </w:pPr>
            <w:r>
              <w:rPr>
                <w:rFonts w:hint="eastAsia" w:ascii="宋体" w:hAnsi="宋体" w:cs="宋体"/>
                <w:color w:val="000000"/>
                <w:kern w:val="0"/>
                <w:sz w:val="22"/>
                <w:lang w:bidi="ar"/>
              </w:rPr>
              <w:t>造型机处</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702" w:hRule="atLeast"/>
          <w:jc w:val="center"/>
        </w:trPr>
        <w:tc>
          <w:tcPr>
            <w:tcW w:w="723" w:type="pct"/>
            <w:tcBorders>
              <w:top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2021-10</w:t>
            </w:r>
          </w:p>
        </w:tc>
        <w:tc>
          <w:tcPr>
            <w:tcW w:w="60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 xml:space="preserve">0.84 </w:t>
            </w:r>
          </w:p>
        </w:tc>
        <w:tc>
          <w:tcPr>
            <w:tcW w:w="51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2.0</w:t>
            </w:r>
          </w:p>
        </w:tc>
        <w:tc>
          <w:tcPr>
            <w:tcW w:w="42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空气</w:t>
            </w:r>
          </w:p>
        </w:tc>
        <w:tc>
          <w:tcPr>
            <w:tcW w:w="76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容17滇E00793（22）</w:t>
            </w:r>
          </w:p>
        </w:tc>
        <w:tc>
          <w:tcPr>
            <w:tcW w:w="116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sz w:val="22"/>
              </w:rPr>
            </w:pPr>
            <w:r>
              <w:rPr>
                <w:rFonts w:hint="eastAsia" w:ascii="宋体" w:hAnsi="宋体" w:cs="宋体"/>
                <w:color w:val="000000"/>
                <w:kern w:val="0"/>
                <w:sz w:val="22"/>
                <w:lang w:bidi="ar"/>
              </w:rPr>
              <w:t>临沂市瑞德机械有限公司</w:t>
            </w:r>
          </w:p>
        </w:tc>
        <w:tc>
          <w:tcPr>
            <w:tcW w:w="797" w:type="pct"/>
            <w:tcBorders>
              <w:top w:val="single" w:color="000000" w:sz="4" w:space="0"/>
              <w:left w:val="single" w:color="000000" w:sz="4" w:space="0"/>
              <w:bottom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sz w:val="22"/>
              </w:rPr>
            </w:pPr>
            <w:r>
              <w:rPr>
                <w:rFonts w:hint="eastAsia" w:ascii="宋体" w:hAnsi="宋体" w:cs="宋体"/>
                <w:color w:val="000000"/>
                <w:kern w:val="0"/>
                <w:sz w:val="22"/>
                <w:lang w:bidi="ar"/>
              </w:rPr>
              <w:t>砂处理生产线左侧</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23" w:type="pct"/>
            <w:tcBorders>
              <w:top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2021-10</w:t>
            </w:r>
          </w:p>
        </w:tc>
        <w:tc>
          <w:tcPr>
            <w:tcW w:w="60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 xml:space="preserve">0.84 </w:t>
            </w:r>
          </w:p>
        </w:tc>
        <w:tc>
          <w:tcPr>
            <w:tcW w:w="51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2.0</w:t>
            </w:r>
          </w:p>
        </w:tc>
        <w:tc>
          <w:tcPr>
            <w:tcW w:w="42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空气</w:t>
            </w:r>
          </w:p>
        </w:tc>
        <w:tc>
          <w:tcPr>
            <w:tcW w:w="76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容17滇E00795（22）</w:t>
            </w:r>
          </w:p>
        </w:tc>
        <w:tc>
          <w:tcPr>
            <w:tcW w:w="116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sz w:val="22"/>
              </w:rPr>
            </w:pPr>
            <w:r>
              <w:rPr>
                <w:rFonts w:hint="eastAsia" w:ascii="宋体" w:hAnsi="宋体" w:cs="宋体"/>
                <w:color w:val="000000"/>
                <w:kern w:val="0"/>
                <w:sz w:val="22"/>
                <w:lang w:bidi="ar"/>
              </w:rPr>
              <w:t>临沂市瑞德机械有限公司</w:t>
            </w:r>
          </w:p>
        </w:tc>
        <w:tc>
          <w:tcPr>
            <w:tcW w:w="797" w:type="pct"/>
            <w:tcBorders>
              <w:top w:val="single" w:color="000000" w:sz="4" w:space="0"/>
              <w:left w:val="single" w:color="000000" w:sz="4" w:space="0"/>
              <w:bottom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sz w:val="22"/>
              </w:rPr>
            </w:pPr>
            <w:r>
              <w:rPr>
                <w:rFonts w:hint="eastAsia" w:ascii="宋体" w:hAnsi="宋体" w:cs="宋体"/>
                <w:color w:val="000000"/>
                <w:kern w:val="0"/>
                <w:sz w:val="22"/>
                <w:lang w:bidi="ar"/>
              </w:rPr>
              <w:t>砂处理生产线中间位置</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710" w:hRule="atLeast"/>
          <w:jc w:val="center"/>
        </w:trPr>
        <w:tc>
          <w:tcPr>
            <w:tcW w:w="723" w:type="pct"/>
            <w:tcBorders>
              <w:top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2021-10</w:t>
            </w:r>
          </w:p>
        </w:tc>
        <w:tc>
          <w:tcPr>
            <w:tcW w:w="605" w:type="pct"/>
            <w:tcBorders>
              <w:top w:val="single" w:color="000000" w:sz="4" w:space="0"/>
              <w:left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 xml:space="preserve">0.84 </w:t>
            </w:r>
          </w:p>
        </w:tc>
        <w:tc>
          <w:tcPr>
            <w:tcW w:w="514" w:type="pct"/>
            <w:tcBorders>
              <w:top w:val="single" w:color="000000" w:sz="4" w:space="0"/>
              <w:left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2.0</w:t>
            </w:r>
          </w:p>
        </w:tc>
        <w:tc>
          <w:tcPr>
            <w:tcW w:w="422" w:type="pct"/>
            <w:tcBorders>
              <w:top w:val="single" w:color="000000" w:sz="4" w:space="0"/>
              <w:left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空气</w:t>
            </w:r>
          </w:p>
        </w:tc>
        <w:tc>
          <w:tcPr>
            <w:tcW w:w="767" w:type="pct"/>
            <w:tcBorders>
              <w:top w:val="single" w:color="000000" w:sz="4" w:space="0"/>
              <w:left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容17滇E00794（22）</w:t>
            </w:r>
          </w:p>
        </w:tc>
        <w:tc>
          <w:tcPr>
            <w:tcW w:w="1169" w:type="pct"/>
            <w:tcBorders>
              <w:top w:val="single" w:color="000000" w:sz="4" w:space="0"/>
              <w:left w:val="single" w:color="000000" w:sz="4" w:space="0"/>
              <w:righ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sz w:val="22"/>
              </w:rPr>
            </w:pPr>
            <w:r>
              <w:rPr>
                <w:rFonts w:hint="eastAsia" w:ascii="宋体" w:hAnsi="宋体" w:cs="宋体"/>
                <w:color w:val="000000"/>
                <w:kern w:val="0"/>
                <w:sz w:val="22"/>
                <w:lang w:bidi="ar"/>
              </w:rPr>
              <w:t>临沂市瑞德机械有限公司</w:t>
            </w:r>
          </w:p>
        </w:tc>
        <w:tc>
          <w:tcPr>
            <w:tcW w:w="797" w:type="pct"/>
            <w:tcBorders>
              <w:top w:val="single" w:color="000000" w:sz="4" w:space="0"/>
              <w:lef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sz w:val="22"/>
              </w:rPr>
            </w:pPr>
            <w:r>
              <w:rPr>
                <w:rFonts w:hint="eastAsia" w:ascii="宋体" w:hAnsi="宋体" w:cs="宋体"/>
                <w:color w:val="000000"/>
                <w:kern w:val="0"/>
                <w:sz w:val="22"/>
                <w:lang w:bidi="ar"/>
              </w:rPr>
              <w:t>砂处理生产线右侧</w:t>
            </w:r>
          </w:p>
        </w:tc>
      </w:tr>
    </w:tbl>
    <w:p>
      <w:pPr>
        <w:pStyle w:val="6"/>
        <w:spacing w:before="156" w:after="156"/>
      </w:pPr>
      <w:bookmarkStart w:id="58" w:name="_Toc333"/>
      <w:r>
        <w:rPr>
          <w:rFonts w:hint="eastAsia"/>
        </w:rPr>
        <w:t>主要原辅材料</w:t>
      </w:r>
      <w:bookmarkEnd w:id="50"/>
      <w:bookmarkEnd w:id="58"/>
    </w:p>
    <w:p>
      <w:pPr>
        <w:adjustRightInd w:val="0"/>
        <w:snapToGrid w:val="0"/>
        <w:spacing w:before="156" w:beforeLines="50" w:line="360" w:lineRule="auto"/>
        <w:ind w:firstLine="560"/>
        <w:rPr>
          <w:rFonts w:ascii="宋体" w:hAnsi="宋体" w:cs="宋体"/>
          <w:szCs w:val="28"/>
        </w:rPr>
      </w:pPr>
      <w:bookmarkStart w:id="59" w:name="_Toc8792"/>
      <w:bookmarkStart w:id="60" w:name="_Toc8775"/>
      <w:bookmarkStart w:id="61" w:name="_Toc19931"/>
      <w:bookmarkStart w:id="62" w:name="_Toc10022"/>
      <w:r>
        <w:rPr>
          <w:rFonts w:hint="eastAsia" w:ascii="宋体" w:hAnsi="宋体" w:cs="宋体"/>
          <w:szCs w:val="20"/>
        </w:rPr>
        <w:t>本项目主要</w:t>
      </w:r>
      <w:bookmarkEnd w:id="59"/>
      <w:bookmarkEnd w:id="60"/>
      <w:bookmarkEnd w:id="61"/>
      <w:r>
        <w:rPr>
          <w:rFonts w:hint="eastAsia" w:ascii="宋体" w:hAnsi="宋体" w:cs="宋体"/>
          <w:szCs w:val="28"/>
        </w:rPr>
        <w:t>原、辅材料供应情况见</w:t>
      </w:r>
      <w:bookmarkEnd w:id="62"/>
      <w:r>
        <w:rPr>
          <w:rFonts w:hint="eastAsia" w:ascii="宋体" w:hAnsi="宋体" w:cs="宋体"/>
          <w:szCs w:val="28"/>
        </w:rPr>
        <w:t>表 2.3-9主要原、辅材料一览表（一期）。</w:t>
      </w:r>
    </w:p>
    <w:p>
      <w:pPr>
        <w:spacing w:line="360" w:lineRule="auto"/>
        <w:ind w:firstLine="482"/>
        <w:jc w:val="center"/>
        <w:rPr>
          <w:rFonts w:ascii="宋体" w:hAnsi="宋体" w:cs="宋体"/>
          <w:b/>
          <w:bCs/>
          <w:sz w:val="24"/>
          <w:szCs w:val="20"/>
        </w:rPr>
      </w:pPr>
      <w:r>
        <w:rPr>
          <w:rFonts w:hint="eastAsia" w:ascii="宋体" w:hAnsi="宋体" w:cs="宋体"/>
          <w:b/>
          <w:bCs/>
          <w:sz w:val="24"/>
        </w:rPr>
        <w:t xml:space="preserve">表 </w:t>
      </w:r>
      <w:r>
        <w:rPr>
          <w:rFonts w:hint="eastAsia" w:ascii="宋体" w:hAnsi="宋体" w:cs="宋体"/>
          <w:b/>
          <w:bCs/>
          <w:sz w:val="24"/>
        </w:rPr>
        <w:fldChar w:fldCharType="begin"/>
      </w:r>
      <w:r>
        <w:rPr>
          <w:rFonts w:hint="eastAsia" w:ascii="宋体" w:hAnsi="宋体" w:cs="宋体"/>
          <w:b/>
          <w:bCs/>
          <w:sz w:val="24"/>
        </w:rPr>
        <w:instrText xml:space="preserve"> STYLEREF 2 \s </w:instrText>
      </w:r>
      <w:r>
        <w:rPr>
          <w:rFonts w:hint="eastAsia" w:ascii="宋体" w:hAnsi="宋体" w:cs="宋体"/>
          <w:b/>
          <w:bCs/>
          <w:sz w:val="24"/>
        </w:rPr>
        <w:fldChar w:fldCharType="separate"/>
      </w:r>
      <w:r>
        <w:rPr>
          <w:rFonts w:hint="eastAsia" w:ascii="宋体" w:hAnsi="宋体" w:cs="宋体"/>
          <w:b/>
          <w:bCs/>
          <w:sz w:val="24"/>
        </w:rPr>
        <w:t>2.3</w:t>
      </w:r>
      <w:r>
        <w:rPr>
          <w:rFonts w:hint="eastAsia" w:ascii="宋体" w:hAnsi="宋体" w:cs="宋体"/>
          <w:b/>
          <w:bCs/>
          <w:sz w:val="24"/>
        </w:rPr>
        <w:fldChar w:fldCharType="end"/>
      </w:r>
      <w:r>
        <w:rPr>
          <w:rFonts w:hint="eastAsia" w:ascii="宋体" w:hAnsi="宋体" w:cs="宋体"/>
          <w:b/>
          <w:bCs/>
          <w:sz w:val="24"/>
        </w:rPr>
        <w:t>-</w:t>
      </w:r>
      <w:r>
        <w:rPr>
          <w:rFonts w:hint="eastAsia" w:ascii="宋体" w:hAnsi="宋体" w:cs="宋体"/>
          <w:b/>
          <w:bCs/>
          <w:sz w:val="24"/>
        </w:rPr>
        <w:fldChar w:fldCharType="begin"/>
      </w:r>
      <w:r>
        <w:rPr>
          <w:rFonts w:hint="eastAsia" w:ascii="宋体" w:hAnsi="宋体" w:cs="宋体"/>
          <w:b/>
          <w:bCs/>
          <w:sz w:val="24"/>
        </w:rPr>
        <w:instrText xml:space="preserve"> SEQ 表 \* ARABIC \s 2 </w:instrText>
      </w:r>
      <w:r>
        <w:rPr>
          <w:rFonts w:hint="eastAsia" w:ascii="宋体" w:hAnsi="宋体" w:cs="宋体"/>
          <w:b/>
          <w:bCs/>
          <w:sz w:val="24"/>
        </w:rPr>
        <w:fldChar w:fldCharType="separate"/>
      </w:r>
      <w:r>
        <w:rPr>
          <w:rFonts w:hint="eastAsia" w:ascii="宋体" w:hAnsi="宋体" w:cs="宋体"/>
          <w:b/>
          <w:bCs/>
          <w:sz w:val="24"/>
        </w:rPr>
        <w:t>9</w:t>
      </w:r>
      <w:r>
        <w:rPr>
          <w:rFonts w:hint="eastAsia" w:ascii="宋体" w:hAnsi="宋体" w:cs="宋体"/>
          <w:b/>
          <w:bCs/>
          <w:sz w:val="24"/>
        </w:rPr>
        <w:fldChar w:fldCharType="end"/>
      </w:r>
      <w:r>
        <w:rPr>
          <w:rFonts w:hint="eastAsia" w:ascii="宋体" w:hAnsi="宋体" w:cs="宋体"/>
          <w:b/>
          <w:bCs/>
          <w:sz w:val="24"/>
          <w:szCs w:val="20"/>
        </w:rPr>
        <w:t>主要原、辅材料一览表（一期）</w:t>
      </w:r>
    </w:p>
    <w:tbl>
      <w:tblPr>
        <w:tblStyle w:val="29"/>
        <w:tblW w:w="778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980"/>
        <w:gridCol w:w="3079"/>
        <w:gridCol w:w="744"/>
        <w:gridCol w:w="1537"/>
        <w:gridCol w:w="144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980" w:type="dxa"/>
            <w:vAlign w:val="center"/>
          </w:tcPr>
          <w:p>
            <w:pPr>
              <w:widowControl/>
              <w:spacing w:line="240" w:lineRule="auto"/>
              <w:ind w:firstLine="0" w:firstLineChars="0"/>
              <w:jc w:val="center"/>
              <w:rPr>
                <w:rFonts w:ascii="宋体" w:hAnsi="宋体" w:cs="宋体"/>
                <w:b/>
                <w:bCs/>
                <w:kern w:val="0"/>
                <w:sz w:val="24"/>
                <w:szCs w:val="24"/>
              </w:rPr>
            </w:pPr>
            <w:r>
              <w:rPr>
                <w:rFonts w:hint="eastAsia" w:ascii="宋体" w:hAnsi="宋体" w:cs="宋体"/>
                <w:b/>
                <w:bCs/>
                <w:kern w:val="0"/>
                <w:sz w:val="24"/>
                <w:szCs w:val="24"/>
              </w:rPr>
              <w:t>序号</w:t>
            </w:r>
          </w:p>
        </w:tc>
        <w:tc>
          <w:tcPr>
            <w:tcW w:w="3079" w:type="dxa"/>
            <w:vAlign w:val="center"/>
          </w:tcPr>
          <w:p>
            <w:pPr>
              <w:widowControl/>
              <w:spacing w:line="240" w:lineRule="auto"/>
              <w:ind w:firstLine="0" w:firstLineChars="0"/>
              <w:jc w:val="center"/>
              <w:rPr>
                <w:rFonts w:ascii="宋体" w:hAnsi="宋体" w:cs="宋体"/>
                <w:b/>
                <w:bCs/>
                <w:kern w:val="0"/>
                <w:sz w:val="24"/>
                <w:szCs w:val="24"/>
              </w:rPr>
            </w:pPr>
            <w:r>
              <w:rPr>
                <w:rFonts w:hint="eastAsia" w:ascii="宋体" w:hAnsi="宋体" w:cs="宋体"/>
                <w:b/>
                <w:bCs/>
                <w:kern w:val="0"/>
                <w:sz w:val="24"/>
                <w:szCs w:val="24"/>
              </w:rPr>
              <w:t>项目</w:t>
            </w:r>
          </w:p>
        </w:tc>
        <w:tc>
          <w:tcPr>
            <w:tcW w:w="744" w:type="dxa"/>
            <w:vAlign w:val="center"/>
          </w:tcPr>
          <w:p>
            <w:pPr>
              <w:widowControl/>
              <w:spacing w:line="240" w:lineRule="auto"/>
              <w:ind w:firstLine="0" w:firstLineChars="0"/>
              <w:jc w:val="center"/>
              <w:rPr>
                <w:rFonts w:ascii="宋体" w:hAnsi="宋体" w:cs="宋体"/>
                <w:b/>
                <w:bCs/>
                <w:kern w:val="0"/>
                <w:sz w:val="24"/>
                <w:szCs w:val="24"/>
              </w:rPr>
            </w:pPr>
            <w:r>
              <w:rPr>
                <w:rFonts w:hint="eastAsia" w:ascii="宋体" w:hAnsi="宋体" w:cs="宋体"/>
                <w:b/>
                <w:bCs/>
                <w:kern w:val="0"/>
                <w:sz w:val="24"/>
                <w:szCs w:val="24"/>
              </w:rPr>
              <w:t>单位</w:t>
            </w:r>
          </w:p>
        </w:tc>
        <w:tc>
          <w:tcPr>
            <w:tcW w:w="1537" w:type="dxa"/>
            <w:vAlign w:val="center"/>
          </w:tcPr>
          <w:p>
            <w:pPr>
              <w:widowControl/>
              <w:spacing w:line="240" w:lineRule="auto"/>
              <w:ind w:firstLine="0" w:firstLineChars="0"/>
              <w:jc w:val="center"/>
              <w:rPr>
                <w:rFonts w:ascii="宋体" w:hAnsi="宋体" w:cs="宋体"/>
                <w:b/>
                <w:bCs/>
                <w:kern w:val="0"/>
                <w:sz w:val="24"/>
                <w:szCs w:val="24"/>
              </w:rPr>
            </w:pPr>
            <w:r>
              <w:rPr>
                <w:rFonts w:hint="eastAsia" w:ascii="宋体" w:hAnsi="宋体" w:cs="宋体"/>
                <w:b/>
                <w:bCs/>
                <w:kern w:val="0"/>
                <w:sz w:val="24"/>
                <w:szCs w:val="24"/>
              </w:rPr>
              <w:t>年消耗量</w:t>
            </w:r>
          </w:p>
        </w:tc>
        <w:tc>
          <w:tcPr>
            <w:tcW w:w="1440" w:type="dxa"/>
            <w:vAlign w:val="center"/>
          </w:tcPr>
          <w:p>
            <w:pPr>
              <w:widowControl/>
              <w:spacing w:line="240" w:lineRule="auto"/>
              <w:ind w:firstLine="0" w:firstLineChars="0"/>
              <w:jc w:val="center"/>
              <w:rPr>
                <w:rFonts w:ascii="宋体" w:hAnsi="宋体" w:cs="宋体"/>
                <w:b/>
                <w:bCs/>
                <w:kern w:val="0"/>
                <w:sz w:val="24"/>
                <w:szCs w:val="24"/>
              </w:rPr>
            </w:pPr>
            <w:r>
              <w:rPr>
                <w:rFonts w:hint="eastAsia" w:ascii="宋体" w:hAnsi="宋体" w:cs="宋体"/>
                <w:b/>
                <w:bCs/>
                <w:kern w:val="0"/>
                <w:sz w:val="24"/>
                <w:szCs w:val="24"/>
              </w:rPr>
              <w:t>供应来源</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980" w:type="dxa"/>
            <w:vAlign w:val="center"/>
          </w:tcPr>
          <w:p>
            <w:pPr>
              <w:widowControl/>
              <w:spacing w:line="240" w:lineRule="auto"/>
              <w:ind w:firstLine="0" w:firstLineChars="0"/>
              <w:rPr>
                <w:rFonts w:ascii="宋体" w:hAnsi="宋体" w:cs="宋体"/>
                <w:kern w:val="0"/>
                <w:sz w:val="24"/>
                <w:szCs w:val="24"/>
              </w:rPr>
            </w:pPr>
            <w:r>
              <w:rPr>
                <w:rFonts w:hint="eastAsia" w:ascii="宋体" w:hAnsi="宋体" w:cs="宋体"/>
                <w:kern w:val="0"/>
                <w:sz w:val="24"/>
                <w:szCs w:val="24"/>
              </w:rPr>
              <w:t>　</w:t>
            </w:r>
          </w:p>
        </w:tc>
        <w:tc>
          <w:tcPr>
            <w:tcW w:w="3079" w:type="dxa"/>
            <w:vAlign w:val="center"/>
          </w:tcPr>
          <w:p>
            <w:pPr>
              <w:widowControl/>
              <w:spacing w:line="240" w:lineRule="auto"/>
              <w:ind w:firstLine="0" w:firstLineChars="0"/>
              <w:rPr>
                <w:rFonts w:ascii="宋体" w:hAnsi="宋体" w:cs="宋体"/>
                <w:kern w:val="0"/>
                <w:sz w:val="24"/>
                <w:szCs w:val="24"/>
              </w:rPr>
            </w:pPr>
            <w:r>
              <w:rPr>
                <w:rFonts w:hint="eastAsia" w:ascii="宋体" w:hAnsi="宋体" w:cs="宋体"/>
                <w:kern w:val="0"/>
                <w:sz w:val="24"/>
                <w:szCs w:val="24"/>
              </w:rPr>
              <w:t>一、金属炉料</w:t>
            </w:r>
          </w:p>
        </w:tc>
        <w:tc>
          <w:tcPr>
            <w:tcW w:w="744" w:type="dxa"/>
            <w:vAlign w:val="center"/>
          </w:tcPr>
          <w:p>
            <w:pPr>
              <w:widowControl/>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吨</w:t>
            </w:r>
          </w:p>
        </w:tc>
        <w:tc>
          <w:tcPr>
            <w:tcW w:w="1537" w:type="dxa"/>
            <w:vAlign w:val="center"/>
          </w:tcPr>
          <w:p>
            <w:pPr>
              <w:widowControl/>
              <w:spacing w:line="240" w:lineRule="auto"/>
              <w:ind w:firstLine="0" w:firstLineChars="0"/>
              <w:rPr>
                <w:rFonts w:ascii="宋体" w:hAnsi="宋体" w:cs="宋体"/>
                <w:kern w:val="0"/>
                <w:sz w:val="24"/>
                <w:szCs w:val="24"/>
              </w:rPr>
            </w:pPr>
            <w:r>
              <w:rPr>
                <w:rFonts w:hint="eastAsia" w:ascii="宋体" w:hAnsi="宋体" w:cs="宋体"/>
                <w:kern w:val="0"/>
                <w:sz w:val="24"/>
                <w:szCs w:val="24"/>
              </w:rPr>
              <w:t>　</w:t>
            </w:r>
          </w:p>
        </w:tc>
        <w:tc>
          <w:tcPr>
            <w:tcW w:w="1440" w:type="dxa"/>
            <w:vAlign w:val="center"/>
          </w:tcPr>
          <w:p>
            <w:pPr>
              <w:widowControl/>
              <w:spacing w:line="240" w:lineRule="auto"/>
              <w:ind w:firstLine="0" w:firstLineChars="0"/>
              <w:rPr>
                <w:rFonts w:ascii="宋体" w:hAnsi="宋体" w:cs="宋体"/>
                <w:kern w:val="0"/>
                <w:sz w:val="24"/>
                <w:szCs w:val="24"/>
              </w:rPr>
            </w:pPr>
            <w:r>
              <w:rPr>
                <w:rFonts w:hint="eastAsia" w:ascii="宋体" w:hAnsi="宋体" w:cs="宋体"/>
                <w:kern w:val="0"/>
                <w:sz w:val="24"/>
                <w:szCs w:val="24"/>
              </w:rPr>
              <w:t>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980" w:type="dxa"/>
            <w:vAlign w:val="center"/>
          </w:tcPr>
          <w:p>
            <w:pPr>
              <w:widowControl/>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1</w:t>
            </w:r>
          </w:p>
        </w:tc>
        <w:tc>
          <w:tcPr>
            <w:tcW w:w="3079" w:type="dxa"/>
            <w:vAlign w:val="center"/>
          </w:tcPr>
          <w:p>
            <w:pPr>
              <w:widowControl/>
              <w:spacing w:line="240" w:lineRule="auto"/>
              <w:ind w:firstLine="0" w:firstLineChars="0"/>
              <w:rPr>
                <w:rFonts w:ascii="宋体" w:hAnsi="宋体" w:cs="宋体"/>
                <w:kern w:val="0"/>
                <w:sz w:val="24"/>
                <w:szCs w:val="24"/>
              </w:rPr>
            </w:pPr>
            <w:r>
              <w:rPr>
                <w:rFonts w:hint="eastAsia" w:ascii="宋体" w:hAnsi="宋体" w:cs="宋体"/>
                <w:kern w:val="0"/>
                <w:sz w:val="24"/>
                <w:szCs w:val="24"/>
              </w:rPr>
              <w:t>生铁</w:t>
            </w:r>
          </w:p>
        </w:tc>
        <w:tc>
          <w:tcPr>
            <w:tcW w:w="744" w:type="dxa"/>
            <w:vAlign w:val="center"/>
          </w:tcPr>
          <w:p>
            <w:pPr>
              <w:widowControl/>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吨</w:t>
            </w:r>
          </w:p>
        </w:tc>
        <w:tc>
          <w:tcPr>
            <w:tcW w:w="1537" w:type="dxa"/>
            <w:vAlign w:val="center"/>
          </w:tcPr>
          <w:p>
            <w:pPr>
              <w:widowControl/>
              <w:spacing w:line="240" w:lineRule="auto"/>
              <w:ind w:firstLine="0" w:firstLineChars="0"/>
              <w:rPr>
                <w:rFonts w:ascii="宋体" w:hAnsi="宋体" w:cs="宋体"/>
                <w:kern w:val="0"/>
                <w:sz w:val="24"/>
                <w:szCs w:val="24"/>
              </w:rPr>
            </w:pPr>
            <w:r>
              <w:rPr>
                <w:rFonts w:hint="eastAsia" w:ascii="宋体" w:hAnsi="宋体" w:cs="宋体"/>
                <w:kern w:val="0"/>
                <w:sz w:val="24"/>
                <w:szCs w:val="24"/>
              </w:rPr>
              <w:t xml:space="preserve">2139.14 </w:t>
            </w:r>
          </w:p>
        </w:tc>
        <w:tc>
          <w:tcPr>
            <w:tcW w:w="1440" w:type="dxa"/>
            <w:vAlign w:val="center"/>
          </w:tcPr>
          <w:p>
            <w:pPr>
              <w:widowControl/>
              <w:spacing w:line="240" w:lineRule="auto"/>
              <w:ind w:firstLine="0" w:firstLineChars="0"/>
              <w:rPr>
                <w:rFonts w:ascii="宋体" w:hAnsi="宋体" w:cs="宋体"/>
                <w:kern w:val="0"/>
                <w:sz w:val="24"/>
                <w:szCs w:val="24"/>
              </w:rPr>
            </w:pPr>
            <w:r>
              <w:rPr>
                <w:rFonts w:hint="eastAsia" w:ascii="宋体" w:hAnsi="宋体" w:cs="宋体"/>
                <w:kern w:val="0"/>
                <w:sz w:val="24"/>
                <w:szCs w:val="24"/>
              </w:rPr>
              <w:t>四川</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980" w:type="dxa"/>
            <w:vAlign w:val="center"/>
          </w:tcPr>
          <w:p>
            <w:pPr>
              <w:widowControl/>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2</w:t>
            </w:r>
          </w:p>
        </w:tc>
        <w:tc>
          <w:tcPr>
            <w:tcW w:w="3079" w:type="dxa"/>
            <w:vAlign w:val="center"/>
          </w:tcPr>
          <w:p>
            <w:pPr>
              <w:widowControl/>
              <w:spacing w:line="240" w:lineRule="auto"/>
              <w:ind w:firstLine="0" w:firstLineChars="0"/>
              <w:rPr>
                <w:rFonts w:ascii="宋体" w:hAnsi="宋体" w:cs="宋体"/>
                <w:kern w:val="0"/>
                <w:sz w:val="24"/>
                <w:szCs w:val="24"/>
              </w:rPr>
            </w:pPr>
            <w:r>
              <w:rPr>
                <w:rFonts w:hint="eastAsia" w:ascii="宋体" w:hAnsi="宋体" w:cs="宋体"/>
                <w:kern w:val="0"/>
                <w:sz w:val="24"/>
                <w:szCs w:val="24"/>
              </w:rPr>
              <w:t>回炉铁</w:t>
            </w:r>
          </w:p>
        </w:tc>
        <w:tc>
          <w:tcPr>
            <w:tcW w:w="744" w:type="dxa"/>
            <w:vAlign w:val="center"/>
          </w:tcPr>
          <w:p>
            <w:pPr>
              <w:widowControl/>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吨</w:t>
            </w:r>
          </w:p>
        </w:tc>
        <w:tc>
          <w:tcPr>
            <w:tcW w:w="1537" w:type="dxa"/>
            <w:vAlign w:val="center"/>
          </w:tcPr>
          <w:p>
            <w:pPr>
              <w:widowControl/>
              <w:spacing w:line="240" w:lineRule="auto"/>
              <w:ind w:firstLine="0" w:firstLineChars="0"/>
              <w:rPr>
                <w:rFonts w:ascii="宋体" w:hAnsi="宋体" w:cs="宋体"/>
                <w:kern w:val="0"/>
                <w:sz w:val="24"/>
                <w:szCs w:val="24"/>
              </w:rPr>
            </w:pPr>
            <w:r>
              <w:rPr>
                <w:rFonts w:hint="eastAsia" w:ascii="宋体" w:hAnsi="宋体" w:cs="宋体"/>
                <w:kern w:val="0"/>
                <w:sz w:val="24"/>
                <w:szCs w:val="24"/>
              </w:rPr>
              <w:t xml:space="preserve">3936.01 </w:t>
            </w:r>
          </w:p>
        </w:tc>
        <w:tc>
          <w:tcPr>
            <w:tcW w:w="1440" w:type="dxa"/>
            <w:vAlign w:val="center"/>
          </w:tcPr>
          <w:p>
            <w:pPr>
              <w:widowControl/>
              <w:spacing w:line="240" w:lineRule="auto"/>
              <w:ind w:firstLine="0" w:firstLineChars="0"/>
              <w:rPr>
                <w:rFonts w:ascii="宋体" w:hAnsi="宋体" w:cs="宋体"/>
                <w:kern w:val="0"/>
                <w:sz w:val="24"/>
                <w:szCs w:val="24"/>
              </w:rPr>
            </w:pPr>
            <w:r>
              <w:rPr>
                <w:rFonts w:hint="eastAsia" w:ascii="宋体" w:hAnsi="宋体" w:cs="宋体"/>
                <w:kern w:val="0"/>
                <w:sz w:val="24"/>
                <w:szCs w:val="24"/>
              </w:rPr>
              <w:t>昆明</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980" w:type="dxa"/>
            <w:vAlign w:val="center"/>
          </w:tcPr>
          <w:p>
            <w:pPr>
              <w:widowControl/>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3</w:t>
            </w:r>
          </w:p>
        </w:tc>
        <w:tc>
          <w:tcPr>
            <w:tcW w:w="3079" w:type="dxa"/>
            <w:vAlign w:val="center"/>
          </w:tcPr>
          <w:p>
            <w:pPr>
              <w:widowControl/>
              <w:spacing w:line="240" w:lineRule="auto"/>
              <w:ind w:firstLine="0" w:firstLineChars="0"/>
              <w:rPr>
                <w:rFonts w:ascii="宋体" w:hAnsi="宋体" w:cs="宋体"/>
                <w:kern w:val="0"/>
                <w:sz w:val="24"/>
                <w:szCs w:val="24"/>
              </w:rPr>
            </w:pPr>
            <w:r>
              <w:rPr>
                <w:rFonts w:hint="eastAsia" w:ascii="宋体" w:hAnsi="宋体" w:cs="宋体"/>
                <w:kern w:val="0"/>
                <w:sz w:val="24"/>
                <w:szCs w:val="24"/>
              </w:rPr>
              <w:t>铁屑</w:t>
            </w:r>
          </w:p>
        </w:tc>
        <w:tc>
          <w:tcPr>
            <w:tcW w:w="744" w:type="dxa"/>
            <w:vAlign w:val="center"/>
          </w:tcPr>
          <w:p>
            <w:pPr>
              <w:widowControl/>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吨</w:t>
            </w:r>
          </w:p>
        </w:tc>
        <w:tc>
          <w:tcPr>
            <w:tcW w:w="1537" w:type="dxa"/>
            <w:vAlign w:val="center"/>
          </w:tcPr>
          <w:p>
            <w:pPr>
              <w:widowControl/>
              <w:spacing w:line="240" w:lineRule="auto"/>
              <w:ind w:firstLine="0" w:firstLineChars="0"/>
              <w:rPr>
                <w:rFonts w:ascii="宋体" w:hAnsi="宋体" w:cs="宋体"/>
                <w:kern w:val="0"/>
                <w:sz w:val="24"/>
                <w:szCs w:val="24"/>
              </w:rPr>
            </w:pPr>
            <w:r>
              <w:rPr>
                <w:rFonts w:hint="eastAsia" w:ascii="宋体" w:hAnsi="宋体" w:cs="宋体"/>
                <w:kern w:val="0"/>
                <w:sz w:val="24"/>
                <w:szCs w:val="24"/>
              </w:rPr>
              <w:t xml:space="preserve">3422.62 </w:t>
            </w:r>
          </w:p>
        </w:tc>
        <w:tc>
          <w:tcPr>
            <w:tcW w:w="1440" w:type="dxa"/>
            <w:vAlign w:val="center"/>
          </w:tcPr>
          <w:p>
            <w:pPr>
              <w:widowControl/>
              <w:spacing w:line="240" w:lineRule="auto"/>
              <w:ind w:firstLine="0" w:firstLineChars="0"/>
              <w:rPr>
                <w:rFonts w:ascii="宋体" w:hAnsi="宋体" w:cs="宋体"/>
                <w:kern w:val="0"/>
                <w:sz w:val="24"/>
                <w:szCs w:val="24"/>
              </w:rPr>
            </w:pPr>
            <w:r>
              <w:rPr>
                <w:rFonts w:hint="eastAsia" w:ascii="宋体" w:hAnsi="宋体" w:cs="宋体"/>
                <w:kern w:val="0"/>
                <w:sz w:val="24"/>
                <w:szCs w:val="24"/>
              </w:rPr>
              <w:t>昆明</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980" w:type="dxa"/>
            <w:vAlign w:val="center"/>
          </w:tcPr>
          <w:p>
            <w:pPr>
              <w:widowControl/>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4</w:t>
            </w:r>
          </w:p>
        </w:tc>
        <w:tc>
          <w:tcPr>
            <w:tcW w:w="3079" w:type="dxa"/>
            <w:vAlign w:val="center"/>
          </w:tcPr>
          <w:p>
            <w:pPr>
              <w:widowControl/>
              <w:spacing w:line="240" w:lineRule="auto"/>
              <w:ind w:firstLine="0" w:firstLineChars="0"/>
              <w:rPr>
                <w:rFonts w:ascii="宋体" w:hAnsi="宋体" w:cs="宋体"/>
                <w:kern w:val="0"/>
                <w:sz w:val="24"/>
                <w:szCs w:val="24"/>
              </w:rPr>
            </w:pPr>
            <w:r>
              <w:rPr>
                <w:rFonts w:hint="eastAsia" w:ascii="宋体" w:hAnsi="宋体" w:cs="宋体"/>
                <w:kern w:val="0"/>
                <w:sz w:val="24"/>
                <w:szCs w:val="24"/>
              </w:rPr>
              <w:t>废钢</w:t>
            </w:r>
          </w:p>
        </w:tc>
        <w:tc>
          <w:tcPr>
            <w:tcW w:w="744" w:type="dxa"/>
            <w:vAlign w:val="center"/>
          </w:tcPr>
          <w:p>
            <w:pPr>
              <w:widowControl/>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吨</w:t>
            </w:r>
          </w:p>
        </w:tc>
        <w:tc>
          <w:tcPr>
            <w:tcW w:w="1537" w:type="dxa"/>
            <w:vAlign w:val="center"/>
          </w:tcPr>
          <w:p>
            <w:pPr>
              <w:widowControl/>
              <w:spacing w:line="240" w:lineRule="auto"/>
              <w:ind w:firstLine="0" w:firstLineChars="0"/>
              <w:rPr>
                <w:rFonts w:ascii="宋体" w:hAnsi="宋体" w:cs="宋体"/>
                <w:kern w:val="0"/>
                <w:sz w:val="24"/>
                <w:szCs w:val="24"/>
              </w:rPr>
            </w:pPr>
            <w:r>
              <w:rPr>
                <w:rFonts w:hint="eastAsia" w:ascii="宋体" w:hAnsi="宋体" w:cs="宋体"/>
                <w:kern w:val="0"/>
                <w:sz w:val="24"/>
                <w:szCs w:val="24"/>
              </w:rPr>
              <w:t xml:space="preserve">6845.24 </w:t>
            </w:r>
          </w:p>
        </w:tc>
        <w:tc>
          <w:tcPr>
            <w:tcW w:w="1440" w:type="dxa"/>
            <w:vAlign w:val="center"/>
          </w:tcPr>
          <w:p>
            <w:pPr>
              <w:widowControl/>
              <w:spacing w:line="240" w:lineRule="auto"/>
              <w:ind w:firstLine="0" w:firstLineChars="0"/>
              <w:rPr>
                <w:rFonts w:ascii="宋体" w:hAnsi="宋体" w:cs="宋体"/>
                <w:kern w:val="0"/>
                <w:sz w:val="24"/>
                <w:szCs w:val="24"/>
              </w:rPr>
            </w:pPr>
            <w:r>
              <w:rPr>
                <w:rFonts w:hint="eastAsia" w:ascii="宋体" w:hAnsi="宋体" w:cs="宋体"/>
                <w:kern w:val="0"/>
                <w:sz w:val="24"/>
                <w:szCs w:val="24"/>
              </w:rPr>
              <w:t>昆明</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980" w:type="dxa"/>
            <w:vAlign w:val="center"/>
          </w:tcPr>
          <w:p>
            <w:pPr>
              <w:widowControl/>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5</w:t>
            </w:r>
          </w:p>
        </w:tc>
        <w:tc>
          <w:tcPr>
            <w:tcW w:w="3079" w:type="dxa"/>
            <w:vAlign w:val="center"/>
          </w:tcPr>
          <w:p>
            <w:pPr>
              <w:widowControl/>
              <w:spacing w:line="240" w:lineRule="auto"/>
              <w:ind w:firstLine="0" w:firstLineChars="0"/>
              <w:rPr>
                <w:rFonts w:ascii="宋体" w:hAnsi="宋体" w:cs="宋体"/>
                <w:kern w:val="0"/>
                <w:sz w:val="24"/>
                <w:szCs w:val="24"/>
              </w:rPr>
            </w:pPr>
            <w:r>
              <w:rPr>
                <w:rFonts w:hint="eastAsia" w:ascii="宋体" w:hAnsi="宋体" w:cs="宋体"/>
                <w:kern w:val="0"/>
                <w:sz w:val="24"/>
                <w:szCs w:val="24"/>
              </w:rPr>
              <w:t>硅铁</w:t>
            </w:r>
          </w:p>
        </w:tc>
        <w:tc>
          <w:tcPr>
            <w:tcW w:w="744" w:type="dxa"/>
            <w:vAlign w:val="center"/>
          </w:tcPr>
          <w:p>
            <w:pPr>
              <w:widowControl/>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吨</w:t>
            </w:r>
          </w:p>
        </w:tc>
        <w:tc>
          <w:tcPr>
            <w:tcW w:w="1537" w:type="dxa"/>
            <w:vAlign w:val="center"/>
          </w:tcPr>
          <w:p>
            <w:pPr>
              <w:widowControl/>
              <w:spacing w:line="240" w:lineRule="auto"/>
              <w:ind w:firstLine="0" w:firstLineChars="0"/>
              <w:rPr>
                <w:rFonts w:ascii="宋体" w:hAnsi="宋体" w:cs="宋体"/>
                <w:kern w:val="0"/>
                <w:sz w:val="24"/>
                <w:szCs w:val="24"/>
              </w:rPr>
            </w:pPr>
            <w:r>
              <w:rPr>
                <w:rFonts w:hint="eastAsia" w:ascii="宋体" w:hAnsi="宋体" w:cs="宋体"/>
                <w:kern w:val="0"/>
                <w:sz w:val="24"/>
                <w:szCs w:val="24"/>
              </w:rPr>
              <w:t xml:space="preserve">513.39 </w:t>
            </w:r>
          </w:p>
        </w:tc>
        <w:tc>
          <w:tcPr>
            <w:tcW w:w="1440" w:type="dxa"/>
            <w:vAlign w:val="center"/>
          </w:tcPr>
          <w:p>
            <w:pPr>
              <w:widowControl/>
              <w:spacing w:line="240" w:lineRule="auto"/>
              <w:ind w:firstLine="0" w:firstLineChars="0"/>
              <w:rPr>
                <w:rFonts w:ascii="宋体" w:hAnsi="宋体" w:cs="宋体"/>
                <w:kern w:val="0"/>
                <w:sz w:val="24"/>
                <w:szCs w:val="24"/>
              </w:rPr>
            </w:pPr>
            <w:r>
              <w:rPr>
                <w:rFonts w:hint="eastAsia" w:ascii="宋体" w:hAnsi="宋体" w:cs="宋体"/>
                <w:kern w:val="0"/>
                <w:sz w:val="24"/>
                <w:szCs w:val="24"/>
              </w:rPr>
              <w:t>昆明</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980" w:type="dxa"/>
            <w:vAlign w:val="center"/>
          </w:tcPr>
          <w:p>
            <w:pPr>
              <w:widowControl/>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6</w:t>
            </w:r>
          </w:p>
        </w:tc>
        <w:tc>
          <w:tcPr>
            <w:tcW w:w="3079" w:type="dxa"/>
            <w:vAlign w:val="center"/>
          </w:tcPr>
          <w:p>
            <w:pPr>
              <w:widowControl/>
              <w:spacing w:line="240" w:lineRule="auto"/>
              <w:ind w:firstLine="0" w:firstLineChars="0"/>
              <w:rPr>
                <w:rFonts w:ascii="宋体" w:hAnsi="宋体" w:cs="宋体"/>
                <w:kern w:val="0"/>
                <w:sz w:val="24"/>
                <w:szCs w:val="24"/>
              </w:rPr>
            </w:pPr>
            <w:r>
              <w:rPr>
                <w:rFonts w:hint="eastAsia" w:ascii="宋体" w:hAnsi="宋体" w:cs="宋体"/>
                <w:kern w:val="0"/>
                <w:sz w:val="24"/>
                <w:szCs w:val="24"/>
              </w:rPr>
              <w:t>锰铁</w:t>
            </w:r>
          </w:p>
        </w:tc>
        <w:tc>
          <w:tcPr>
            <w:tcW w:w="744" w:type="dxa"/>
            <w:vAlign w:val="center"/>
          </w:tcPr>
          <w:p>
            <w:pPr>
              <w:widowControl/>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吨</w:t>
            </w:r>
          </w:p>
        </w:tc>
        <w:tc>
          <w:tcPr>
            <w:tcW w:w="1537" w:type="dxa"/>
            <w:vAlign w:val="center"/>
          </w:tcPr>
          <w:p>
            <w:pPr>
              <w:widowControl/>
              <w:spacing w:line="240" w:lineRule="auto"/>
              <w:ind w:firstLine="0" w:firstLineChars="0"/>
              <w:rPr>
                <w:rFonts w:ascii="宋体" w:hAnsi="宋体" w:cs="宋体"/>
                <w:kern w:val="0"/>
                <w:sz w:val="24"/>
                <w:szCs w:val="24"/>
              </w:rPr>
            </w:pPr>
            <w:r>
              <w:rPr>
                <w:rFonts w:hint="eastAsia" w:ascii="宋体" w:hAnsi="宋体" w:cs="宋体"/>
                <w:kern w:val="0"/>
                <w:sz w:val="24"/>
                <w:szCs w:val="24"/>
              </w:rPr>
              <w:t xml:space="preserve">256.70 </w:t>
            </w:r>
          </w:p>
        </w:tc>
        <w:tc>
          <w:tcPr>
            <w:tcW w:w="1440" w:type="dxa"/>
            <w:vAlign w:val="center"/>
          </w:tcPr>
          <w:p>
            <w:pPr>
              <w:widowControl/>
              <w:spacing w:line="240" w:lineRule="auto"/>
              <w:ind w:firstLine="0" w:firstLineChars="0"/>
              <w:rPr>
                <w:rFonts w:ascii="宋体" w:hAnsi="宋体" w:cs="宋体"/>
                <w:kern w:val="0"/>
                <w:sz w:val="24"/>
                <w:szCs w:val="24"/>
              </w:rPr>
            </w:pPr>
            <w:r>
              <w:rPr>
                <w:rFonts w:hint="eastAsia" w:ascii="宋体" w:hAnsi="宋体" w:cs="宋体"/>
                <w:kern w:val="0"/>
                <w:sz w:val="24"/>
                <w:szCs w:val="24"/>
              </w:rPr>
              <w:t>昆明</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980" w:type="dxa"/>
            <w:vAlign w:val="center"/>
          </w:tcPr>
          <w:p>
            <w:pPr>
              <w:widowControl/>
              <w:spacing w:line="240" w:lineRule="auto"/>
              <w:ind w:firstLine="0" w:firstLineChars="0"/>
              <w:jc w:val="center"/>
              <w:rPr>
                <w:rFonts w:ascii="宋体" w:hAnsi="宋体" w:cs="宋体"/>
                <w:kern w:val="0"/>
                <w:sz w:val="24"/>
                <w:szCs w:val="24"/>
              </w:rPr>
            </w:pPr>
          </w:p>
        </w:tc>
        <w:tc>
          <w:tcPr>
            <w:tcW w:w="3079" w:type="dxa"/>
            <w:vAlign w:val="center"/>
          </w:tcPr>
          <w:p>
            <w:pPr>
              <w:widowControl/>
              <w:spacing w:line="240" w:lineRule="auto"/>
              <w:ind w:firstLine="0" w:firstLineChars="0"/>
              <w:rPr>
                <w:rFonts w:ascii="宋体" w:hAnsi="宋体" w:cs="宋体"/>
                <w:kern w:val="0"/>
                <w:sz w:val="24"/>
                <w:szCs w:val="24"/>
              </w:rPr>
            </w:pPr>
            <w:r>
              <w:rPr>
                <w:rFonts w:hint="eastAsia" w:ascii="宋体" w:hAnsi="宋体" w:cs="宋体"/>
                <w:kern w:val="0"/>
                <w:sz w:val="24"/>
                <w:szCs w:val="24"/>
              </w:rPr>
              <w:t>二、辅助材料</w:t>
            </w:r>
          </w:p>
        </w:tc>
        <w:tc>
          <w:tcPr>
            <w:tcW w:w="744" w:type="dxa"/>
            <w:vAlign w:val="center"/>
          </w:tcPr>
          <w:p>
            <w:pPr>
              <w:widowControl/>
              <w:spacing w:line="240" w:lineRule="auto"/>
              <w:ind w:firstLine="0" w:firstLineChars="0"/>
              <w:jc w:val="center"/>
              <w:rPr>
                <w:rFonts w:ascii="宋体" w:hAnsi="宋体" w:cs="宋体"/>
                <w:kern w:val="0"/>
                <w:sz w:val="24"/>
                <w:szCs w:val="24"/>
              </w:rPr>
            </w:pPr>
          </w:p>
        </w:tc>
        <w:tc>
          <w:tcPr>
            <w:tcW w:w="1537" w:type="dxa"/>
            <w:vAlign w:val="center"/>
          </w:tcPr>
          <w:p>
            <w:pPr>
              <w:widowControl/>
              <w:spacing w:line="240" w:lineRule="auto"/>
              <w:ind w:firstLine="0" w:firstLineChars="0"/>
              <w:rPr>
                <w:rFonts w:ascii="宋体" w:hAnsi="宋体" w:cs="宋体"/>
                <w:kern w:val="0"/>
                <w:sz w:val="24"/>
                <w:szCs w:val="24"/>
              </w:rPr>
            </w:pPr>
            <w:r>
              <w:rPr>
                <w:rFonts w:hint="eastAsia" w:ascii="宋体" w:hAnsi="宋体" w:cs="宋体"/>
                <w:kern w:val="0"/>
                <w:sz w:val="24"/>
                <w:szCs w:val="24"/>
              </w:rPr>
              <w:t>　</w:t>
            </w:r>
          </w:p>
        </w:tc>
        <w:tc>
          <w:tcPr>
            <w:tcW w:w="1440" w:type="dxa"/>
            <w:vAlign w:val="center"/>
          </w:tcPr>
          <w:p>
            <w:pPr>
              <w:widowControl/>
              <w:spacing w:line="240" w:lineRule="auto"/>
              <w:ind w:firstLine="0" w:firstLineChars="0"/>
              <w:rPr>
                <w:rFonts w:ascii="宋体" w:hAnsi="宋体" w:cs="宋体"/>
                <w:kern w:val="0"/>
                <w:sz w:val="24"/>
                <w:szCs w:val="24"/>
              </w:rPr>
            </w:pPr>
            <w:r>
              <w:rPr>
                <w:rFonts w:hint="eastAsia" w:ascii="宋体" w:hAnsi="宋体" w:cs="宋体"/>
                <w:kern w:val="0"/>
                <w:sz w:val="24"/>
                <w:szCs w:val="24"/>
              </w:rPr>
              <w:t>昆明</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980" w:type="dxa"/>
            <w:vAlign w:val="center"/>
          </w:tcPr>
          <w:p>
            <w:pPr>
              <w:widowControl/>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1</w:t>
            </w:r>
          </w:p>
        </w:tc>
        <w:tc>
          <w:tcPr>
            <w:tcW w:w="3079" w:type="dxa"/>
            <w:vAlign w:val="center"/>
          </w:tcPr>
          <w:p>
            <w:pPr>
              <w:widowControl/>
              <w:spacing w:line="240" w:lineRule="auto"/>
              <w:ind w:firstLine="0" w:firstLineChars="0"/>
              <w:rPr>
                <w:rFonts w:ascii="宋体" w:hAnsi="宋体" w:cs="宋体"/>
                <w:kern w:val="0"/>
                <w:sz w:val="24"/>
                <w:szCs w:val="24"/>
              </w:rPr>
            </w:pPr>
            <w:r>
              <w:rPr>
                <w:rFonts w:hint="eastAsia" w:ascii="宋体" w:hAnsi="宋体" w:cs="宋体"/>
                <w:kern w:val="0"/>
                <w:sz w:val="24"/>
                <w:szCs w:val="24"/>
              </w:rPr>
              <w:t>增碳剂</w:t>
            </w:r>
          </w:p>
        </w:tc>
        <w:tc>
          <w:tcPr>
            <w:tcW w:w="744" w:type="dxa"/>
            <w:vAlign w:val="center"/>
          </w:tcPr>
          <w:p>
            <w:pPr>
              <w:widowControl/>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吨</w:t>
            </w:r>
          </w:p>
        </w:tc>
        <w:tc>
          <w:tcPr>
            <w:tcW w:w="1537" w:type="dxa"/>
            <w:vAlign w:val="center"/>
          </w:tcPr>
          <w:p>
            <w:pPr>
              <w:widowControl/>
              <w:spacing w:line="240" w:lineRule="auto"/>
              <w:ind w:firstLine="0" w:firstLineChars="0"/>
              <w:rPr>
                <w:rFonts w:ascii="宋体" w:hAnsi="宋体" w:cs="宋体"/>
                <w:kern w:val="0"/>
                <w:sz w:val="24"/>
                <w:szCs w:val="24"/>
              </w:rPr>
            </w:pPr>
            <w:r>
              <w:rPr>
                <w:rFonts w:hint="eastAsia" w:ascii="宋体" w:hAnsi="宋体" w:cs="宋体"/>
                <w:kern w:val="0"/>
                <w:sz w:val="24"/>
                <w:szCs w:val="24"/>
              </w:rPr>
              <w:t xml:space="preserve">684.52 </w:t>
            </w:r>
          </w:p>
        </w:tc>
        <w:tc>
          <w:tcPr>
            <w:tcW w:w="1440" w:type="dxa"/>
            <w:vAlign w:val="center"/>
          </w:tcPr>
          <w:p>
            <w:pPr>
              <w:widowControl/>
              <w:spacing w:line="240" w:lineRule="auto"/>
              <w:ind w:firstLine="0" w:firstLineChars="0"/>
              <w:rPr>
                <w:rFonts w:ascii="宋体" w:hAnsi="宋体" w:cs="宋体"/>
                <w:kern w:val="0"/>
                <w:sz w:val="24"/>
                <w:szCs w:val="24"/>
              </w:rPr>
            </w:pPr>
            <w:r>
              <w:rPr>
                <w:rFonts w:hint="eastAsia" w:ascii="宋体" w:hAnsi="宋体" w:cs="宋体"/>
                <w:kern w:val="0"/>
                <w:sz w:val="24"/>
                <w:szCs w:val="24"/>
              </w:rPr>
              <w:t>昆明</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980" w:type="dxa"/>
            <w:vAlign w:val="center"/>
          </w:tcPr>
          <w:p>
            <w:pPr>
              <w:widowControl/>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2</w:t>
            </w:r>
          </w:p>
        </w:tc>
        <w:tc>
          <w:tcPr>
            <w:tcW w:w="3079" w:type="dxa"/>
            <w:vAlign w:val="center"/>
          </w:tcPr>
          <w:p>
            <w:pPr>
              <w:widowControl/>
              <w:spacing w:line="240" w:lineRule="auto"/>
              <w:ind w:firstLine="0" w:firstLineChars="0"/>
              <w:rPr>
                <w:rFonts w:ascii="宋体" w:hAnsi="宋体" w:cs="宋体"/>
                <w:kern w:val="0"/>
                <w:sz w:val="24"/>
                <w:szCs w:val="24"/>
              </w:rPr>
            </w:pPr>
            <w:r>
              <w:rPr>
                <w:rFonts w:hint="eastAsia" w:ascii="宋体" w:hAnsi="宋体" w:cs="宋体"/>
                <w:kern w:val="0"/>
                <w:sz w:val="24"/>
                <w:szCs w:val="24"/>
              </w:rPr>
              <w:t>筑炉石英砂</w:t>
            </w:r>
          </w:p>
        </w:tc>
        <w:tc>
          <w:tcPr>
            <w:tcW w:w="744" w:type="dxa"/>
            <w:vAlign w:val="center"/>
          </w:tcPr>
          <w:p>
            <w:pPr>
              <w:widowControl/>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吨</w:t>
            </w:r>
          </w:p>
        </w:tc>
        <w:tc>
          <w:tcPr>
            <w:tcW w:w="1537" w:type="dxa"/>
            <w:vAlign w:val="center"/>
          </w:tcPr>
          <w:p>
            <w:pPr>
              <w:widowControl/>
              <w:spacing w:line="240" w:lineRule="auto"/>
              <w:ind w:firstLine="0" w:firstLineChars="0"/>
              <w:rPr>
                <w:rFonts w:ascii="宋体" w:hAnsi="宋体" w:cs="宋体"/>
                <w:kern w:val="0"/>
                <w:sz w:val="24"/>
                <w:szCs w:val="24"/>
              </w:rPr>
            </w:pPr>
            <w:r>
              <w:rPr>
                <w:rFonts w:hint="eastAsia" w:ascii="宋体" w:hAnsi="宋体" w:cs="宋体"/>
                <w:kern w:val="0"/>
                <w:sz w:val="24"/>
                <w:szCs w:val="24"/>
              </w:rPr>
              <w:t>220</w:t>
            </w:r>
          </w:p>
        </w:tc>
        <w:tc>
          <w:tcPr>
            <w:tcW w:w="1440" w:type="dxa"/>
            <w:vAlign w:val="center"/>
          </w:tcPr>
          <w:p>
            <w:pPr>
              <w:widowControl/>
              <w:spacing w:line="240" w:lineRule="auto"/>
              <w:ind w:firstLine="0" w:firstLineChars="0"/>
              <w:rPr>
                <w:rFonts w:ascii="宋体" w:hAnsi="宋体" w:cs="宋体"/>
                <w:kern w:val="0"/>
                <w:sz w:val="24"/>
                <w:szCs w:val="24"/>
              </w:rPr>
            </w:pPr>
            <w:r>
              <w:rPr>
                <w:rFonts w:hint="eastAsia" w:ascii="宋体" w:hAnsi="宋体" w:cs="宋体"/>
                <w:kern w:val="0"/>
                <w:sz w:val="24"/>
                <w:szCs w:val="24"/>
              </w:rPr>
              <w:t>昆明</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980" w:type="dxa"/>
            <w:vAlign w:val="center"/>
          </w:tcPr>
          <w:p>
            <w:pPr>
              <w:widowControl/>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3</w:t>
            </w:r>
          </w:p>
        </w:tc>
        <w:tc>
          <w:tcPr>
            <w:tcW w:w="3079" w:type="dxa"/>
            <w:vAlign w:val="center"/>
          </w:tcPr>
          <w:p>
            <w:pPr>
              <w:widowControl/>
              <w:spacing w:line="240" w:lineRule="auto"/>
              <w:ind w:firstLine="0" w:firstLineChars="0"/>
              <w:rPr>
                <w:rFonts w:ascii="宋体" w:hAnsi="宋体" w:cs="宋体"/>
                <w:kern w:val="0"/>
                <w:sz w:val="24"/>
                <w:szCs w:val="24"/>
              </w:rPr>
            </w:pPr>
            <w:r>
              <w:rPr>
                <w:rFonts w:hint="eastAsia" w:ascii="宋体" w:hAnsi="宋体" w:cs="宋体"/>
                <w:kern w:val="0"/>
                <w:sz w:val="24"/>
                <w:szCs w:val="24"/>
              </w:rPr>
              <w:t>白砂</w:t>
            </w:r>
          </w:p>
        </w:tc>
        <w:tc>
          <w:tcPr>
            <w:tcW w:w="744" w:type="dxa"/>
            <w:vAlign w:val="center"/>
          </w:tcPr>
          <w:p>
            <w:pPr>
              <w:widowControl/>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吨</w:t>
            </w:r>
          </w:p>
        </w:tc>
        <w:tc>
          <w:tcPr>
            <w:tcW w:w="1537" w:type="dxa"/>
            <w:vAlign w:val="center"/>
          </w:tcPr>
          <w:p>
            <w:pPr>
              <w:widowControl/>
              <w:spacing w:line="240" w:lineRule="auto"/>
              <w:ind w:firstLine="0" w:firstLineChars="0"/>
              <w:rPr>
                <w:rFonts w:ascii="宋体" w:hAnsi="宋体" w:cs="宋体"/>
                <w:kern w:val="0"/>
                <w:sz w:val="24"/>
                <w:szCs w:val="24"/>
              </w:rPr>
            </w:pPr>
            <w:r>
              <w:rPr>
                <w:rFonts w:hint="eastAsia" w:ascii="宋体" w:hAnsi="宋体" w:cs="宋体"/>
                <w:kern w:val="0"/>
                <w:sz w:val="24"/>
                <w:szCs w:val="24"/>
              </w:rPr>
              <w:t>3600</w:t>
            </w:r>
          </w:p>
        </w:tc>
        <w:tc>
          <w:tcPr>
            <w:tcW w:w="1440" w:type="dxa"/>
            <w:vAlign w:val="center"/>
          </w:tcPr>
          <w:p>
            <w:pPr>
              <w:widowControl/>
              <w:spacing w:line="240" w:lineRule="auto"/>
              <w:ind w:firstLine="0" w:firstLineChars="0"/>
              <w:rPr>
                <w:rFonts w:ascii="宋体" w:hAnsi="宋体" w:cs="宋体"/>
                <w:kern w:val="0"/>
                <w:sz w:val="24"/>
                <w:szCs w:val="24"/>
              </w:rPr>
            </w:pPr>
            <w:r>
              <w:rPr>
                <w:rFonts w:hint="eastAsia" w:ascii="宋体" w:hAnsi="宋体" w:cs="宋体"/>
                <w:kern w:val="0"/>
                <w:sz w:val="24"/>
                <w:szCs w:val="24"/>
              </w:rPr>
              <w:t>昆明</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980" w:type="dxa"/>
            <w:vAlign w:val="center"/>
          </w:tcPr>
          <w:p>
            <w:pPr>
              <w:widowControl/>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4</w:t>
            </w:r>
          </w:p>
        </w:tc>
        <w:tc>
          <w:tcPr>
            <w:tcW w:w="3079" w:type="dxa"/>
            <w:vAlign w:val="center"/>
          </w:tcPr>
          <w:p>
            <w:pPr>
              <w:widowControl/>
              <w:spacing w:line="240" w:lineRule="auto"/>
              <w:ind w:firstLine="0" w:firstLineChars="0"/>
              <w:rPr>
                <w:rFonts w:ascii="宋体" w:hAnsi="宋体" w:cs="宋体"/>
                <w:kern w:val="0"/>
                <w:sz w:val="24"/>
                <w:szCs w:val="24"/>
              </w:rPr>
            </w:pPr>
            <w:r>
              <w:rPr>
                <w:rFonts w:hint="eastAsia" w:ascii="宋体" w:hAnsi="宋体" w:cs="宋体"/>
                <w:kern w:val="0"/>
                <w:sz w:val="24"/>
                <w:szCs w:val="24"/>
              </w:rPr>
              <w:t>水洗砂</w:t>
            </w:r>
          </w:p>
        </w:tc>
        <w:tc>
          <w:tcPr>
            <w:tcW w:w="744" w:type="dxa"/>
            <w:vAlign w:val="center"/>
          </w:tcPr>
          <w:p>
            <w:pPr>
              <w:widowControl/>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吨</w:t>
            </w:r>
          </w:p>
        </w:tc>
        <w:tc>
          <w:tcPr>
            <w:tcW w:w="1537" w:type="dxa"/>
            <w:vAlign w:val="center"/>
          </w:tcPr>
          <w:p>
            <w:pPr>
              <w:widowControl/>
              <w:spacing w:line="240" w:lineRule="auto"/>
              <w:ind w:firstLine="0" w:firstLineChars="0"/>
              <w:rPr>
                <w:rFonts w:ascii="宋体" w:hAnsi="宋体" w:cs="宋体"/>
                <w:kern w:val="0"/>
                <w:sz w:val="24"/>
                <w:szCs w:val="24"/>
              </w:rPr>
            </w:pPr>
            <w:r>
              <w:rPr>
                <w:rFonts w:hint="eastAsia" w:ascii="宋体" w:hAnsi="宋体" w:cs="宋体"/>
                <w:kern w:val="0"/>
                <w:sz w:val="24"/>
                <w:szCs w:val="24"/>
              </w:rPr>
              <w:t>3200</w:t>
            </w:r>
          </w:p>
        </w:tc>
        <w:tc>
          <w:tcPr>
            <w:tcW w:w="1440" w:type="dxa"/>
            <w:vAlign w:val="center"/>
          </w:tcPr>
          <w:p>
            <w:pPr>
              <w:widowControl/>
              <w:spacing w:line="240" w:lineRule="auto"/>
              <w:ind w:firstLine="0" w:firstLineChars="0"/>
              <w:rPr>
                <w:rFonts w:ascii="宋体" w:hAnsi="宋体" w:cs="宋体"/>
                <w:kern w:val="0"/>
                <w:sz w:val="24"/>
                <w:szCs w:val="24"/>
              </w:rPr>
            </w:pPr>
            <w:r>
              <w:rPr>
                <w:rFonts w:hint="eastAsia" w:ascii="宋体" w:hAnsi="宋体" w:cs="宋体"/>
                <w:kern w:val="0"/>
                <w:sz w:val="24"/>
                <w:szCs w:val="24"/>
              </w:rPr>
              <w:t>昆明</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980" w:type="dxa"/>
            <w:vAlign w:val="center"/>
          </w:tcPr>
          <w:p>
            <w:pPr>
              <w:widowControl/>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5</w:t>
            </w:r>
          </w:p>
        </w:tc>
        <w:tc>
          <w:tcPr>
            <w:tcW w:w="3079" w:type="dxa"/>
            <w:vAlign w:val="center"/>
          </w:tcPr>
          <w:p>
            <w:pPr>
              <w:widowControl/>
              <w:spacing w:line="240" w:lineRule="auto"/>
              <w:ind w:firstLine="0" w:firstLineChars="0"/>
              <w:rPr>
                <w:rFonts w:ascii="宋体" w:hAnsi="宋体" w:cs="宋体"/>
                <w:kern w:val="0"/>
                <w:sz w:val="24"/>
                <w:szCs w:val="24"/>
              </w:rPr>
            </w:pPr>
            <w:r>
              <w:rPr>
                <w:rFonts w:hint="eastAsia" w:ascii="宋体" w:hAnsi="宋体" w:cs="宋体"/>
                <w:kern w:val="0"/>
                <w:sz w:val="24"/>
                <w:szCs w:val="24"/>
              </w:rPr>
              <w:t>膨润土</w:t>
            </w:r>
          </w:p>
        </w:tc>
        <w:tc>
          <w:tcPr>
            <w:tcW w:w="744" w:type="dxa"/>
            <w:vAlign w:val="center"/>
          </w:tcPr>
          <w:p>
            <w:pPr>
              <w:widowControl/>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吨</w:t>
            </w:r>
          </w:p>
        </w:tc>
        <w:tc>
          <w:tcPr>
            <w:tcW w:w="1537" w:type="dxa"/>
            <w:vAlign w:val="center"/>
          </w:tcPr>
          <w:p>
            <w:pPr>
              <w:widowControl/>
              <w:spacing w:line="240" w:lineRule="auto"/>
              <w:ind w:firstLine="0" w:firstLineChars="0"/>
              <w:rPr>
                <w:rFonts w:ascii="宋体" w:hAnsi="宋体" w:cs="宋体"/>
                <w:kern w:val="0"/>
                <w:sz w:val="24"/>
                <w:szCs w:val="24"/>
              </w:rPr>
            </w:pPr>
            <w:r>
              <w:rPr>
                <w:rFonts w:hint="eastAsia" w:ascii="宋体" w:hAnsi="宋体" w:cs="宋体"/>
                <w:kern w:val="0"/>
                <w:sz w:val="24"/>
                <w:szCs w:val="24"/>
              </w:rPr>
              <w:t>790</w:t>
            </w:r>
          </w:p>
        </w:tc>
        <w:tc>
          <w:tcPr>
            <w:tcW w:w="1440" w:type="dxa"/>
            <w:vAlign w:val="center"/>
          </w:tcPr>
          <w:p>
            <w:pPr>
              <w:widowControl/>
              <w:spacing w:line="240" w:lineRule="auto"/>
              <w:ind w:firstLine="0" w:firstLineChars="0"/>
              <w:rPr>
                <w:rFonts w:ascii="宋体" w:hAnsi="宋体" w:cs="宋体"/>
                <w:kern w:val="0"/>
                <w:sz w:val="24"/>
                <w:szCs w:val="24"/>
              </w:rPr>
            </w:pPr>
            <w:r>
              <w:rPr>
                <w:rFonts w:hint="eastAsia" w:ascii="宋体" w:hAnsi="宋体" w:cs="宋体"/>
                <w:kern w:val="0"/>
                <w:sz w:val="24"/>
                <w:szCs w:val="24"/>
              </w:rPr>
              <w:t>云南砚山</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980" w:type="dxa"/>
            <w:vAlign w:val="center"/>
          </w:tcPr>
          <w:p>
            <w:pPr>
              <w:widowControl/>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6</w:t>
            </w:r>
          </w:p>
        </w:tc>
        <w:tc>
          <w:tcPr>
            <w:tcW w:w="3079" w:type="dxa"/>
            <w:vAlign w:val="center"/>
          </w:tcPr>
          <w:p>
            <w:pPr>
              <w:widowControl/>
              <w:spacing w:line="240" w:lineRule="auto"/>
              <w:ind w:firstLine="0" w:firstLineChars="0"/>
              <w:rPr>
                <w:rFonts w:ascii="宋体" w:hAnsi="宋体" w:cs="宋体"/>
                <w:kern w:val="0"/>
                <w:sz w:val="24"/>
                <w:szCs w:val="24"/>
              </w:rPr>
            </w:pPr>
            <w:r>
              <w:rPr>
                <w:rFonts w:hint="eastAsia" w:ascii="宋体" w:hAnsi="宋体" w:cs="宋体"/>
                <w:kern w:val="0"/>
                <w:sz w:val="24"/>
                <w:szCs w:val="24"/>
              </w:rPr>
              <w:t>煤粉</w:t>
            </w:r>
          </w:p>
        </w:tc>
        <w:tc>
          <w:tcPr>
            <w:tcW w:w="744" w:type="dxa"/>
            <w:vAlign w:val="center"/>
          </w:tcPr>
          <w:p>
            <w:pPr>
              <w:widowControl/>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吨</w:t>
            </w:r>
          </w:p>
        </w:tc>
        <w:tc>
          <w:tcPr>
            <w:tcW w:w="1537" w:type="dxa"/>
            <w:vAlign w:val="center"/>
          </w:tcPr>
          <w:p>
            <w:pPr>
              <w:widowControl/>
              <w:spacing w:line="240" w:lineRule="auto"/>
              <w:ind w:firstLine="0" w:firstLineChars="0"/>
              <w:rPr>
                <w:rFonts w:ascii="宋体" w:hAnsi="宋体" w:cs="宋体"/>
                <w:kern w:val="0"/>
                <w:sz w:val="24"/>
                <w:szCs w:val="24"/>
              </w:rPr>
            </w:pPr>
            <w:r>
              <w:rPr>
                <w:rFonts w:hint="eastAsia" w:ascii="宋体" w:hAnsi="宋体" w:cs="宋体"/>
                <w:kern w:val="0"/>
                <w:sz w:val="24"/>
                <w:szCs w:val="24"/>
              </w:rPr>
              <w:t>210</w:t>
            </w:r>
          </w:p>
        </w:tc>
        <w:tc>
          <w:tcPr>
            <w:tcW w:w="1440" w:type="dxa"/>
            <w:vAlign w:val="center"/>
          </w:tcPr>
          <w:p>
            <w:pPr>
              <w:widowControl/>
              <w:spacing w:line="240" w:lineRule="auto"/>
              <w:ind w:firstLine="0" w:firstLineChars="0"/>
              <w:rPr>
                <w:rFonts w:ascii="宋体" w:hAnsi="宋体" w:cs="宋体"/>
                <w:kern w:val="0"/>
                <w:sz w:val="24"/>
                <w:szCs w:val="24"/>
              </w:rPr>
            </w:pPr>
            <w:r>
              <w:rPr>
                <w:rFonts w:hint="eastAsia" w:ascii="宋体" w:hAnsi="宋体" w:cs="宋体"/>
                <w:kern w:val="0"/>
                <w:sz w:val="24"/>
                <w:szCs w:val="24"/>
              </w:rPr>
              <w:t>昆明</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980" w:type="dxa"/>
            <w:vAlign w:val="center"/>
          </w:tcPr>
          <w:p>
            <w:pPr>
              <w:widowControl/>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7</w:t>
            </w:r>
          </w:p>
        </w:tc>
        <w:tc>
          <w:tcPr>
            <w:tcW w:w="3079" w:type="dxa"/>
            <w:vAlign w:val="center"/>
          </w:tcPr>
          <w:p>
            <w:pPr>
              <w:widowControl/>
              <w:spacing w:line="240" w:lineRule="auto"/>
              <w:ind w:firstLine="0" w:firstLineChars="0"/>
              <w:rPr>
                <w:rFonts w:ascii="宋体" w:hAnsi="宋体" w:cs="宋体"/>
                <w:kern w:val="0"/>
                <w:sz w:val="24"/>
                <w:szCs w:val="24"/>
              </w:rPr>
            </w:pPr>
            <w:r>
              <w:rPr>
                <w:rFonts w:hint="eastAsia" w:ascii="宋体" w:hAnsi="宋体" w:cs="宋体"/>
                <w:kern w:val="0"/>
                <w:sz w:val="24"/>
                <w:szCs w:val="24"/>
              </w:rPr>
              <w:t>树脂</w:t>
            </w:r>
          </w:p>
        </w:tc>
        <w:tc>
          <w:tcPr>
            <w:tcW w:w="744" w:type="dxa"/>
            <w:vAlign w:val="center"/>
          </w:tcPr>
          <w:p>
            <w:pPr>
              <w:widowControl/>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吨</w:t>
            </w:r>
          </w:p>
        </w:tc>
        <w:tc>
          <w:tcPr>
            <w:tcW w:w="1537" w:type="dxa"/>
            <w:vAlign w:val="center"/>
          </w:tcPr>
          <w:p>
            <w:pPr>
              <w:widowControl/>
              <w:spacing w:line="240" w:lineRule="auto"/>
              <w:ind w:firstLine="0" w:firstLineChars="0"/>
              <w:rPr>
                <w:rFonts w:ascii="宋体" w:hAnsi="宋体" w:cs="宋体"/>
                <w:kern w:val="0"/>
                <w:sz w:val="24"/>
                <w:szCs w:val="24"/>
              </w:rPr>
            </w:pPr>
            <w:r>
              <w:rPr>
                <w:rFonts w:hint="eastAsia" w:ascii="宋体" w:hAnsi="宋体" w:cs="宋体"/>
                <w:kern w:val="0"/>
                <w:sz w:val="24"/>
                <w:szCs w:val="24"/>
              </w:rPr>
              <w:t>56</w:t>
            </w:r>
          </w:p>
        </w:tc>
        <w:tc>
          <w:tcPr>
            <w:tcW w:w="1440" w:type="dxa"/>
            <w:vAlign w:val="center"/>
          </w:tcPr>
          <w:p>
            <w:pPr>
              <w:widowControl/>
              <w:spacing w:line="240" w:lineRule="auto"/>
              <w:ind w:firstLine="0" w:firstLineChars="0"/>
              <w:rPr>
                <w:rFonts w:ascii="宋体" w:hAnsi="宋体" w:cs="宋体"/>
                <w:kern w:val="0"/>
                <w:sz w:val="24"/>
                <w:szCs w:val="24"/>
              </w:rPr>
            </w:pPr>
            <w:r>
              <w:rPr>
                <w:rFonts w:hint="eastAsia" w:ascii="宋体" w:hAnsi="宋体" w:cs="宋体"/>
                <w:kern w:val="0"/>
                <w:sz w:val="24"/>
                <w:szCs w:val="24"/>
              </w:rPr>
              <w:t>昆明</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980" w:type="dxa"/>
            <w:vAlign w:val="center"/>
          </w:tcPr>
          <w:p>
            <w:pPr>
              <w:widowControl/>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8</w:t>
            </w:r>
          </w:p>
        </w:tc>
        <w:tc>
          <w:tcPr>
            <w:tcW w:w="3079" w:type="dxa"/>
            <w:vAlign w:val="center"/>
          </w:tcPr>
          <w:p>
            <w:pPr>
              <w:widowControl/>
              <w:spacing w:line="240" w:lineRule="auto"/>
              <w:ind w:firstLine="0" w:firstLineChars="0"/>
              <w:rPr>
                <w:rFonts w:ascii="宋体" w:hAnsi="宋体" w:cs="宋体"/>
                <w:kern w:val="0"/>
                <w:sz w:val="24"/>
                <w:szCs w:val="24"/>
              </w:rPr>
            </w:pPr>
            <w:r>
              <w:rPr>
                <w:rFonts w:hint="eastAsia" w:ascii="宋体" w:hAnsi="宋体" w:cs="宋体"/>
                <w:kern w:val="0"/>
                <w:sz w:val="24"/>
                <w:szCs w:val="24"/>
              </w:rPr>
              <w:t>金属防锈用油</w:t>
            </w:r>
          </w:p>
        </w:tc>
        <w:tc>
          <w:tcPr>
            <w:tcW w:w="744" w:type="dxa"/>
            <w:vAlign w:val="center"/>
          </w:tcPr>
          <w:p>
            <w:pPr>
              <w:widowControl/>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桶</w:t>
            </w:r>
          </w:p>
        </w:tc>
        <w:tc>
          <w:tcPr>
            <w:tcW w:w="1537" w:type="dxa"/>
            <w:vAlign w:val="center"/>
          </w:tcPr>
          <w:p>
            <w:pPr>
              <w:widowControl/>
              <w:spacing w:line="240" w:lineRule="auto"/>
              <w:ind w:firstLine="0" w:firstLineChars="0"/>
              <w:rPr>
                <w:rFonts w:ascii="宋体" w:hAnsi="宋体" w:cs="宋体"/>
                <w:kern w:val="0"/>
                <w:sz w:val="24"/>
                <w:szCs w:val="24"/>
              </w:rPr>
            </w:pPr>
            <w:r>
              <w:rPr>
                <w:rFonts w:hint="eastAsia" w:ascii="宋体" w:hAnsi="宋体" w:cs="宋体"/>
                <w:kern w:val="0"/>
                <w:sz w:val="24"/>
                <w:szCs w:val="24"/>
              </w:rPr>
              <w:t>50</w:t>
            </w:r>
          </w:p>
        </w:tc>
        <w:tc>
          <w:tcPr>
            <w:tcW w:w="1440" w:type="dxa"/>
            <w:vAlign w:val="center"/>
          </w:tcPr>
          <w:p>
            <w:pPr>
              <w:widowControl/>
              <w:spacing w:line="240" w:lineRule="auto"/>
              <w:ind w:firstLine="0" w:firstLineChars="0"/>
              <w:rPr>
                <w:rFonts w:ascii="宋体" w:hAnsi="宋体" w:cs="宋体"/>
                <w:kern w:val="0"/>
                <w:sz w:val="24"/>
                <w:szCs w:val="24"/>
              </w:rPr>
            </w:pPr>
            <w:r>
              <w:rPr>
                <w:rFonts w:hint="eastAsia" w:ascii="宋体" w:hAnsi="宋体" w:cs="宋体"/>
                <w:kern w:val="0"/>
                <w:sz w:val="24"/>
                <w:szCs w:val="24"/>
              </w:rPr>
              <w:t>安美</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980" w:type="dxa"/>
            <w:vAlign w:val="center"/>
          </w:tcPr>
          <w:p>
            <w:pPr>
              <w:widowControl/>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9</w:t>
            </w:r>
          </w:p>
        </w:tc>
        <w:tc>
          <w:tcPr>
            <w:tcW w:w="3079" w:type="dxa"/>
            <w:vAlign w:val="center"/>
          </w:tcPr>
          <w:p>
            <w:pPr>
              <w:widowControl/>
              <w:spacing w:line="240" w:lineRule="auto"/>
              <w:ind w:firstLine="0" w:firstLineChars="0"/>
              <w:rPr>
                <w:rFonts w:ascii="宋体" w:hAnsi="宋体" w:cs="宋体"/>
                <w:kern w:val="0"/>
                <w:sz w:val="24"/>
                <w:szCs w:val="24"/>
              </w:rPr>
            </w:pPr>
            <w:r>
              <w:rPr>
                <w:rFonts w:hint="eastAsia" w:ascii="宋体" w:hAnsi="宋体" w:cs="宋体"/>
                <w:kern w:val="0"/>
                <w:sz w:val="24"/>
                <w:szCs w:val="24"/>
              </w:rPr>
              <w:t>水溶性金属加工液</w:t>
            </w:r>
          </w:p>
        </w:tc>
        <w:tc>
          <w:tcPr>
            <w:tcW w:w="744" w:type="dxa"/>
            <w:vAlign w:val="center"/>
          </w:tcPr>
          <w:p>
            <w:pPr>
              <w:widowControl/>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桶</w:t>
            </w:r>
          </w:p>
        </w:tc>
        <w:tc>
          <w:tcPr>
            <w:tcW w:w="1537" w:type="dxa"/>
            <w:vAlign w:val="center"/>
          </w:tcPr>
          <w:p>
            <w:pPr>
              <w:widowControl/>
              <w:spacing w:line="240" w:lineRule="auto"/>
              <w:ind w:firstLine="0" w:firstLineChars="0"/>
              <w:rPr>
                <w:rFonts w:ascii="宋体" w:hAnsi="宋体" w:cs="宋体"/>
                <w:kern w:val="0"/>
                <w:sz w:val="24"/>
                <w:szCs w:val="24"/>
              </w:rPr>
            </w:pPr>
            <w:r>
              <w:rPr>
                <w:rFonts w:hint="eastAsia" w:ascii="宋体" w:hAnsi="宋体" w:cs="宋体"/>
                <w:kern w:val="0"/>
                <w:sz w:val="24"/>
                <w:szCs w:val="24"/>
              </w:rPr>
              <w:t>100</w:t>
            </w:r>
          </w:p>
        </w:tc>
        <w:tc>
          <w:tcPr>
            <w:tcW w:w="1440" w:type="dxa"/>
            <w:vAlign w:val="center"/>
          </w:tcPr>
          <w:p>
            <w:pPr>
              <w:widowControl/>
              <w:spacing w:line="240" w:lineRule="auto"/>
              <w:ind w:firstLine="0" w:firstLineChars="0"/>
              <w:rPr>
                <w:rFonts w:ascii="宋体" w:hAnsi="宋体" w:cs="宋体"/>
                <w:kern w:val="0"/>
                <w:sz w:val="24"/>
                <w:szCs w:val="24"/>
              </w:rPr>
            </w:pPr>
            <w:r>
              <w:rPr>
                <w:rFonts w:hint="eastAsia" w:ascii="宋体" w:hAnsi="宋体" w:cs="宋体"/>
                <w:kern w:val="0"/>
                <w:sz w:val="24"/>
                <w:szCs w:val="24"/>
              </w:rPr>
              <w:t>安美</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980" w:type="dxa"/>
            <w:vAlign w:val="center"/>
          </w:tcPr>
          <w:p>
            <w:pPr>
              <w:widowControl/>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10</w:t>
            </w:r>
          </w:p>
        </w:tc>
        <w:tc>
          <w:tcPr>
            <w:tcW w:w="3079" w:type="dxa"/>
            <w:vAlign w:val="center"/>
          </w:tcPr>
          <w:p>
            <w:pPr>
              <w:widowControl/>
              <w:spacing w:line="240" w:lineRule="auto"/>
              <w:ind w:firstLine="0" w:firstLineChars="0"/>
              <w:rPr>
                <w:rFonts w:ascii="宋体" w:hAnsi="宋体" w:cs="宋体"/>
                <w:kern w:val="0"/>
                <w:sz w:val="24"/>
                <w:szCs w:val="24"/>
              </w:rPr>
            </w:pPr>
            <w:r>
              <w:rPr>
                <w:rFonts w:hint="eastAsia" w:ascii="宋体" w:hAnsi="宋体" w:cs="宋体"/>
                <w:kern w:val="0"/>
                <w:sz w:val="24"/>
                <w:szCs w:val="24"/>
              </w:rPr>
              <w:t>黑醇酸调和漆</w:t>
            </w:r>
          </w:p>
        </w:tc>
        <w:tc>
          <w:tcPr>
            <w:tcW w:w="744" w:type="dxa"/>
            <w:vAlign w:val="center"/>
          </w:tcPr>
          <w:p>
            <w:pPr>
              <w:widowControl/>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桶</w:t>
            </w:r>
          </w:p>
        </w:tc>
        <w:tc>
          <w:tcPr>
            <w:tcW w:w="1537" w:type="dxa"/>
            <w:vAlign w:val="center"/>
          </w:tcPr>
          <w:p>
            <w:pPr>
              <w:widowControl/>
              <w:spacing w:line="240" w:lineRule="auto"/>
              <w:ind w:firstLine="0" w:firstLineChars="0"/>
              <w:rPr>
                <w:rFonts w:ascii="宋体" w:hAnsi="宋体" w:cs="宋体"/>
                <w:kern w:val="0"/>
                <w:sz w:val="24"/>
                <w:szCs w:val="24"/>
              </w:rPr>
            </w:pPr>
            <w:r>
              <w:rPr>
                <w:rFonts w:hint="eastAsia" w:ascii="宋体" w:hAnsi="宋体" w:cs="宋体"/>
                <w:kern w:val="0"/>
                <w:sz w:val="24"/>
                <w:szCs w:val="24"/>
              </w:rPr>
              <w:t>200</w:t>
            </w:r>
          </w:p>
        </w:tc>
        <w:tc>
          <w:tcPr>
            <w:tcW w:w="1440" w:type="dxa"/>
            <w:vAlign w:val="center"/>
          </w:tcPr>
          <w:p>
            <w:pPr>
              <w:widowControl/>
              <w:spacing w:line="240" w:lineRule="auto"/>
              <w:ind w:firstLine="0" w:firstLineChars="0"/>
              <w:rPr>
                <w:rFonts w:ascii="宋体" w:hAnsi="宋体" w:cs="宋体"/>
                <w:kern w:val="0"/>
                <w:sz w:val="24"/>
                <w:szCs w:val="24"/>
              </w:rPr>
            </w:pPr>
            <w:r>
              <w:rPr>
                <w:rFonts w:hint="eastAsia" w:ascii="宋体" w:hAnsi="宋体" w:cs="宋体"/>
                <w:kern w:val="0"/>
                <w:sz w:val="24"/>
                <w:szCs w:val="24"/>
              </w:rPr>
              <w:t>勇立</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980" w:type="dxa"/>
            <w:vAlign w:val="center"/>
          </w:tcPr>
          <w:p>
            <w:pPr>
              <w:widowControl/>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11</w:t>
            </w:r>
          </w:p>
        </w:tc>
        <w:tc>
          <w:tcPr>
            <w:tcW w:w="3079" w:type="dxa"/>
            <w:vAlign w:val="center"/>
          </w:tcPr>
          <w:p>
            <w:pPr>
              <w:widowControl/>
              <w:spacing w:line="240" w:lineRule="auto"/>
              <w:ind w:firstLine="0" w:firstLineChars="0"/>
              <w:rPr>
                <w:rFonts w:ascii="宋体" w:hAnsi="宋体" w:cs="宋体"/>
                <w:kern w:val="0"/>
                <w:sz w:val="24"/>
                <w:szCs w:val="24"/>
              </w:rPr>
            </w:pPr>
            <w:r>
              <w:rPr>
                <w:rFonts w:hint="eastAsia" w:ascii="宋体" w:hAnsi="宋体" w:cs="宋体"/>
                <w:kern w:val="0"/>
                <w:sz w:val="24"/>
                <w:szCs w:val="24"/>
              </w:rPr>
              <w:t>静电粉末涂料</w:t>
            </w:r>
          </w:p>
        </w:tc>
        <w:tc>
          <w:tcPr>
            <w:tcW w:w="744" w:type="dxa"/>
            <w:vAlign w:val="center"/>
          </w:tcPr>
          <w:p>
            <w:pPr>
              <w:widowControl/>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桶</w:t>
            </w:r>
          </w:p>
        </w:tc>
        <w:tc>
          <w:tcPr>
            <w:tcW w:w="1537" w:type="dxa"/>
            <w:vAlign w:val="center"/>
          </w:tcPr>
          <w:p>
            <w:pPr>
              <w:widowControl/>
              <w:spacing w:line="240" w:lineRule="auto"/>
              <w:ind w:firstLine="0" w:firstLineChars="0"/>
              <w:rPr>
                <w:rFonts w:ascii="宋体" w:hAnsi="宋体" w:cs="宋体"/>
                <w:kern w:val="0"/>
                <w:sz w:val="24"/>
                <w:szCs w:val="24"/>
              </w:rPr>
            </w:pPr>
            <w:r>
              <w:rPr>
                <w:rFonts w:hint="eastAsia" w:ascii="宋体" w:hAnsi="宋体" w:cs="宋体"/>
                <w:kern w:val="0"/>
                <w:sz w:val="24"/>
                <w:szCs w:val="24"/>
              </w:rPr>
              <w:t>150</w:t>
            </w:r>
          </w:p>
        </w:tc>
        <w:tc>
          <w:tcPr>
            <w:tcW w:w="1440" w:type="dxa"/>
            <w:vAlign w:val="center"/>
          </w:tcPr>
          <w:p>
            <w:pPr>
              <w:widowControl/>
              <w:spacing w:line="240" w:lineRule="auto"/>
              <w:ind w:firstLine="0" w:firstLineChars="0"/>
              <w:rPr>
                <w:rFonts w:ascii="宋体" w:hAnsi="宋体" w:cs="宋体"/>
                <w:kern w:val="0"/>
                <w:sz w:val="24"/>
                <w:szCs w:val="24"/>
              </w:rPr>
            </w:pPr>
            <w:r>
              <w:rPr>
                <w:rFonts w:hint="eastAsia" w:ascii="宋体" w:hAnsi="宋体" w:cs="宋体"/>
                <w:kern w:val="0"/>
                <w:sz w:val="24"/>
                <w:szCs w:val="24"/>
              </w:rPr>
              <w:t>湘冠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980" w:type="dxa"/>
            <w:vAlign w:val="center"/>
          </w:tcPr>
          <w:p>
            <w:pPr>
              <w:widowControl/>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12</w:t>
            </w:r>
          </w:p>
        </w:tc>
        <w:tc>
          <w:tcPr>
            <w:tcW w:w="3079" w:type="dxa"/>
            <w:vAlign w:val="center"/>
          </w:tcPr>
          <w:p>
            <w:pPr>
              <w:widowControl/>
              <w:spacing w:line="240" w:lineRule="auto"/>
              <w:ind w:firstLine="0" w:firstLineChars="0"/>
              <w:rPr>
                <w:rFonts w:hint="eastAsia" w:ascii="宋体" w:hAnsi="宋体" w:eastAsia="宋体" w:cs="宋体"/>
                <w:kern w:val="0"/>
                <w:sz w:val="24"/>
                <w:szCs w:val="24"/>
                <w:lang w:eastAsia="zh-CN"/>
              </w:rPr>
            </w:pPr>
            <w:r>
              <w:rPr>
                <w:rFonts w:hint="eastAsia" w:ascii="宋体" w:hAnsi="宋体" w:cs="宋体"/>
                <w:kern w:val="0"/>
                <w:sz w:val="24"/>
                <w:szCs w:val="24"/>
                <w:lang w:eastAsia="zh-CN"/>
              </w:rPr>
              <w:t>铁红油性防锈漆</w:t>
            </w:r>
          </w:p>
        </w:tc>
        <w:tc>
          <w:tcPr>
            <w:tcW w:w="744" w:type="dxa"/>
            <w:vAlign w:val="center"/>
          </w:tcPr>
          <w:p>
            <w:pPr>
              <w:widowControl/>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桶</w:t>
            </w:r>
          </w:p>
        </w:tc>
        <w:tc>
          <w:tcPr>
            <w:tcW w:w="1537" w:type="dxa"/>
            <w:vAlign w:val="center"/>
          </w:tcPr>
          <w:p>
            <w:pPr>
              <w:widowControl/>
              <w:spacing w:line="240" w:lineRule="auto"/>
              <w:ind w:firstLine="0" w:firstLineChars="0"/>
              <w:rPr>
                <w:rFonts w:ascii="宋体" w:hAnsi="宋体" w:cs="宋体"/>
                <w:kern w:val="0"/>
                <w:sz w:val="24"/>
                <w:szCs w:val="24"/>
              </w:rPr>
            </w:pPr>
            <w:r>
              <w:rPr>
                <w:rFonts w:hint="eastAsia" w:ascii="宋体" w:hAnsi="宋体" w:cs="宋体"/>
                <w:kern w:val="0"/>
                <w:sz w:val="24"/>
                <w:szCs w:val="24"/>
              </w:rPr>
              <w:t>200</w:t>
            </w:r>
          </w:p>
        </w:tc>
        <w:tc>
          <w:tcPr>
            <w:tcW w:w="1440" w:type="dxa"/>
            <w:vAlign w:val="center"/>
          </w:tcPr>
          <w:p>
            <w:pPr>
              <w:widowControl/>
              <w:spacing w:line="240" w:lineRule="auto"/>
              <w:ind w:firstLine="0" w:firstLineChars="0"/>
              <w:rPr>
                <w:rFonts w:ascii="宋体" w:hAnsi="宋体" w:cs="宋体"/>
                <w:kern w:val="0"/>
                <w:sz w:val="24"/>
                <w:szCs w:val="24"/>
              </w:rPr>
            </w:pPr>
            <w:r>
              <w:rPr>
                <w:rFonts w:hint="eastAsia" w:ascii="宋体" w:hAnsi="宋体" w:cs="宋体"/>
                <w:kern w:val="0"/>
                <w:sz w:val="24"/>
                <w:szCs w:val="24"/>
              </w:rPr>
              <w:t>勇立</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980" w:type="dxa"/>
            <w:vAlign w:val="center"/>
          </w:tcPr>
          <w:p>
            <w:pPr>
              <w:widowControl/>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13</w:t>
            </w:r>
          </w:p>
        </w:tc>
        <w:tc>
          <w:tcPr>
            <w:tcW w:w="3079" w:type="dxa"/>
            <w:vAlign w:val="center"/>
          </w:tcPr>
          <w:p>
            <w:pPr>
              <w:widowControl/>
              <w:spacing w:line="240" w:lineRule="auto"/>
              <w:ind w:firstLine="0" w:firstLineChars="0"/>
              <w:rPr>
                <w:rFonts w:ascii="宋体" w:hAnsi="宋体" w:cs="宋体"/>
                <w:kern w:val="0"/>
                <w:sz w:val="24"/>
                <w:szCs w:val="24"/>
              </w:rPr>
            </w:pPr>
            <w:r>
              <w:rPr>
                <w:rFonts w:hint="eastAsia" w:ascii="宋体" w:hAnsi="宋体" w:cs="宋体"/>
                <w:kern w:val="0"/>
                <w:sz w:val="24"/>
                <w:szCs w:val="24"/>
              </w:rPr>
              <w:t>新型特种涂料（内燃机专用高温漆）</w:t>
            </w:r>
          </w:p>
        </w:tc>
        <w:tc>
          <w:tcPr>
            <w:tcW w:w="744" w:type="dxa"/>
            <w:vAlign w:val="center"/>
          </w:tcPr>
          <w:p>
            <w:pPr>
              <w:widowControl/>
              <w:spacing w:line="240" w:lineRule="auto"/>
              <w:ind w:firstLine="0" w:firstLineChars="0"/>
              <w:jc w:val="center"/>
              <w:rPr>
                <w:rFonts w:ascii="宋体" w:hAnsi="宋体" w:cs="宋体"/>
                <w:kern w:val="0"/>
                <w:sz w:val="24"/>
                <w:szCs w:val="24"/>
              </w:rPr>
            </w:pPr>
            <w:r>
              <w:rPr>
                <w:rFonts w:hint="eastAsia" w:ascii="宋体" w:hAnsi="宋体" w:cs="宋体"/>
                <w:kern w:val="0"/>
                <w:sz w:val="24"/>
                <w:szCs w:val="24"/>
              </w:rPr>
              <w:t>桶</w:t>
            </w:r>
          </w:p>
        </w:tc>
        <w:tc>
          <w:tcPr>
            <w:tcW w:w="1537" w:type="dxa"/>
            <w:vAlign w:val="center"/>
          </w:tcPr>
          <w:p>
            <w:pPr>
              <w:widowControl/>
              <w:spacing w:line="240" w:lineRule="auto"/>
              <w:ind w:firstLine="0" w:firstLineChars="0"/>
              <w:rPr>
                <w:rFonts w:ascii="宋体" w:hAnsi="宋体" w:cs="宋体"/>
                <w:kern w:val="0"/>
                <w:sz w:val="24"/>
                <w:szCs w:val="24"/>
              </w:rPr>
            </w:pPr>
            <w:r>
              <w:rPr>
                <w:rFonts w:hint="eastAsia" w:ascii="宋体" w:hAnsi="宋体" w:cs="宋体"/>
                <w:kern w:val="0"/>
                <w:sz w:val="24"/>
                <w:szCs w:val="24"/>
              </w:rPr>
              <w:t>100</w:t>
            </w:r>
          </w:p>
        </w:tc>
        <w:tc>
          <w:tcPr>
            <w:tcW w:w="1440" w:type="dxa"/>
            <w:vAlign w:val="center"/>
          </w:tcPr>
          <w:p>
            <w:pPr>
              <w:widowControl/>
              <w:spacing w:line="240" w:lineRule="auto"/>
              <w:ind w:firstLine="0" w:firstLineChars="0"/>
              <w:rPr>
                <w:rFonts w:ascii="宋体" w:hAnsi="宋体" w:cs="宋体"/>
                <w:kern w:val="0"/>
                <w:sz w:val="24"/>
                <w:szCs w:val="24"/>
              </w:rPr>
            </w:pPr>
            <w:r>
              <w:rPr>
                <w:rFonts w:hint="eastAsia" w:ascii="宋体" w:hAnsi="宋体" w:cs="宋体"/>
                <w:kern w:val="0"/>
                <w:sz w:val="24"/>
                <w:szCs w:val="24"/>
              </w:rPr>
              <w:t>云创</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980" w:type="dxa"/>
            <w:vAlign w:val="center"/>
          </w:tcPr>
          <w:p>
            <w:pPr>
              <w:widowControl/>
              <w:spacing w:line="240" w:lineRule="auto"/>
              <w:ind w:firstLine="0" w:firstLineChars="0"/>
              <w:jc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14</w:t>
            </w:r>
          </w:p>
        </w:tc>
        <w:tc>
          <w:tcPr>
            <w:tcW w:w="3079" w:type="dxa"/>
            <w:vAlign w:val="center"/>
          </w:tcPr>
          <w:p>
            <w:pPr>
              <w:widowControl/>
              <w:spacing w:line="240" w:lineRule="auto"/>
              <w:ind w:firstLine="0" w:firstLineChars="0"/>
              <w:rPr>
                <w:rFonts w:hint="eastAsia" w:ascii="宋体" w:hAnsi="宋体" w:eastAsia="宋体" w:cs="宋体"/>
                <w:kern w:val="0"/>
                <w:sz w:val="24"/>
                <w:szCs w:val="24"/>
                <w:lang w:val="en-US" w:eastAsia="zh-CN"/>
              </w:rPr>
            </w:pPr>
            <w:r>
              <w:rPr>
                <w:rFonts w:hint="eastAsia" w:ascii="宋体" w:hAnsi="宋体" w:cs="宋体"/>
                <w:kern w:val="0"/>
                <w:sz w:val="24"/>
                <w:szCs w:val="24"/>
                <w:lang w:val="en-US" w:eastAsia="zh-CN"/>
              </w:rPr>
              <w:t>柴油</w:t>
            </w:r>
          </w:p>
        </w:tc>
        <w:tc>
          <w:tcPr>
            <w:tcW w:w="744" w:type="dxa"/>
            <w:vAlign w:val="center"/>
          </w:tcPr>
          <w:p>
            <w:pPr>
              <w:widowControl/>
              <w:spacing w:line="240" w:lineRule="auto"/>
              <w:ind w:firstLine="0" w:firstLineChars="0"/>
              <w:jc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桶</w:t>
            </w:r>
          </w:p>
        </w:tc>
        <w:tc>
          <w:tcPr>
            <w:tcW w:w="1537" w:type="dxa"/>
            <w:vAlign w:val="center"/>
          </w:tcPr>
          <w:p>
            <w:pPr>
              <w:widowControl/>
              <w:spacing w:line="240" w:lineRule="auto"/>
              <w:ind w:firstLine="0" w:firstLineChars="0"/>
              <w:rPr>
                <w:rFonts w:hint="eastAsia" w:ascii="宋体" w:hAnsi="宋体" w:eastAsia="宋体" w:cs="宋体"/>
                <w:kern w:val="0"/>
                <w:sz w:val="24"/>
                <w:szCs w:val="24"/>
                <w:lang w:val="en-US" w:eastAsia="zh-CN"/>
              </w:rPr>
            </w:pPr>
            <w:r>
              <w:rPr>
                <w:rFonts w:hint="eastAsia" w:ascii="宋体" w:hAnsi="宋体" w:cs="宋体"/>
                <w:kern w:val="0"/>
                <w:sz w:val="24"/>
                <w:szCs w:val="24"/>
                <w:lang w:val="en-US" w:eastAsia="zh-CN"/>
              </w:rPr>
              <w:t>1</w:t>
            </w:r>
          </w:p>
        </w:tc>
        <w:tc>
          <w:tcPr>
            <w:tcW w:w="1440" w:type="dxa"/>
            <w:vAlign w:val="center"/>
          </w:tcPr>
          <w:p>
            <w:pPr>
              <w:widowControl/>
              <w:spacing w:line="240" w:lineRule="auto"/>
              <w:ind w:firstLine="0" w:firstLineChars="0"/>
              <w:rPr>
                <w:rFonts w:hint="eastAsia" w:ascii="宋体" w:hAnsi="宋体" w:cs="宋体"/>
                <w:kern w:val="0"/>
                <w:sz w:val="24"/>
                <w:szCs w:val="24"/>
              </w:rPr>
            </w:pPr>
          </w:p>
        </w:tc>
      </w:tr>
    </w:tbl>
    <w:p>
      <w:pPr>
        <w:pStyle w:val="6"/>
        <w:spacing w:before="156" w:after="156"/>
      </w:pPr>
      <w:bookmarkStart w:id="63" w:name="_Toc9976"/>
      <w:r>
        <w:rPr>
          <w:rFonts w:hint="eastAsia"/>
        </w:rPr>
        <w:t>配套和辅助工程</w:t>
      </w:r>
      <w:bookmarkEnd w:id="51"/>
      <w:bookmarkEnd w:id="63"/>
    </w:p>
    <w:p>
      <w:pPr>
        <w:pStyle w:val="7"/>
        <w:spacing w:before="156" w:after="156"/>
      </w:pPr>
      <w:r>
        <w:rPr>
          <w:rFonts w:hint="eastAsia"/>
        </w:rPr>
        <w:t>土建</w:t>
      </w:r>
    </w:p>
    <w:p>
      <w:pPr>
        <w:numPr>
          <w:ilvl w:val="0"/>
          <w:numId w:val="21"/>
        </w:numPr>
        <w:ind w:firstLine="560"/>
      </w:pPr>
      <w:bookmarkStart w:id="64" w:name="_Toc388278044"/>
      <w:r>
        <w:rPr>
          <w:rFonts w:hint="eastAsia"/>
        </w:rPr>
        <w:t>项目概况</w:t>
      </w:r>
    </w:p>
    <w:p>
      <w:pPr>
        <w:ind w:firstLine="560"/>
        <w:rPr>
          <w:lang w:val="zh-CN"/>
        </w:rPr>
      </w:pPr>
      <w:r>
        <w:rPr>
          <w:rFonts w:hint="eastAsia"/>
        </w:rPr>
        <w:t>本项目属于新建项目，项目选址于</w:t>
      </w:r>
      <w:r>
        <w:rPr>
          <w:rFonts w:hint="eastAsia"/>
          <w:lang w:val="zh-CN"/>
        </w:rPr>
        <w:t>云南省楚雄彝族自治州大姚县金碧镇工业园区南山坝工业片区。项目占地面积为38607.58m</w:t>
      </w:r>
      <w:r>
        <w:rPr>
          <w:rFonts w:hint="eastAsia"/>
          <w:vertAlign w:val="superscript"/>
          <w:lang w:val="zh-CN"/>
        </w:rPr>
        <w:t>2</w:t>
      </w:r>
      <w:r>
        <w:rPr>
          <w:rFonts w:hint="eastAsia"/>
          <w:lang w:val="zh-CN"/>
        </w:rPr>
        <w:t>，约合57.91亩。</w:t>
      </w:r>
      <w:r>
        <w:rPr>
          <w:rFonts w:hint="eastAsia"/>
        </w:rPr>
        <w:t>一期项目</w:t>
      </w:r>
      <w:r>
        <w:t>建筑基底面积15840m</w:t>
      </w:r>
      <w:r>
        <w:rPr>
          <w:vertAlign w:val="superscript"/>
        </w:rPr>
        <w:t>2</w:t>
      </w:r>
      <w:r>
        <w:rPr>
          <w:rFonts w:hint="eastAsia"/>
        </w:rPr>
        <w:t>，</w:t>
      </w:r>
      <w:r>
        <w:t>建筑面积</w:t>
      </w:r>
      <w:r>
        <w:rPr>
          <w:rFonts w:hint="eastAsia"/>
        </w:rPr>
        <w:t>：</w:t>
      </w:r>
      <w:r>
        <w:t>31680m</w:t>
      </w:r>
      <w:r>
        <w:rPr>
          <w:rFonts w:hint="eastAsia"/>
          <w:vertAlign w:val="superscript"/>
        </w:rPr>
        <w:t>2</w:t>
      </w:r>
      <w:r>
        <w:t>（层高超8米按2层复算）。</w:t>
      </w:r>
    </w:p>
    <w:p>
      <w:pPr>
        <w:numPr>
          <w:ilvl w:val="0"/>
          <w:numId w:val="21"/>
        </w:numPr>
        <w:ind w:firstLine="560"/>
      </w:pPr>
      <w:r>
        <w:rPr>
          <w:rFonts w:hint="eastAsia"/>
        </w:rPr>
        <w:t>主要建（构）筑物</w:t>
      </w:r>
    </w:p>
    <w:p>
      <w:pPr>
        <w:ind w:firstLine="560"/>
      </w:pPr>
      <w:r>
        <w:rPr>
          <w:rFonts w:hint="eastAsia"/>
        </w:rPr>
        <w:t>项目总平面布置根据生产、办公生活的功能区别划分为两个功能分区：生产区、办公区，生产厂房位于厂区西侧，办公区位于生产厂房东侧，仓库位于办公区东南侧。项目办公区主要设置二栋建（构）筑物：办公楼和门卫室；生产区设置1栋生产厂房和1栋仓库。</w:t>
      </w:r>
    </w:p>
    <w:p>
      <w:pPr>
        <w:ind w:firstLine="560"/>
      </w:pPr>
      <w:r>
        <w:rPr>
          <w:rFonts w:hint="eastAsia"/>
        </w:rPr>
        <w:t>本项目建筑物中办公楼和门卫室属民用建筑；生产厂房、仓库火灾危险性类别为乙类。设计仓库未建设，现在厂区北面墙边建设临时仓库。</w:t>
      </w:r>
    </w:p>
    <w:p>
      <w:pPr>
        <w:ind w:firstLine="0" w:firstLineChars="0"/>
        <w:jc w:val="center"/>
      </w:pPr>
      <w:r>
        <w:rPr>
          <w:b/>
          <w:bCs/>
          <w:sz w:val="24"/>
          <w:szCs w:val="21"/>
        </w:rPr>
        <w:t xml:space="preserve">表 </w:t>
      </w:r>
      <w:r>
        <w:rPr>
          <w:b/>
          <w:bCs/>
          <w:sz w:val="24"/>
          <w:szCs w:val="21"/>
        </w:rPr>
        <w:fldChar w:fldCharType="begin"/>
      </w:r>
      <w:r>
        <w:rPr>
          <w:b/>
          <w:bCs/>
          <w:sz w:val="24"/>
          <w:szCs w:val="21"/>
        </w:rPr>
        <w:instrText xml:space="preserve"> STYLEREF 2 \s </w:instrText>
      </w:r>
      <w:r>
        <w:rPr>
          <w:b/>
          <w:bCs/>
          <w:sz w:val="24"/>
          <w:szCs w:val="21"/>
        </w:rPr>
        <w:fldChar w:fldCharType="separate"/>
      </w:r>
      <w:r>
        <w:rPr>
          <w:b/>
          <w:bCs/>
          <w:sz w:val="24"/>
          <w:szCs w:val="21"/>
        </w:rPr>
        <w:t>2.3</w:t>
      </w:r>
      <w:r>
        <w:rPr>
          <w:b/>
          <w:bCs/>
          <w:sz w:val="24"/>
          <w:szCs w:val="21"/>
        </w:rPr>
        <w:fldChar w:fldCharType="end"/>
      </w:r>
      <w:r>
        <w:rPr>
          <w:rFonts w:hint="eastAsia"/>
          <w:b/>
          <w:bCs/>
          <w:sz w:val="24"/>
          <w:szCs w:val="21"/>
        </w:rPr>
        <w:t>-10项目建（构）筑物一览表</w:t>
      </w:r>
    </w:p>
    <w:tbl>
      <w:tblPr>
        <w:tblStyle w:val="29"/>
        <w:tblW w:w="4913"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575"/>
        <w:gridCol w:w="1104"/>
        <w:gridCol w:w="1213"/>
        <w:gridCol w:w="1105"/>
        <w:gridCol w:w="960"/>
        <w:gridCol w:w="623"/>
        <w:gridCol w:w="744"/>
        <w:gridCol w:w="935"/>
        <w:gridCol w:w="111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52" w:hRule="atLeast"/>
          <w:jc w:val="center"/>
        </w:trPr>
        <w:tc>
          <w:tcPr>
            <w:tcW w:w="344" w:type="pct"/>
            <w:vAlign w:val="center"/>
          </w:tcPr>
          <w:p>
            <w:pPr>
              <w:widowControl/>
              <w:spacing w:line="240" w:lineRule="exact"/>
              <w:ind w:firstLine="0" w:firstLineChars="0"/>
              <w:jc w:val="center"/>
              <w:rPr>
                <w:rFonts w:cs="Times New Roman"/>
                <w:b/>
                <w:kern w:val="0"/>
                <w:sz w:val="21"/>
                <w:szCs w:val="20"/>
              </w:rPr>
            </w:pPr>
            <w:r>
              <w:rPr>
                <w:rFonts w:hint="eastAsia" w:cs="Times New Roman"/>
                <w:b/>
                <w:kern w:val="0"/>
                <w:sz w:val="21"/>
                <w:szCs w:val="20"/>
              </w:rPr>
              <w:t>序号</w:t>
            </w:r>
          </w:p>
        </w:tc>
        <w:tc>
          <w:tcPr>
            <w:tcW w:w="658" w:type="pct"/>
            <w:vAlign w:val="center"/>
          </w:tcPr>
          <w:p>
            <w:pPr>
              <w:widowControl/>
              <w:spacing w:line="240" w:lineRule="exact"/>
              <w:ind w:firstLine="0" w:firstLineChars="0"/>
              <w:jc w:val="center"/>
              <w:rPr>
                <w:rFonts w:cs="Times New Roman"/>
                <w:b/>
                <w:kern w:val="0"/>
                <w:sz w:val="21"/>
                <w:szCs w:val="20"/>
              </w:rPr>
            </w:pPr>
            <w:r>
              <w:rPr>
                <w:rFonts w:hint="eastAsia" w:cs="Times New Roman"/>
                <w:b/>
                <w:kern w:val="0"/>
                <w:sz w:val="21"/>
                <w:szCs w:val="20"/>
              </w:rPr>
              <w:t>名称</w:t>
            </w:r>
          </w:p>
        </w:tc>
        <w:tc>
          <w:tcPr>
            <w:tcW w:w="723" w:type="pct"/>
            <w:vAlign w:val="center"/>
          </w:tcPr>
          <w:p>
            <w:pPr>
              <w:widowControl/>
              <w:spacing w:line="240" w:lineRule="exact"/>
              <w:ind w:firstLine="0" w:firstLineChars="0"/>
              <w:jc w:val="center"/>
              <w:rPr>
                <w:rFonts w:cs="Times New Roman"/>
                <w:b/>
                <w:kern w:val="0"/>
                <w:sz w:val="21"/>
                <w:szCs w:val="20"/>
              </w:rPr>
            </w:pPr>
            <w:r>
              <w:rPr>
                <w:rFonts w:hint="eastAsia" w:cs="Times New Roman"/>
                <w:b/>
                <w:kern w:val="0"/>
                <w:sz w:val="21"/>
                <w:szCs w:val="20"/>
              </w:rPr>
              <w:t>占地面积（m²）</w:t>
            </w:r>
          </w:p>
        </w:tc>
        <w:tc>
          <w:tcPr>
            <w:tcW w:w="659" w:type="pct"/>
            <w:vAlign w:val="center"/>
          </w:tcPr>
          <w:p>
            <w:pPr>
              <w:widowControl/>
              <w:spacing w:line="240" w:lineRule="exact"/>
              <w:ind w:firstLine="0" w:firstLineChars="0"/>
              <w:jc w:val="center"/>
              <w:rPr>
                <w:rFonts w:cs="Times New Roman"/>
                <w:b/>
                <w:kern w:val="0"/>
                <w:sz w:val="21"/>
                <w:szCs w:val="20"/>
              </w:rPr>
            </w:pPr>
            <w:r>
              <w:rPr>
                <w:rFonts w:hint="eastAsia" w:cs="Times New Roman"/>
                <w:b/>
                <w:kern w:val="0"/>
                <w:sz w:val="21"/>
                <w:szCs w:val="20"/>
              </w:rPr>
              <w:t>建筑面积（m²）</w:t>
            </w:r>
          </w:p>
        </w:tc>
        <w:tc>
          <w:tcPr>
            <w:tcW w:w="573" w:type="pct"/>
            <w:vAlign w:val="center"/>
          </w:tcPr>
          <w:p>
            <w:pPr>
              <w:widowControl/>
              <w:spacing w:line="240" w:lineRule="exact"/>
              <w:ind w:firstLine="0" w:firstLineChars="0"/>
              <w:jc w:val="center"/>
              <w:rPr>
                <w:rFonts w:cs="Times New Roman"/>
                <w:b/>
                <w:kern w:val="0"/>
                <w:sz w:val="21"/>
                <w:szCs w:val="20"/>
              </w:rPr>
            </w:pPr>
            <w:r>
              <w:rPr>
                <w:rFonts w:hint="eastAsia" w:cs="Times New Roman"/>
                <w:b/>
                <w:kern w:val="0"/>
                <w:sz w:val="21"/>
                <w:szCs w:val="20"/>
              </w:rPr>
              <w:t>高度（m）</w:t>
            </w:r>
          </w:p>
        </w:tc>
        <w:tc>
          <w:tcPr>
            <w:tcW w:w="372" w:type="pct"/>
            <w:vAlign w:val="center"/>
          </w:tcPr>
          <w:p>
            <w:pPr>
              <w:widowControl/>
              <w:spacing w:line="240" w:lineRule="exact"/>
              <w:ind w:left="-140" w:leftChars="-50" w:right="-140" w:rightChars="-50" w:firstLine="0" w:firstLineChars="0"/>
              <w:jc w:val="center"/>
              <w:rPr>
                <w:rFonts w:cs="Times New Roman"/>
                <w:b/>
                <w:kern w:val="0"/>
                <w:sz w:val="21"/>
                <w:szCs w:val="20"/>
              </w:rPr>
            </w:pPr>
            <w:r>
              <w:rPr>
                <w:rFonts w:hint="eastAsia" w:cs="Times New Roman"/>
                <w:b/>
                <w:kern w:val="0"/>
                <w:sz w:val="21"/>
                <w:szCs w:val="20"/>
              </w:rPr>
              <w:t>层数</w:t>
            </w:r>
          </w:p>
        </w:tc>
        <w:tc>
          <w:tcPr>
            <w:tcW w:w="444" w:type="pct"/>
            <w:vAlign w:val="center"/>
          </w:tcPr>
          <w:p>
            <w:pPr>
              <w:widowControl/>
              <w:spacing w:line="240" w:lineRule="exact"/>
              <w:ind w:firstLine="0" w:firstLineChars="0"/>
              <w:jc w:val="center"/>
              <w:rPr>
                <w:rFonts w:cs="Times New Roman"/>
                <w:b/>
                <w:kern w:val="0"/>
                <w:sz w:val="21"/>
                <w:szCs w:val="20"/>
              </w:rPr>
            </w:pPr>
            <w:r>
              <w:rPr>
                <w:rFonts w:hint="eastAsia" w:cs="Times New Roman"/>
                <w:b/>
                <w:kern w:val="0"/>
                <w:sz w:val="21"/>
                <w:szCs w:val="20"/>
              </w:rPr>
              <w:t>耐火等级</w:t>
            </w:r>
          </w:p>
        </w:tc>
        <w:tc>
          <w:tcPr>
            <w:tcW w:w="558" w:type="pct"/>
            <w:vAlign w:val="center"/>
          </w:tcPr>
          <w:p>
            <w:pPr>
              <w:widowControl/>
              <w:spacing w:line="240" w:lineRule="exact"/>
              <w:ind w:firstLine="0" w:firstLineChars="0"/>
              <w:jc w:val="center"/>
              <w:rPr>
                <w:rFonts w:cs="Times New Roman"/>
                <w:b/>
                <w:kern w:val="0"/>
                <w:sz w:val="21"/>
                <w:szCs w:val="20"/>
              </w:rPr>
            </w:pPr>
            <w:r>
              <w:rPr>
                <w:rFonts w:hint="eastAsia" w:cs="Times New Roman"/>
                <w:b/>
                <w:kern w:val="0"/>
                <w:sz w:val="21"/>
                <w:szCs w:val="20"/>
              </w:rPr>
              <w:t>建筑类别</w:t>
            </w:r>
          </w:p>
        </w:tc>
        <w:tc>
          <w:tcPr>
            <w:tcW w:w="665" w:type="pct"/>
            <w:vAlign w:val="center"/>
          </w:tcPr>
          <w:p>
            <w:pPr>
              <w:widowControl/>
              <w:spacing w:line="240" w:lineRule="exact"/>
              <w:ind w:firstLine="0" w:firstLineChars="0"/>
              <w:jc w:val="center"/>
              <w:rPr>
                <w:rFonts w:cs="Times New Roman"/>
                <w:b/>
                <w:kern w:val="0"/>
                <w:sz w:val="21"/>
                <w:szCs w:val="20"/>
              </w:rPr>
            </w:pPr>
            <w:r>
              <w:rPr>
                <w:rFonts w:hint="eastAsia" w:cs="Times New Roman"/>
                <w:b/>
                <w:kern w:val="0"/>
                <w:sz w:val="21"/>
                <w:szCs w:val="20"/>
              </w:rPr>
              <w:t>结构类型</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344" w:type="pct"/>
            <w:vAlign w:val="center"/>
          </w:tcPr>
          <w:p>
            <w:pPr>
              <w:widowControl/>
              <w:spacing w:line="240" w:lineRule="exact"/>
              <w:ind w:firstLine="0" w:firstLineChars="0"/>
              <w:jc w:val="center"/>
              <w:rPr>
                <w:rFonts w:cs="Times New Roman"/>
                <w:sz w:val="21"/>
              </w:rPr>
            </w:pPr>
            <w:r>
              <w:rPr>
                <w:rFonts w:hint="eastAsia" w:cs="Times New Roman"/>
                <w:sz w:val="21"/>
              </w:rPr>
              <w:t>1</w:t>
            </w:r>
          </w:p>
        </w:tc>
        <w:tc>
          <w:tcPr>
            <w:tcW w:w="658" w:type="pct"/>
            <w:vAlign w:val="center"/>
          </w:tcPr>
          <w:p>
            <w:pPr>
              <w:widowControl/>
              <w:spacing w:line="240" w:lineRule="exact"/>
              <w:ind w:firstLine="0" w:firstLineChars="0"/>
              <w:jc w:val="center"/>
              <w:rPr>
                <w:rFonts w:cs="Times New Roman"/>
                <w:sz w:val="21"/>
              </w:rPr>
            </w:pPr>
            <w:r>
              <w:rPr>
                <w:rFonts w:hint="eastAsia" w:cs="Times New Roman"/>
                <w:sz w:val="21"/>
              </w:rPr>
              <w:t>生产厂房</w:t>
            </w:r>
          </w:p>
        </w:tc>
        <w:tc>
          <w:tcPr>
            <w:tcW w:w="723" w:type="pct"/>
            <w:vAlign w:val="center"/>
          </w:tcPr>
          <w:p>
            <w:pPr>
              <w:widowControl/>
              <w:spacing w:line="240" w:lineRule="exact"/>
              <w:ind w:firstLine="0" w:firstLineChars="0"/>
              <w:jc w:val="center"/>
              <w:rPr>
                <w:rFonts w:cs="Times New Roman"/>
                <w:sz w:val="21"/>
              </w:rPr>
            </w:pPr>
            <w:r>
              <w:rPr>
                <w:rFonts w:hint="eastAsia" w:cs="Times New Roman"/>
                <w:sz w:val="21"/>
              </w:rPr>
              <w:t>15840.00</w:t>
            </w:r>
          </w:p>
        </w:tc>
        <w:tc>
          <w:tcPr>
            <w:tcW w:w="659" w:type="pct"/>
            <w:vAlign w:val="center"/>
          </w:tcPr>
          <w:p>
            <w:pPr>
              <w:widowControl/>
              <w:spacing w:line="240" w:lineRule="exact"/>
              <w:ind w:firstLine="0" w:firstLineChars="0"/>
              <w:jc w:val="center"/>
              <w:rPr>
                <w:rFonts w:cs="Times New Roman"/>
                <w:sz w:val="21"/>
              </w:rPr>
            </w:pPr>
            <w:r>
              <w:rPr>
                <w:rFonts w:hint="eastAsia" w:cs="Times New Roman"/>
                <w:sz w:val="21"/>
              </w:rPr>
              <w:t>31680.00</w:t>
            </w:r>
          </w:p>
        </w:tc>
        <w:tc>
          <w:tcPr>
            <w:tcW w:w="573" w:type="pct"/>
            <w:vAlign w:val="center"/>
          </w:tcPr>
          <w:p>
            <w:pPr>
              <w:widowControl/>
              <w:spacing w:line="240" w:lineRule="exact"/>
              <w:ind w:firstLine="0" w:firstLineChars="0"/>
              <w:jc w:val="center"/>
              <w:rPr>
                <w:rFonts w:cs="Times New Roman"/>
                <w:sz w:val="21"/>
              </w:rPr>
            </w:pPr>
            <w:r>
              <w:rPr>
                <w:rFonts w:hint="eastAsia" w:cs="Times New Roman"/>
                <w:sz w:val="21"/>
              </w:rPr>
              <w:t>12.15</w:t>
            </w:r>
          </w:p>
        </w:tc>
        <w:tc>
          <w:tcPr>
            <w:tcW w:w="372" w:type="pct"/>
            <w:vAlign w:val="center"/>
          </w:tcPr>
          <w:p>
            <w:pPr>
              <w:widowControl/>
              <w:spacing w:line="240" w:lineRule="exact"/>
              <w:ind w:firstLine="0" w:firstLineChars="0"/>
              <w:jc w:val="center"/>
              <w:rPr>
                <w:rFonts w:cs="Times New Roman"/>
                <w:sz w:val="21"/>
              </w:rPr>
            </w:pPr>
            <w:r>
              <w:rPr>
                <w:rFonts w:hint="eastAsia" w:cs="Times New Roman"/>
                <w:sz w:val="21"/>
              </w:rPr>
              <w:t>1</w:t>
            </w:r>
          </w:p>
        </w:tc>
        <w:tc>
          <w:tcPr>
            <w:tcW w:w="444" w:type="pct"/>
            <w:vAlign w:val="center"/>
          </w:tcPr>
          <w:p>
            <w:pPr>
              <w:widowControl/>
              <w:spacing w:line="240" w:lineRule="exact"/>
              <w:ind w:firstLine="0" w:firstLineChars="0"/>
              <w:jc w:val="center"/>
              <w:rPr>
                <w:rFonts w:cs="Times New Roman"/>
                <w:sz w:val="21"/>
              </w:rPr>
            </w:pPr>
            <w:r>
              <w:rPr>
                <w:rFonts w:hint="eastAsia" w:cs="Times New Roman"/>
                <w:sz w:val="21"/>
              </w:rPr>
              <w:t>二级</w:t>
            </w:r>
          </w:p>
        </w:tc>
        <w:tc>
          <w:tcPr>
            <w:tcW w:w="558" w:type="pct"/>
            <w:vAlign w:val="center"/>
          </w:tcPr>
          <w:p>
            <w:pPr>
              <w:widowControl/>
              <w:spacing w:line="240" w:lineRule="exact"/>
              <w:ind w:firstLine="0" w:firstLineChars="0"/>
              <w:jc w:val="center"/>
              <w:rPr>
                <w:rFonts w:cs="Times New Roman"/>
                <w:sz w:val="21"/>
              </w:rPr>
            </w:pPr>
            <w:r>
              <w:rPr>
                <w:rFonts w:hint="eastAsia" w:cs="Times New Roman"/>
                <w:sz w:val="21"/>
              </w:rPr>
              <w:t>丁类</w:t>
            </w:r>
          </w:p>
        </w:tc>
        <w:tc>
          <w:tcPr>
            <w:tcW w:w="665" w:type="pct"/>
            <w:vAlign w:val="center"/>
          </w:tcPr>
          <w:p>
            <w:pPr>
              <w:widowControl/>
              <w:spacing w:line="240" w:lineRule="exact"/>
              <w:ind w:firstLine="0" w:firstLineChars="0"/>
              <w:jc w:val="center"/>
              <w:rPr>
                <w:rFonts w:cs="Times New Roman"/>
                <w:b/>
                <w:kern w:val="0"/>
                <w:sz w:val="21"/>
                <w:szCs w:val="20"/>
              </w:rPr>
            </w:pPr>
            <w:r>
              <w:rPr>
                <w:rFonts w:hint="eastAsia" w:cs="Times New Roman"/>
                <w:kern w:val="0"/>
                <w:sz w:val="21"/>
                <w:szCs w:val="20"/>
              </w:rPr>
              <w:t>钢结构</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44" w:type="pct"/>
            <w:vMerge w:val="restart"/>
            <w:vAlign w:val="center"/>
          </w:tcPr>
          <w:p>
            <w:pPr>
              <w:widowControl/>
              <w:spacing w:line="240" w:lineRule="exact"/>
              <w:ind w:firstLine="0" w:firstLineChars="0"/>
              <w:jc w:val="center"/>
              <w:rPr>
                <w:rFonts w:cs="Times New Roman"/>
                <w:kern w:val="0"/>
                <w:sz w:val="21"/>
              </w:rPr>
            </w:pPr>
            <w:r>
              <w:rPr>
                <w:rFonts w:hint="eastAsia" w:cs="Times New Roman"/>
                <w:kern w:val="0"/>
                <w:sz w:val="21"/>
              </w:rPr>
              <w:t>包括</w:t>
            </w:r>
          </w:p>
        </w:tc>
        <w:tc>
          <w:tcPr>
            <w:tcW w:w="658" w:type="pct"/>
            <w:vAlign w:val="center"/>
          </w:tcPr>
          <w:p>
            <w:pPr>
              <w:widowControl/>
              <w:spacing w:line="240" w:lineRule="exact"/>
              <w:ind w:firstLine="0" w:firstLineChars="0"/>
              <w:jc w:val="center"/>
              <w:rPr>
                <w:rFonts w:cs="Times New Roman"/>
                <w:kern w:val="0"/>
                <w:sz w:val="21"/>
                <w:szCs w:val="20"/>
              </w:rPr>
            </w:pPr>
            <w:r>
              <w:rPr>
                <w:rFonts w:hint="eastAsia" w:cs="Times New Roman"/>
                <w:sz w:val="21"/>
                <w:szCs w:val="20"/>
              </w:rPr>
              <w:t>机加工车间</w:t>
            </w:r>
          </w:p>
        </w:tc>
        <w:tc>
          <w:tcPr>
            <w:tcW w:w="723" w:type="pct"/>
            <w:vAlign w:val="center"/>
          </w:tcPr>
          <w:p>
            <w:pPr>
              <w:widowControl/>
              <w:spacing w:line="240" w:lineRule="exact"/>
              <w:ind w:firstLine="0" w:firstLineChars="0"/>
              <w:jc w:val="center"/>
              <w:rPr>
                <w:rFonts w:cs="Times New Roman"/>
                <w:kern w:val="0"/>
                <w:sz w:val="21"/>
                <w:szCs w:val="20"/>
              </w:rPr>
            </w:pPr>
            <w:r>
              <w:rPr>
                <w:rFonts w:hint="eastAsia" w:cs="Times New Roman"/>
                <w:sz w:val="21"/>
                <w:szCs w:val="20"/>
              </w:rPr>
              <w:t>7128.00</w:t>
            </w:r>
          </w:p>
        </w:tc>
        <w:tc>
          <w:tcPr>
            <w:tcW w:w="659" w:type="pct"/>
            <w:vAlign w:val="center"/>
          </w:tcPr>
          <w:p>
            <w:pPr>
              <w:widowControl/>
              <w:spacing w:line="240" w:lineRule="exact"/>
              <w:ind w:firstLine="0" w:firstLineChars="0"/>
              <w:jc w:val="center"/>
              <w:rPr>
                <w:rFonts w:cs="Times New Roman"/>
                <w:kern w:val="0"/>
                <w:sz w:val="21"/>
                <w:szCs w:val="20"/>
              </w:rPr>
            </w:pPr>
            <w:r>
              <w:rPr>
                <w:rFonts w:hint="eastAsia" w:cs="Times New Roman"/>
                <w:sz w:val="21"/>
                <w:szCs w:val="20"/>
              </w:rPr>
              <w:t>14256.00</w:t>
            </w:r>
          </w:p>
        </w:tc>
        <w:tc>
          <w:tcPr>
            <w:tcW w:w="573" w:type="pct"/>
            <w:vAlign w:val="center"/>
          </w:tcPr>
          <w:p>
            <w:pPr>
              <w:widowControl/>
              <w:spacing w:line="240" w:lineRule="exact"/>
              <w:ind w:firstLine="0" w:firstLineChars="0"/>
              <w:jc w:val="center"/>
              <w:rPr>
                <w:rFonts w:cs="Times New Roman"/>
                <w:kern w:val="0"/>
                <w:sz w:val="21"/>
              </w:rPr>
            </w:pPr>
            <w:r>
              <w:rPr>
                <w:rFonts w:hint="eastAsia" w:cs="Times New Roman"/>
                <w:kern w:val="0"/>
                <w:sz w:val="21"/>
              </w:rPr>
              <w:t>12.15</w:t>
            </w:r>
          </w:p>
        </w:tc>
        <w:tc>
          <w:tcPr>
            <w:tcW w:w="372" w:type="pct"/>
            <w:vAlign w:val="center"/>
          </w:tcPr>
          <w:p>
            <w:pPr>
              <w:widowControl/>
              <w:spacing w:line="240" w:lineRule="exact"/>
              <w:ind w:left="-140" w:leftChars="-50" w:right="-140" w:rightChars="-50" w:firstLine="0" w:firstLineChars="0"/>
              <w:jc w:val="center"/>
              <w:rPr>
                <w:rFonts w:cs="Times New Roman"/>
                <w:kern w:val="0"/>
                <w:sz w:val="21"/>
                <w:szCs w:val="20"/>
              </w:rPr>
            </w:pPr>
            <w:r>
              <w:rPr>
                <w:rFonts w:hint="eastAsia" w:cs="Times New Roman"/>
                <w:kern w:val="0"/>
                <w:sz w:val="21"/>
                <w:szCs w:val="20"/>
              </w:rPr>
              <w:t>1</w:t>
            </w:r>
          </w:p>
        </w:tc>
        <w:tc>
          <w:tcPr>
            <w:tcW w:w="444" w:type="pct"/>
            <w:vAlign w:val="center"/>
          </w:tcPr>
          <w:p>
            <w:pPr>
              <w:widowControl/>
              <w:spacing w:line="240" w:lineRule="exact"/>
              <w:ind w:firstLine="0" w:firstLineChars="0"/>
              <w:jc w:val="center"/>
              <w:rPr>
                <w:rFonts w:cs="Times New Roman"/>
                <w:kern w:val="0"/>
                <w:sz w:val="21"/>
                <w:szCs w:val="20"/>
              </w:rPr>
            </w:pPr>
            <w:r>
              <w:rPr>
                <w:rFonts w:hint="eastAsia" w:cs="Times New Roman"/>
                <w:kern w:val="0"/>
                <w:sz w:val="21"/>
                <w:szCs w:val="20"/>
              </w:rPr>
              <w:t>二级</w:t>
            </w:r>
          </w:p>
        </w:tc>
        <w:tc>
          <w:tcPr>
            <w:tcW w:w="558" w:type="pct"/>
            <w:vAlign w:val="center"/>
          </w:tcPr>
          <w:p>
            <w:pPr>
              <w:widowControl/>
              <w:spacing w:line="240" w:lineRule="exact"/>
              <w:ind w:firstLine="0" w:firstLineChars="0"/>
              <w:jc w:val="center"/>
              <w:rPr>
                <w:rFonts w:cs="Times New Roman"/>
                <w:kern w:val="0"/>
                <w:sz w:val="21"/>
                <w:szCs w:val="20"/>
              </w:rPr>
            </w:pPr>
            <w:r>
              <w:rPr>
                <w:rFonts w:hint="eastAsia" w:cs="Times New Roman"/>
                <w:kern w:val="0"/>
                <w:sz w:val="21"/>
                <w:szCs w:val="20"/>
              </w:rPr>
              <w:t>丁类</w:t>
            </w:r>
          </w:p>
        </w:tc>
        <w:tc>
          <w:tcPr>
            <w:tcW w:w="665" w:type="pct"/>
            <w:vAlign w:val="center"/>
          </w:tcPr>
          <w:p>
            <w:pPr>
              <w:widowControl/>
              <w:spacing w:line="240" w:lineRule="exact"/>
              <w:ind w:firstLine="0" w:firstLineChars="0"/>
              <w:jc w:val="center"/>
              <w:rPr>
                <w:rFonts w:cs="Times New Roman"/>
                <w:kern w:val="0"/>
                <w:sz w:val="21"/>
                <w:szCs w:val="20"/>
              </w:rPr>
            </w:pPr>
            <w:r>
              <w:rPr>
                <w:rFonts w:hint="eastAsia" w:cs="Times New Roman"/>
                <w:kern w:val="0"/>
                <w:sz w:val="21"/>
                <w:szCs w:val="20"/>
              </w:rPr>
              <w:t>钢结构</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344" w:type="pct"/>
            <w:vMerge w:val="continue"/>
            <w:vAlign w:val="center"/>
          </w:tcPr>
          <w:p>
            <w:pPr>
              <w:widowControl/>
              <w:spacing w:line="240" w:lineRule="exact"/>
              <w:ind w:firstLine="0" w:firstLineChars="0"/>
              <w:jc w:val="center"/>
              <w:rPr>
                <w:rFonts w:cs="Times New Roman"/>
                <w:kern w:val="0"/>
                <w:sz w:val="21"/>
              </w:rPr>
            </w:pPr>
          </w:p>
        </w:tc>
        <w:tc>
          <w:tcPr>
            <w:tcW w:w="658" w:type="pct"/>
            <w:vAlign w:val="center"/>
          </w:tcPr>
          <w:p>
            <w:pPr>
              <w:widowControl/>
              <w:spacing w:line="240" w:lineRule="exact"/>
              <w:ind w:firstLine="0" w:firstLineChars="0"/>
              <w:jc w:val="center"/>
              <w:rPr>
                <w:rFonts w:cs="Times New Roman"/>
                <w:kern w:val="0"/>
                <w:sz w:val="21"/>
                <w:szCs w:val="20"/>
              </w:rPr>
            </w:pPr>
            <w:r>
              <w:rPr>
                <w:rFonts w:hint="eastAsia" w:cs="Times New Roman"/>
                <w:kern w:val="0"/>
                <w:sz w:val="21"/>
                <w:szCs w:val="20"/>
              </w:rPr>
              <w:t>铸造车间</w:t>
            </w:r>
          </w:p>
        </w:tc>
        <w:tc>
          <w:tcPr>
            <w:tcW w:w="723" w:type="pct"/>
            <w:vAlign w:val="center"/>
          </w:tcPr>
          <w:p>
            <w:pPr>
              <w:widowControl/>
              <w:spacing w:line="240" w:lineRule="exact"/>
              <w:ind w:firstLine="0" w:firstLineChars="0"/>
              <w:jc w:val="center"/>
              <w:rPr>
                <w:rFonts w:cs="Times New Roman"/>
                <w:kern w:val="0"/>
                <w:sz w:val="21"/>
                <w:szCs w:val="20"/>
              </w:rPr>
            </w:pPr>
            <w:r>
              <w:rPr>
                <w:rFonts w:hint="eastAsia" w:cs="Times New Roman"/>
                <w:sz w:val="21"/>
                <w:szCs w:val="20"/>
              </w:rPr>
              <w:t>6336.00</w:t>
            </w:r>
          </w:p>
        </w:tc>
        <w:tc>
          <w:tcPr>
            <w:tcW w:w="659" w:type="pct"/>
            <w:vAlign w:val="center"/>
          </w:tcPr>
          <w:p>
            <w:pPr>
              <w:widowControl/>
              <w:spacing w:line="240" w:lineRule="exact"/>
              <w:ind w:firstLine="0" w:firstLineChars="0"/>
              <w:jc w:val="center"/>
              <w:rPr>
                <w:rFonts w:cs="Times New Roman"/>
                <w:kern w:val="0"/>
                <w:sz w:val="21"/>
                <w:szCs w:val="20"/>
              </w:rPr>
            </w:pPr>
            <w:r>
              <w:rPr>
                <w:rFonts w:hint="eastAsia" w:cs="Times New Roman"/>
                <w:sz w:val="21"/>
                <w:szCs w:val="20"/>
              </w:rPr>
              <w:t>12672.00</w:t>
            </w:r>
          </w:p>
        </w:tc>
        <w:tc>
          <w:tcPr>
            <w:tcW w:w="573" w:type="pct"/>
            <w:vAlign w:val="center"/>
          </w:tcPr>
          <w:p>
            <w:pPr>
              <w:widowControl/>
              <w:spacing w:line="240" w:lineRule="exact"/>
              <w:ind w:firstLine="0" w:firstLineChars="0"/>
              <w:jc w:val="center"/>
              <w:rPr>
                <w:rFonts w:cs="Times New Roman"/>
                <w:kern w:val="0"/>
                <w:sz w:val="21"/>
              </w:rPr>
            </w:pPr>
            <w:r>
              <w:rPr>
                <w:rFonts w:hint="eastAsia" w:cs="Times New Roman"/>
                <w:kern w:val="0"/>
                <w:sz w:val="21"/>
              </w:rPr>
              <w:t>12.15</w:t>
            </w:r>
          </w:p>
        </w:tc>
        <w:tc>
          <w:tcPr>
            <w:tcW w:w="372" w:type="pct"/>
            <w:vAlign w:val="center"/>
          </w:tcPr>
          <w:p>
            <w:pPr>
              <w:widowControl/>
              <w:spacing w:line="240" w:lineRule="exact"/>
              <w:ind w:left="-140" w:leftChars="-50" w:right="-140" w:rightChars="-50" w:firstLine="0" w:firstLineChars="0"/>
              <w:jc w:val="center"/>
              <w:rPr>
                <w:rFonts w:cs="Times New Roman"/>
                <w:sz w:val="21"/>
                <w:szCs w:val="20"/>
              </w:rPr>
            </w:pPr>
            <w:r>
              <w:rPr>
                <w:rFonts w:hint="eastAsia" w:cs="Times New Roman"/>
                <w:sz w:val="21"/>
                <w:szCs w:val="20"/>
              </w:rPr>
              <w:t>1</w:t>
            </w:r>
          </w:p>
        </w:tc>
        <w:tc>
          <w:tcPr>
            <w:tcW w:w="444" w:type="pct"/>
            <w:vAlign w:val="center"/>
          </w:tcPr>
          <w:p>
            <w:pPr>
              <w:widowControl/>
              <w:spacing w:line="240" w:lineRule="exact"/>
              <w:ind w:firstLine="0" w:firstLineChars="0"/>
              <w:jc w:val="center"/>
              <w:rPr>
                <w:rFonts w:cs="Times New Roman"/>
                <w:kern w:val="0"/>
                <w:sz w:val="21"/>
                <w:szCs w:val="20"/>
              </w:rPr>
            </w:pPr>
            <w:r>
              <w:rPr>
                <w:rFonts w:hint="eastAsia" w:cs="Times New Roman"/>
                <w:kern w:val="0"/>
                <w:sz w:val="21"/>
                <w:szCs w:val="20"/>
              </w:rPr>
              <w:t>二级</w:t>
            </w:r>
          </w:p>
        </w:tc>
        <w:tc>
          <w:tcPr>
            <w:tcW w:w="558" w:type="pct"/>
            <w:vAlign w:val="center"/>
          </w:tcPr>
          <w:p>
            <w:pPr>
              <w:widowControl/>
              <w:spacing w:line="240" w:lineRule="exact"/>
              <w:ind w:firstLine="0" w:firstLineChars="0"/>
              <w:jc w:val="center"/>
              <w:rPr>
                <w:rFonts w:cs="Times New Roman"/>
                <w:kern w:val="0"/>
                <w:sz w:val="21"/>
                <w:szCs w:val="20"/>
              </w:rPr>
            </w:pPr>
            <w:r>
              <w:rPr>
                <w:rFonts w:hint="eastAsia" w:cs="Times New Roman"/>
                <w:kern w:val="0"/>
                <w:sz w:val="21"/>
                <w:szCs w:val="20"/>
              </w:rPr>
              <w:t>丁类</w:t>
            </w:r>
          </w:p>
        </w:tc>
        <w:tc>
          <w:tcPr>
            <w:tcW w:w="665" w:type="pct"/>
            <w:vAlign w:val="center"/>
          </w:tcPr>
          <w:p>
            <w:pPr>
              <w:widowControl/>
              <w:spacing w:line="240" w:lineRule="exact"/>
              <w:ind w:firstLine="0" w:firstLineChars="0"/>
              <w:jc w:val="center"/>
              <w:rPr>
                <w:rFonts w:cs="Times New Roman"/>
                <w:kern w:val="0"/>
                <w:sz w:val="21"/>
                <w:szCs w:val="20"/>
              </w:rPr>
            </w:pPr>
            <w:r>
              <w:rPr>
                <w:rFonts w:hint="eastAsia" w:cs="Times New Roman"/>
                <w:kern w:val="0"/>
                <w:sz w:val="21"/>
                <w:szCs w:val="20"/>
              </w:rPr>
              <w:t>钢结构</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344" w:type="pct"/>
            <w:vMerge w:val="continue"/>
            <w:vAlign w:val="center"/>
          </w:tcPr>
          <w:p>
            <w:pPr>
              <w:widowControl/>
              <w:spacing w:line="240" w:lineRule="exact"/>
              <w:ind w:firstLine="0" w:firstLineChars="0"/>
              <w:jc w:val="center"/>
              <w:rPr>
                <w:rFonts w:cs="Times New Roman"/>
                <w:kern w:val="0"/>
                <w:sz w:val="21"/>
              </w:rPr>
            </w:pPr>
          </w:p>
        </w:tc>
        <w:tc>
          <w:tcPr>
            <w:tcW w:w="658" w:type="pct"/>
            <w:vAlign w:val="center"/>
          </w:tcPr>
          <w:p>
            <w:pPr>
              <w:widowControl/>
              <w:spacing w:line="240" w:lineRule="exact"/>
              <w:ind w:firstLine="0" w:firstLineChars="0"/>
              <w:jc w:val="center"/>
              <w:rPr>
                <w:rFonts w:cs="Times New Roman"/>
                <w:kern w:val="0"/>
                <w:sz w:val="21"/>
                <w:szCs w:val="20"/>
              </w:rPr>
            </w:pPr>
            <w:r>
              <w:rPr>
                <w:rFonts w:hint="eastAsia" w:cs="Times New Roman"/>
                <w:sz w:val="21"/>
                <w:szCs w:val="20"/>
              </w:rPr>
              <w:t>带顶露天跨</w:t>
            </w:r>
          </w:p>
        </w:tc>
        <w:tc>
          <w:tcPr>
            <w:tcW w:w="723" w:type="pct"/>
            <w:vAlign w:val="center"/>
          </w:tcPr>
          <w:p>
            <w:pPr>
              <w:widowControl/>
              <w:spacing w:line="240" w:lineRule="exact"/>
              <w:ind w:firstLine="0" w:firstLineChars="0"/>
              <w:jc w:val="center"/>
              <w:rPr>
                <w:rFonts w:ascii="Calibri" w:hAnsi="Calibri" w:cs="Times New Roman"/>
                <w:kern w:val="0"/>
                <w:sz w:val="21"/>
                <w:szCs w:val="20"/>
              </w:rPr>
            </w:pPr>
            <w:r>
              <w:rPr>
                <w:rFonts w:hint="eastAsia" w:cs="Times New Roman"/>
                <w:sz w:val="21"/>
                <w:szCs w:val="20"/>
              </w:rPr>
              <w:t>2376.00</w:t>
            </w:r>
          </w:p>
        </w:tc>
        <w:tc>
          <w:tcPr>
            <w:tcW w:w="659" w:type="pct"/>
            <w:vAlign w:val="center"/>
          </w:tcPr>
          <w:p>
            <w:pPr>
              <w:widowControl/>
              <w:spacing w:line="240" w:lineRule="exact"/>
              <w:ind w:firstLine="0" w:firstLineChars="0"/>
              <w:jc w:val="center"/>
              <w:rPr>
                <w:rFonts w:cs="Times New Roman"/>
                <w:kern w:val="0"/>
                <w:sz w:val="21"/>
                <w:szCs w:val="20"/>
              </w:rPr>
            </w:pPr>
            <w:r>
              <w:rPr>
                <w:rFonts w:hint="eastAsia" w:cs="Times New Roman"/>
                <w:sz w:val="21"/>
                <w:szCs w:val="20"/>
              </w:rPr>
              <w:t>4752.00</w:t>
            </w:r>
          </w:p>
        </w:tc>
        <w:tc>
          <w:tcPr>
            <w:tcW w:w="573" w:type="pct"/>
            <w:vAlign w:val="center"/>
          </w:tcPr>
          <w:p>
            <w:pPr>
              <w:widowControl/>
              <w:spacing w:line="240" w:lineRule="exact"/>
              <w:ind w:firstLine="0" w:firstLineChars="0"/>
              <w:jc w:val="center"/>
              <w:rPr>
                <w:rFonts w:cs="Times New Roman"/>
                <w:kern w:val="0"/>
                <w:sz w:val="21"/>
              </w:rPr>
            </w:pPr>
            <w:r>
              <w:rPr>
                <w:rFonts w:hint="eastAsia" w:cs="Times New Roman"/>
                <w:kern w:val="0"/>
                <w:sz w:val="21"/>
              </w:rPr>
              <w:t>16.35</w:t>
            </w:r>
          </w:p>
        </w:tc>
        <w:tc>
          <w:tcPr>
            <w:tcW w:w="372" w:type="pct"/>
            <w:vAlign w:val="center"/>
          </w:tcPr>
          <w:p>
            <w:pPr>
              <w:widowControl/>
              <w:spacing w:line="240" w:lineRule="exact"/>
              <w:ind w:left="-140" w:leftChars="-50" w:right="-140" w:rightChars="-50" w:firstLine="0" w:firstLineChars="0"/>
              <w:jc w:val="center"/>
              <w:rPr>
                <w:rFonts w:cs="Times New Roman"/>
                <w:kern w:val="0"/>
                <w:sz w:val="21"/>
                <w:szCs w:val="20"/>
              </w:rPr>
            </w:pPr>
            <w:r>
              <w:rPr>
                <w:rFonts w:hint="eastAsia" w:cs="Times New Roman"/>
                <w:kern w:val="0"/>
                <w:sz w:val="21"/>
                <w:szCs w:val="20"/>
              </w:rPr>
              <w:t>1</w:t>
            </w:r>
          </w:p>
        </w:tc>
        <w:tc>
          <w:tcPr>
            <w:tcW w:w="444" w:type="pct"/>
            <w:vAlign w:val="center"/>
          </w:tcPr>
          <w:p>
            <w:pPr>
              <w:widowControl/>
              <w:spacing w:line="240" w:lineRule="exact"/>
              <w:ind w:firstLine="0" w:firstLineChars="0"/>
              <w:jc w:val="center"/>
              <w:rPr>
                <w:rFonts w:cs="Times New Roman"/>
                <w:kern w:val="0"/>
                <w:sz w:val="21"/>
                <w:szCs w:val="20"/>
              </w:rPr>
            </w:pPr>
            <w:r>
              <w:rPr>
                <w:rFonts w:hint="eastAsia" w:cs="Times New Roman"/>
                <w:kern w:val="0"/>
                <w:sz w:val="21"/>
                <w:szCs w:val="20"/>
              </w:rPr>
              <w:t>二级</w:t>
            </w:r>
          </w:p>
        </w:tc>
        <w:tc>
          <w:tcPr>
            <w:tcW w:w="558" w:type="pct"/>
            <w:vAlign w:val="center"/>
          </w:tcPr>
          <w:p>
            <w:pPr>
              <w:widowControl/>
              <w:spacing w:line="240" w:lineRule="exact"/>
              <w:ind w:firstLine="0" w:firstLineChars="0"/>
              <w:jc w:val="center"/>
              <w:rPr>
                <w:rFonts w:cs="Times New Roman"/>
                <w:kern w:val="0"/>
                <w:sz w:val="21"/>
                <w:szCs w:val="20"/>
              </w:rPr>
            </w:pPr>
            <w:r>
              <w:rPr>
                <w:rFonts w:hint="eastAsia" w:cs="Times New Roman"/>
                <w:kern w:val="0"/>
                <w:sz w:val="21"/>
                <w:szCs w:val="20"/>
              </w:rPr>
              <w:t>丁类</w:t>
            </w:r>
          </w:p>
        </w:tc>
        <w:tc>
          <w:tcPr>
            <w:tcW w:w="665" w:type="pct"/>
            <w:vAlign w:val="center"/>
          </w:tcPr>
          <w:p>
            <w:pPr>
              <w:widowControl/>
              <w:spacing w:line="240" w:lineRule="exact"/>
              <w:ind w:firstLine="0" w:firstLineChars="0"/>
              <w:jc w:val="center"/>
              <w:rPr>
                <w:rFonts w:cs="Times New Roman"/>
                <w:kern w:val="0"/>
                <w:sz w:val="21"/>
                <w:szCs w:val="20"/>
              </w:rPr>
            </w:pPr>
            <w:r>
              <w:rPr>
                <w:rFonts w:hint="eastAsia" w:cs="Times New Roman"/>
                <w:kern w:val="0"/>
                <w:sz w:val="21"/>
                <w:szCs w:val="20"/>
              </w:rPr>
              <w:t>钢结构</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344" w:type="pct"/>
            <w:vMerge w:val="continue"/>
            <w:vAlign w:val="center"/>
          </w:tcPr>
          <w:p>
            <w:pPr>
              <w:widowControl/>
              <w:spacing w:line="240" w:lineRule="exact"/>
              <w:ind w:firstLine="0" w:firstLineChars="0"/>
              <w:jc w:val="center"/>
              <w:rPr>
                <w:rFonts w:cs="Times New Roman"/>
                <w:kern w:val="0"/>
                <w:sz w:val="21"/>
              </w:rPr>
            </w:pPr>
          </w:p>
        </w:tc>
        <w:tc>
          <w:tcPr>
            <w:tcW w:w="658" w:type="pct"/>
            <w:vAlign w:val="center"/>
          </w:tcPr>
          <w:p>
            <w:pPr>
              <w:widowControl/>
              <w:spacing w:line="240" w:lineRule="exact"/>
              <w:ind w:firstLine="0" w:firstLineChars="0"/>
              <w:jc w:val="center"/>
              <w:rPr>
                <w:rFonts w:cs="Times New Roman"/>
                <w:sz w:val="21"/>
                <w:szCs w:val="20"/>
              </w:rPr>
            </w:pPr>
            <w:r>
              <w:rPr>
                <w:rFonts w:hint="eastAsia" w:cs="Times New Roman"/>
                <w:sz w:val="21"/>
                <w:szCs w:val="20"/>
              </w:rPr>
              <w:t>辅助车间</w:t>
            </w:r>
          </w:p>
        </w:tc>
        <w:tc>
          <w:tcPr>
            <w:tcW w:w="723" w:type="pct"/>
            <w:vAlign w:val="center"/>
          </w:tcPr>
          <w:p>
            <w:pPr>
              <w:widowControl/>
              <w:spacing w:line="240" w:lineRule="exact"/>
              <w:ind w:firstLine="0" w:firstLineChars="0"/>
              <w:jc w:val="center"/>
              <w:rPr>
                <w:rFonts w:cs="Times New Roman"/>
                <w:sz w:val="21"/>
                <w:szCs w:val="20"/>
              </w:rPr>
            </w:pPr>
            <w:r>
              <w:rPr>
                <w:rFonts w:hint="eastAsia" w:cs="Times New Roman"/>
                <w:sz w:val="21"/>
                <w:szCs w:val="20"/>
              </w:rPr>
              <w:t>1085.00</w:t>
            </w:r>
          </w:p>
        </w:tc>
        <w:tc>
          <w:tcPr>
            <w:tcW w:w="659" w:type="pct"/>
            <w:vAlign w:val="center"/>
          </w:tcPr>
          <w:p>
            <w:pPr>
              <w:widowControl/>
              <w:spacing w:line="240" w:lineRule="exact"/>
              <w:ind w:firstLine="0" w:firstLineChars="0"/>
              <w:jc w:val="center"/>
              <w:rPr>
                <w:rFonts w:cs="Times New Roman"/>
                <w:sz w:val="21"/>
                <w:szCs w:val="20"/>
              </w:rPr>
            </w:pPr>
            <w:r>
              <w:rPr>
                <w:rFonts w:hint="eastAsia" w:cs="Times New Roman"/>
                <w:sz w:val="21"/>
                <w:szCs w:val="20"/>
              </w:rPr>
              <w:t>1085.00</w:t>
            </w:r>
          </w:p>
        </w:tc>
        <w:tc>
          <w:tcPr>
            <w:tcW w:w="573" w:type="pct"/>
            <w:vAlign w:val="center"/>
          </w:tcPr>
          <w:p>
            <w:pPr>
              <w:widowControl/>
              <w:spacing w:line="240" w:lineRule="exact"/>
              <w:ind w:firstLine="0" w:firstLineChars="0"/>
              <w:jc w:val="center"/>
              <w:rPr>
                <w:rFonts w:cs="Times New Roman"/>
                <w:kern w:val="0"/>
                <w:sz w:val="21"/>
              </w:rPr>
            </w:pPr>
            <w:r>
              <w:rPr>
                <w:rFonts w:hint="eastAsia" w:cs="Times New Roman"/>
                <w:kern w:val="0"/>
                <w:sz w:val="21"/>
              </w:rPr>
              <w:t>8.5</w:t>
            </w:r>
          </w:p>
        </w:tc>
        <w:tc>
          <w:tcPr>
            <w:tcW w:w="372" w:type="pct"/>
            <w:vAlign w:val="center"/>
          </w:tcPr>
          <w:p>
            <w:pPr>
              <w:widowControl/>
              <w:spacing w:line="240" w:lineRule="exact"/>
              <w:ind w:left="-140" w:leftChars="-50" w:right="-140" w:rightChars="-50" w:firstLine="0" w:firstLineChars="0"/>
              <w:jc w:val="center"/>
              <w:rPr>
                <w:rFonts w:cs="Times New Roman"/>
                <w:kern w:val="0"/>
                <w:sz w:val="21"/>
                <w:szCs w:val="20"/>
              </w:rPr>
            </w:pPr>
            <w:r>
              <w:rPr>
                <w:rFonts w:hint="eastAsia" w:cs="Times New Roman"/>
                <w:kern w:val="0"/>
                <w:sz w:val="21"/>
                <w:szCs w:val="20"/>
              </w:rPr>
              <w:t>1</w:t>
            </w:r>
          </w:p>
        </w:tc>
        <w:tc>
          <w:tcPr>
            <w:tcW w:w="444" w:type="pct"/>
            <w:vAlign w:val="center"/>
          </w:tcPr>
          <w:p>
            <w:pPr>
              <w:widowControl/>
              <w:spacing w:line="240" w:lineRule="exact"/>
              <w:ind w:firstLine="0" w:firstLineChars="0"/>
              <w:jc w:val="center"/>
              <w:rPr>
                <w:rFonts w:cs="Times New Roman"/>
                <w:kern w:val="0"/>
                <w:sz w:val="21"/>
                <w:szCs w:val="20"/>
              </w:rPr>
            </w:pPr>
            <w:r>
              <w:rPr>
                <w:rFonts w:hint="eastAsia" w:cs="Times New Roman"/>
                <w:kern w:val="0"/>
                <w:sz w:val="21"/>
                <w:szCs w:val="20"/>
              </w:rPr>
              <w:t>二级</w:t>
            </w:r>
          </w:p>
        </w:tc>
        <w:tc>
          <w:tcPr>
            <w:tcW w:w="558" w:type="pct"/>
            <w:vAlign w:val="center"/>
          </w:tcPr>
          <w:p>
            <w:pPr>
              <w:widowControl/>
              <w:spacing w:line="240" w:lineRule="exact"/>
              <w:ind w:firstLine="0" w:firstLineChars="0"/>
              <w:jc w:val="center"/>
              <w:rPr>
                <w:rFonts w:cs="Times New Roman"/>
                <w:kern w:val="0"/>
                <w:sz w:val="21"/>
                <w:szCs w:val="20"/>
              </w:rPr>
            </w:pPr>
            <w:r>
              <w:rPr>
                <w:rFonts w:hint="eastAsia" w:cs="Times New Roman"/>
                <w:kern w:val="0"/>
                <w:sz w:val="21"/>
                <w:szCs w:val="20"/>
              </w:rPr>
              <w:t>丁类</w:t>
            </w:r>
          </w:p>
        </w:tc>
        <w:tc>
          <w:tcPr>
            <w:tcW w:w="665" w:type="pct"/>
            <w:vAlign w:val="center"/>
          </w:tcPr>
          <w:p>
            <w:pPr>
              <w:widowControl/>
              <w:spacing w:line="240" w:lineRule="exact"/>
              <w:ind w:firstLine="0" w:firstLineChars="0"/>
              <w:jc w:val="center"/>
              <w:rPr>
                <w:rFonts w:cs="Times New Roman"/>
                <w:kern w:val="0"/>
                <w:sz w:val="21"/>
                <w:szCs w:val="20"/>
              </w:rPr>
            </w:pPr>
            <w:r>
              <w:rPr>
                <w:rFonts w:hint="eastAsia" w:cs="Times New Roman"/>
                <w:kern w:val="0"/>
                <w:sz w:val="21"/>
                <w:szCs w:val="20"/>
              </w:rPr>
              <w:t>钢结构</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344" w:type="pct"/>
            <w:vAlign w:val="center"/>
          </w:tcPr>
          <w:p>
            <w:pPr>
              <w:widowControl/>
              <w:spacing w:line="240" w:lineRule="exact"/>
              <w:ind w:firstLine="0" w:firstLineChars="0"/>
              <w:jc w:val="center"/>
              <w:rPr>
                <w:rFonts w:cs="Times New Roman"/>
                <w:kern w:val="0"/>
                <w:sz w:val="21"/>
              </w:rPr>
            </w:pPr>
            <w:r>
              <w:rPr>
                <w:rFonts w:hint="eastAsia" w:cs="Times New Roman"/>
                <w:kern w:val="0"/>
                <w:sz w:val="21"/>
              </w:rPr>
              <w:t>2</w:t>
            </w:r>
          </w:p>
        </w:tc>
        <w:tc>
          <w:tcPr>
            <w:tcW w:w="658" w:type="pct"/>
            <w:vAlign w:val="center"/>
          </w:tcPr>
          <w:p>
            <w:pPr>
              <w:widowControl/>
              <w:spacing w:line="240" w:lineRule="exact"/>
              <w:ind w:firstLine="0" w:firstLineChars="0"/>
              <w:jc w:val="center"/>
              <w:rPr>
                <w:rFonts w:cs="Times New Roman"/>
                <w:sz w:val="21"/>
              </w:rPr>
            </w:pPr>
            <w:r>
              <w:rPr>
                <w:rFonts w:hint="eastAsia" w:cs="Times New Roman"/>
                <w:sz w:val="21"/>
              </w:rPr>
              <w:t>办公楼</w:t>
            </w:r>
          </w:p>
        </w:tc>
        <w:tc>
          <w:tcPr>
            <w:tcW w:w="723" w:type="pct"/>
            <w:vAlign w:val="center"/>
          </w:tcPr>
          <w:p>
            <w:pPr>
              <w:widowControl/>
              <w:spacing w:line="240" w:lineRule="exact"/>
              <w:ind w:firstLine="0" w:firstLineChars="0"/>
              <w:jc w:val="center"/>
              <w:rPr>
                <w:rFonts w:ascii="Calibri" w:hAnsi="Calibri" w:cs="Times New Roman"/>
                <w:kern w:val="0"/>
                <w:sz w:val="21"/>
                <w:szCs w:val="20"/>
              </w:rPr>
            </w:pPr>
            <w:r>
              <w:rPr>
                <w:rFonts w:hint="eastAsia" w:ascii="Calibri" w:hAnsi="Calibri" w:cs="Times New Roman"/>
                <w:kern w:val="0"/>
                <w:sz w:val="21"/>
                <w:szCs w:val="20"/>
              </w:rPr>
              <w:t>69.75</w:t>
            </w:r>
          </w:p>
        </w:tc>
        <w:tc>
          <w:tcPr>
            <w:tcW w:w="659" w:type="pct"/>
            <w:vAlign w:val="center"/>
          </w:tcPr>
          <w:p>
            <w:pPr>
              <w:widowControl/>
              <w:spacing w:line="240" w:lineRule="exact"/>
              <w:ind w:firstLine="0" w:firstLineChars="0"/>
              <w:jc w:val="center"/>
              <w:rPr>
                <w:rFonts w:ascii="Calibri" w:hAnsi="Calibri" w:cs="Times New Roman"/>
                <w:kern w:val="0"/>
                <w:sz w:val="21"/>
                <w:szCs w:val="20"/>
              </w:rPr>
            </w:pPr>
            <w:r>
              <w:rPr>
                <w:rFonts w:hint="eastAsia" w:ascii="Calibri" w:hAnsi="Calibri" w:cs="Times New Roman"/>
                <w:kern w:val="0"/>
                <w:sz w:val="21"/>
                <w:szCs w:val="20"/>
              </w:rPr>
              <w:t>139.5</w:t>
            </w:r>
          </w:p>
        </w:tc>
        <w:tc>
          <w:tcPr>
            <w:tcW w:w="573" w:type="pct"/>
            <w:vAlign w:val="center"/>
          </w:tcPr>
          <w:p>
            <w:pPr>
              <w:widowControl/>
              <w:spacing w:line="240" w:lineRule="exact"/>
              <w:ind w:firstLine="0" w:firstLineChars="0"/>
              <w:jc w:val="center"/>
              <w:rPr>
                <w:rFonts w:cs="Times New Roman"/>
                <w:kern w:val="0"/>
                <w:sz w:val="21"/>
              </w:rPr>
            </w:pPr>
            <w:r>
              <w:rPr>
                <w:rFonts w:hint="eastAsia" w:cs="Times New Roman"/>
                <w:kern w:val="0"/>
                <w:sz w:val="21"/>
              </w:rPr>
              <w:t>8</w:t>
            </w:r>
          </w:p>
        </w:tc>
        <w:tc>
          <w:tcPr>
            <w:tcW w:w="372" w:type="pct"/>
            <w:vAlign w:val="center"/>
          </w:tcPr>
          <w:p>
            <w:pPr>
              <w:widowControl/>
              <w:spacing w:line="240" w:lineRule="exact"/>
              <w:ind w:left="-140" w:leftChars="-50" w:right="-140" w:rightChars="-50" w:firstLine="0" w:firstLineChars="0"/>
              <w:jc w:val="center"/>
              <w:rPr>
                <w:rFonts w:cs="Times New Roman"/>
                <w:kern w:val="0"/>
                <w:sz w:val="21"/>
                <w:szCs w:val="20"/>
              </w:rPr>
            </w:pPr>
            <w:r>
              <w:rPr>
                <w:rFonts w:hint="eastAsia" w:cs="Times New Roman"/>
                <w:kern w:val="0"/>
                <w:sz w:val="21"/>
                <w:szCs w:val="20"/>
              </w:rPr>
              <w:t>2</w:t>
            </w:r>
          </w:p>
        </w:tc>
        <w:tc>
          <w:tcPr>
            <w:tcW w:w="444" w:type="pct"/>
            <w:vAlign w:val="center"/>
          </w:tcPr>
          <w:p>
            <w:pPr>
              <w:widowControl/>
              <w:spacing w:line="240" w:lineRule="exact"/>
              <w:ind w:firstLine="0" w:firstLineChars="0"/>
              <w:jc w:val="center"/>
              <w:rPr>
                <w:rFonts w:cs="Times New Roman"/>
                <w:kern w:val="0"/>
                <w:sz w:val="21"/>
                <w:szCs w:val="20"/>
              </w:rPr>
            </w:pPr>
            <w:r>
              <w:rPr>
                <w:rFonts w:hint="eastAsia" w:cs="Times New Roman"/>
                <w:kern w:val="0"/>
                <w:sz w:val="21"/>
                <w:szCs w:val="20"/>
              </w:rPr>
              <w:t>二级</w:t>
            </w:r>
          </w:p>
        </w:tc>
        <w:tc>
          <w:tcPr>
            <w:tcW w:w="558" w:type="pct"/>
            <w:vAlign w:val="center"/>
          </w:tcPr>
          <w:p>
            <w:pPr>
              <w:widowControl/>
              <w:spacing w:line="240" w:lineRule="exact"/>
              <w:ind w:firstLine="0" w:firstLineChars="0"/>
              <w:jc w:val="center"/>
              <w:rPr>
                <w:rFonts w:cs="Times New Roman"/>
                <w:kern w:val="0"/>
                <w:sz w:val="21"/>
                <w:szCs w:val="20"/>
              </w:rPr>
            </w:pPr>
            <w:r>
              <w:rPr>
                <w:rFonts w:hint="eastAsia" w:cs="Times New Roman"/>
                <w:kern w:val="0"/>
                <w:sz w:val="21"/>
                <w:szCs w:val="20"/>
              </w:rPr>
              <w:t>民用建筑</w:t>
            </w:r>
          </w:p>
        </w:tc>
        <w:tc>
          <w:tcPr>
            <w:tcW w:w="665" w:type="pct"/>
            <w:vAlign w:val="center"/>
          </w:tcPr>
          <w:p>
            <w:pPr>
              <w:widowControl/>
              <w:spacing w:line="240" w:lineRule="exact"/>
              <w:ind w:firstLine="0" w:firstLineChars="0"/>
              <w:jc w:val="center"/>
              <w:rPr>
                <w:rFonts w:cs="Times New Roman"/>
                <w:kern w:val="0"/>
                <w:sz w:val="21"/>
                <w:szCs w:val="20"/>
              </w:rPr>
            </w:pPr>
            <w:r>
              <w:rPr>
                <w:rFonts w:cs="Times New Roman"/>
                <w:sz w:val="21"/>
                <w:szCs w:val="21"/>
              </w:rPr>
              <w:t>框架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344" w:type="pct"/>
            <w:vAlign w:val="center"/>
          </w:tcPr>
          <w:p>
            <w:pPr>
              <w:widowControl/>
              <w:spacing w:line="240" w:lineRule="exact"/>
              <w:ind w:firstLine="0" w:firstLineChars="0"/>
              <w:jc w:val="center"/>
              <w:rPr>
                <w:rFonts w:cs="Times New Roman"/>
                <w:kern w:val="0"/>
                <w:sz w:val="21"/>
              </w:rPr>
            </w:pPr>
            <w:r>
              <w:rPr>
                <w:rFonts w:hint="eastAsia" w:cs="Times New Roman"/>
                <w:kern w:val="0"/>
                <w:sz w:val="21"/>
              </w:rPr>
              <w:t>3</w:t>
            </w:r>
          </w:p>
        </w:tc>
        <w:tc>
          <w:tcPr>
            <w:tcW w:w="658" w:type="pct"/>
            <w:vAlign w:val="center"/>
          </w:tcPr>
          <w:p>
            <w:pPr>
              <w:widowControl/>
              <w:spacing w:line="240" w:lineRule="exact"/>
              <w:ind w:firstLine="0" w:firstLineChars="0"/>
              <w:jc w:val="center"/>
              <w:rPr>
                <w:rFonts w:cs="Times New Roman"/>
                <w:sz w:val="21"/>
                <w:szCs w:val="20"/>
              </w:rPr>
            </w:pPr>
            <w:r>
              <w:rPr>
                <w:rFonts w:hint="eastAsia" w:cs="Times New Roman"/>
                <w:sz w:val="21"/>
                <w:szCs w:val="20"/>
              </w:rPr>
              <w:t>门卫</w:t>
            </w:r>
          </w:p>
        </w:tc>
        <w:tc>
          <w:tcPr>
            <w:tcW w:w="723" w:type="pct"/>
            <w:vAlign w:val="center"/>
          </w:tcPr>
          <w:p>
            <w:pPr>
              <w:widowControl/>
              <w:spacing w:line="240" w:lineRule="exact"/>
              <w:ind w:firstLine="0" w:firstLineChars="0"/>
              <w:jc w:val="center"/>
              <w:rPr>
                <w:rFonts w:ascii="Calibri" w:hAnsi="Calibri" w:cs="Times New Roman"/>
                <w:kern w:val="0"/>
                <w:sz w:val="21"/>
                <w:szCs w:val="20"/>
              </w:rPr>
            </w:pPr>
            <w:r>
              <w:rPr>
                <w:rFonts w:hint="eastAsia" w:ascii="Calibri" w:hAnsi="Calibri" w:cs="Times New Roman"/>
                <w:kern w:val="0"/>
                <w:sz w:val="21"/>
                <w:szCs w:val="20"/>
              </w:rPr>
              <w:t>13.50</w:t>
            </w:r>
          </w:p>
        </w:tc>
        <w:tc>
          <w:tcPr>
            <w:tcW w:w="659" w:type="pct"/>
            <w:vAlign w:val="center"/>
          </w:tcPr>
          <w:p>
            <w:pPr>
              <w:widowControl/>
              <w:spacing w:line="240" w:lineRule="exact"/>
              <w:ind w:firstLine="0" w:firstLineChars="0"/>
              <w:jc w:val="center"/>
              <w:rPr>
                <w:rFonts w:ascii="Calibri" w:hAnsi="Calibri" w:cs="Times New Roman"/>
                <w:kern w:val="0"/>
                <w:sz w:val="21"/>
                <w:szCs w:val="20"/>
              </w:rPr>
            </w:pPr>
            <w:r>
              <w:rPr>
                <w:rFonts w:hint="eastAsia" w:ascii="Calibri" w:hAnsi="Calibri" w:cs="Times New Roman"/>
                <w:kern w:val="0"/>
                <w:sz w:val="21"/>
                <w:szCs w:val="20"/>
              </w:rPr>
              <w:t>13.50</w:t>
            </w:r>
          </w:p>
        </w:tc>
        <w:tc>
          <w:tcPr>
            <w:tcW w:w="573" w:type="pct"/>
            <w:vAlign w:val="center"/>
          </w:tcPr>
          <w:p>
            <w:pPr>
              <w:widowControl/>
              <w:spacing w:line="240" w:lineRule="exact"/>
              <w:ind w:firstLine="0" w:firstLineChars="0"/>
              <w:jc w:val="center"/>
              <w:rPr>
                <w:rFonts w:cs="Times New Roman"/>
                <w:kern w:val="0"/>
                <w:sz w:val="21"/>
              </w:rPr>
            </w:pPr>
            <w:r>
              <w:rPr>
                <w:rFonts w:hint="eastAsia" w:cs="Times New Roman"/>
                <w:kern w:val="0"/>
                <w:sz w:val="21"/>
              </w:rPr>
              <w:t>3.5</w:t>
            </w:r>
          </w:p>
        </w:tc>
        <w:tc>
          <w:tcPr>
            <w:tcW w:w="372" w:type="pct"/>
            <w:vAlign w:val="center"/>
          </w:tcPr>
          <w:p>
            <w:pPr>
              <w:widowControl/>
              <w:spacing w:line="240" w:lineRule="exact"/>
              <w:ind w:left="-140" w:leftChars="-50" w:right="-140" w:rightChars="-50" w:firstLine="0" w:firstLineChars="0"/>
              <w:jc w:val="center"/>
              <w:rPr>
                <w:rFonts w:cs="Times New Roman"/>
                <w:kern w:val="0"/>
                <w:sz w:val="21"/>
                <w:szCs w:val="20"/>
              </w:rPr>
            </w:pPr>
            <w:r>
              <w:rPr>
                <w:rFonts w:hint="eastAsia" w:cs="Times New Roman"/>
                <w:kern w:val="0"/>
                <w:sz w:val="21"/>
                <w:szCs w:val="20"/>
              </w:rPr>
              <w:t>1</w:t>
            </w:r>
          </w:p>
        </w:tc>
        <w:tc>
          <w:tcPr>
            <w:tcW w:w="444" w:type="pct"/>
            <w:vAlign w:val="center"/>
          </w:tcPr>
          <w:p>
            <w:pPr>
              <w:widowControl/>
              <w:spacing w:line="240" w:lineRule="exact"/>
              <w:ind w:firstLine="0" w:firstLineChars="0"/>
              <w:jc w:val="center"/>
              <w:rPr>
                <w:rFonts w:cs="Times New Roman"/>
                <w:kern w:val="0"/>
                <w:sz w:val="21"/>
                <w:szCs w:val="20"/>
              </w:rPr>
            </w:pPr>
            <w:r>
              <w:rPr>
                <w:rFonts w:hint="eastAsia" w:cs="Times New Roman"/>
                <w:kern w:val="0"/>
                <w:sz w:val="21"/>
                <w:szCs w:val="20"/>
              </w:rPr>
              <w:t>二级</w:t>
            </w:r>
          </w:p>
        </w:tc>
        <w:tc>
          <w:tcPr>
            <w:tcW w:w="558" w:type="pct"/>
            <w:vAlign w:val="center"/>
          </w:tcPr>
          <w:p>
            <w:pPr>
              <w:widowControl/>
              <w:spacing w:line="240" w:lineRule="exact"/>
              <w:ind w:firstLine="0" w:firstLineChars="0"/>
              <w:jc w:val="center"/>
              <w:rPr>
                <w:rFonts w:cs="Times New Roman"/>
                <w:kern w:val="0"/>
                <w:sz w:val="21"/>
                <w:szCs w:val="20"/>
              </w:rPr>
            </w:pPr>
            <w:r>
              <w:rPr>
                <w:rFonts w:hint="eastAsia" w:cs="Times New Roman"/>
                <w:kern w:val="0"/>
                <w:sz w:val="21"/>
                <w:szCs w:val="20"/>
              </w:rPr>
              <w:t>民用建筑</w:t>
            </w:r>
          </w:p>
        </w:tc>
        <w:tc>
          <w:tcPr>
            <w:tcW w:w="665" w:type="pct"/>
            <w:vAlign w:val="center"/>
          </w:tcPr>
          <w:p>
            <w:pPr>
              <w:widowControl/>
              <w:spacing w:line="240" w:lineRule="exact"/>
              <w:ind w:firstLine="0" w:firstLineChars="0"/>
              <w:jc w:val="center"/>
              <w:rPr>
                <w:rFonts w:cs="Times New Roman"/>
                <w:kern w:val="0"/>
                <w:sz w:val="21"/>
                <w:szCs w:val="20"/>
              </w:rPr>
            </w:pPr>
            <w:r>
              <w:rPr>
                <w:rFonts w:cs="Times New Roman"/>
                <w:sz w:val="21"/>
                <w:szCs w:val="21"/>
              </w:rPr>
              <w:t>框架</w:t>
            </w:r>
          </w:p>
        </w:tc>
      </w:tr>
    </w:tbl>
    <w:p>
      <w:pPr>
        <w:numPr>
          <w:ilvl w:val="0"/>
          <w:numId w:val="21"/>
        </w:numPr>
        <w:ind w:firstLine="560"/>
      </w:pPr>
      <w:r>
        <w:rPr>
          <w:rFonts w:hint="eastAsia"/>
        </w:rPr>
        <w:t>抗震设</w:t>
      </w:r>
      <w:bookmarkEnd w:id="64"/>
      <w:r>
        <w:rPr>
          <w:rFonts w:hint="eastAsia"/>
        </w:rPr>
        <w:t>防</w:t>
      </w:r>
    </w:p>
    <w:p>
      <w:pPr>
        <w:ind w:firstLine="560"/>
      </w:pPr>
      <w:r>
        <w:rPr>
          <w:rFonts w:hint="eastAsia"/>
        </w:rPr>
        <w:t>根据《中国地震动参数区划图》（GB18306-2015）的规定，该项目建设地地震基本烈度为Ⅶ度区，基本地震加速度为0.15g，本建设项目中的建筑均按地震基本烈度Ⅶ度设防。</w:t>
      </w:r>
    </w:p>
    <w:p>
      <w:pPr>
        <w:pStyle w:val="7"/>
        <w:spacing w:before="156" w:after="156"/>
      </w:pPr>
      <w:r>
        <w:rPr>
          <w:rFonts w:hint="eastAsia"/>
        </w:rPr>
        <w:t>给排水</w:t>
      </w:r>
      <w:bookmarkStart w:id="65" w:name="_Toc388278046"/>
    </w:p>
    <w:bookmarkEnd w:id="65"/>
    <w:p>
      <w:pPr>
        <w:numPr>
          <w:ilvl w:val="0"/>
          <w:numId w:val="22"/>
        </w:numPr>
        <w:ind w:firstLine="560"/>
      </w:pPr>
      <w:bookmarkStart w:id="66" w:name="_Toc8960"/>
      <w:bookmarkStart w:id="67" w:name="_Toc20133"/>
      <w:bookmarkStart w:id="68" w:name="_Toc29253"/>
      <w:bookmarkStart w:id="69" w:name="_Toc12312"/>
      <w:bookmarkStart w:id="70" w:name="_Toc26729"/>
      <w:bookmarkStart w:id="71" w:name="_Toc7420"/>
      <w:bookmarkStart w:id="72" w:name="_Toc26658"/>
      <w:bookmarkStart w:id="73" w:name="_Toc7226"/>
      <w:r>
        <w:rPr>
          <w:rFonts w:hint="eastAsia"/>
        </w:rPr>
        <w:t>给水</w:t>
      </w:r>
      <w:bookmarkEnd w:id="66"/>
      <w:bookmarkEnd w:id="67"/>
      <w:bookmarkEnd w:id="68"/>
      <w:bookmarkEnd w:id="69"/>
      <w:bookmarkEnd w:id="70"/>
      <w:bookmarkEnd w:id="71"/>
      <w:bookmarkEnd w:id="72"/>
      <w:bookmarkEnd w:id="73"/>
    </w:p>
    <w:p>
      <w:pPr>
        <w:ind w:firstLine="560"/>
      </w:pPr>
      <w:bookmarkStart w:id="74" w:name="_Toc3291"/>
      <w:bookmarkStart w:id="75" w:name="_Toc9470"/>
      <w:bookmarkStart w:id="76" w:name="_Toc22321"/>
      <w:bookmarkStart w:id="77" w:name="_Toc10672"/>
      <w:bookmarkStart w:id="78" w:name="_Toc17521"/>
      <w:bookmarkStart w:id="79" w:name="_Toc13680"/>
      <w:bookmarkStart w:id="80" w:name="_Toc9306"/>
      <w:bookmarkStart w:id="81" w:name="_Toc31504"/>
      <w:r>
        <w:rPr>
          <w:rFonts w:hint="eastAsia"/>
        </w:rPr>
        <w:t>本项目生产、生活用水来源于市政供水管网，从市政给水管引入一路DN100的进水管到厂区西北端。在建筑物外部形成环状供水管网，供给本工程生产生活及消防用水。</w:t>
      </w:r>
    </w:p>
    <w:p>
      <w:pPr>
        <w:numPr>
          <w:ilvl w:val="0"/>
          <w:numId w:val="22"/>
        </w:numPr>
        <w:ind w:firstLine="560"/>
      </w:pPr>
      <w:r>
        <w:rPr>
          <w:rFonts w:hint="eastAsia"/>
        </w:rPr>
        <w:t>排水</w:t>
      </w:r>
      <w:bookmarkEnd w:id="74"/>
      <w:bookmarkEnd w:id="75"/>
      <w:bookmarkEnd w:id="76"/>
      <w:bookmarkEnd w:id="77"/>
      <w:bookmarkEnd w:id="78"/>
      <w:bookmarkEnd w:id="79"/>
      <w:bookmarkEnd w:id="80"/>
      <w:bookmarkEnd w:id="81"/>
    </w:p>
    <w:p>
      <w:pPr>
        <w:ind w:firstLine="560"/>
      </w:pPr>
      <w:r>
        <w:rPr>
          <w:rFonts w:hint="eastAsia"/>
        </w:rPr>
        <w:t>（1）污水排水系统</w:t>
      </w:r>
    </w:p>
    <w:p>
      <w:pPr>
        <w:ind w:firstLine="560"/>
      </w:pPr>
      <w:r>
        <w:rPr>
          <w:rFonts w:hint="eastAsia"/>
        </w:rPr>
        <w:t>室内生活污水排至室外污水管道，再经化粪池处理后集中排入市政污水管道。食堂污水经隔油池处理后集中排入市政污水管。少量生产废水经沉淀池处理后集中排入市政污水管。</w:t>
      </w:r>
    </w:p>
    <w:p>
      <w:pPr>
        <w:ind w:firstLine="560"/>
      </w:pPr>
      <w:r>
        <w:rPr>
          <w:rFonts w:hint="eastAsia"/>
        </w:rPr>
        <w:t>（2）雨水排水系统</w:t>
      </w:r>
    </w:p>
    <w:p>
      <w:pPr>
        <w:ind w:firstLine="560"/>
      </w:pPr>
      <w:r>
        <w:rPr>
          <w:rFonts w:hint="eastAsia"/>
        </w:rPr>
        <w:t>屋面雨水经雨水斗及地漏收集排至室外雨水管，场地雨水经路边雨水口收集后，就近排入市政雨水管道。</w:t>
      </w:r>
    </w:p>
    <w:p>
      <w:pPr>
        <w:ind w:firstLine="560"/>
      </w:pPr>
      <w:r>
        <w:rPr>
          <w:rFonts w:hint="eastAsia"/>
        </w:rPr>
        <w:t>（3）排水体制采用雨污分流系统</w:t>
      </w:r>
    </w:p>
    <w:p>
      <w:pPr>
        <w:ind w:firstLine="560"/>
      </w:pPr>
      <w:r>
        <w:rPr>
          <w:rFonts w:hint="eastAsia"/>
        </w:rPr>
        <w:t>室外雨水、污水排水管沿道路布置，排水方向按道路坡向。</w:t>
      </w:r>
    </w:p>
    <w:p>
      <w:pPr>
        <w:pStyle w:val="7"/>
        <w:spacing w:before="156" w:after="156"/>
      </w:pPr>
      <w:bookmarkStart w:id="82" w:name="_Toc388278051"/>
      <w:r>
        <w:rPr>
          <w:rFonts w:hint="eastAsia"/>
        </w:rPr>
        <w:t>供配电</w:t>
      </w:r>
      <w:bookmarkEnd w:id="82"/>
    </w:p>
    <w:p>
      <w:pPr>
        <w:numPr>
          <w:ilvl w:val="0"/>
          <w:numId w:val="23"/>
        </w:numPr>
        <w:ind w:firstLine="560"/>
        <w:rPr>
          <w:lang w:val="zh-CN"/>
        </w:rPr>
      </w:pPr>
      <w:r>
        <w:rPr>
          <w:rFonts w:hint="eastAsia"/>
          <w:lang w:val="zh-CN"/>
        </w:rPr>
        <w:t>供电</w:t>
      </w:r>
    </w:p>
    <w:p>
      <w:pPr>
        <w:ind w:firstLine="560"/>
      </w:pPr>
      <w:r>
        <w:rPr>
          <w:rFonts w:hint="eastAsia"/>
        </w:rPr>
        <w:t>（1）供电电源：</w:t>
      </w:r>
    </w:p>
    <w:p>
      <w:pPr>
        <w:ind w:firstLine="560"/>
        <w:rPr>
          <w:rFonts w:hint="eastAsia"/>
        </w:rPr>
      </w:pPr>
      <w:r>
        <w:rPr>
          <w:rFonts w:hint="eastAsia"/>
        </w:rPr>
        <w:t>供电由</w:t>
      </w:r>
      <w:r>
        <w:rPr>
          <w:rFonts w:hint="eastAsia"/>
          <w:lang w:val="en-US" w:eastAsia="zh-CN"/>
        </w:rPr>
        <w:t>工业园区</w:t>
      </w:r>
      <w:r>
        <w:rPr>
          <w:rFonts w:hint="eastAsia"/>
        </w:rPr>
        <w:t>10KV高压进厂区配电室经变压为380V三相供电，新建建筑配电电压采用380V/220V，供车间电气动力及建筑照明使用，全厂各生产车间的电力线由配电室的低压室经电缆沟引至，车间内设有配电屏，动力配电箱等，配电采用放射式与树干式相结合的形式，三相五线制中性点重复接地系统，向设备和行车供电。</w:t>
      </w:r>
    </w:p>
    <w:p>
      <w:pPr>
        <w:ind w:firstLine="560"/>
        <w:rPr>
          <w:rFonts w:hint="default" w:eastAsia="宋体"/>
          <w:lang w:val="en-US" w:eastAsia="zh-CN"/>
        </w:rPr>
      </w:pPr>
      <w:r>
        <w:rPr>
          <w:rFonts w:hint="eastAsia"/>
          <w:lang w:val="en-US" w:eastAsia="zh-CN"/>
        </w:rPr>
        <w:t>项目设置柴油发电机组一台，用于停电期间中频炉循环水泵的供电。</w:t>
      </w:r>
    </w:p>
    <w:p>
      <w:pPr>
        <w:ind w:firstLine="560"/>
      </w:pPr>
      <w:r>
        <w:rPr>
          <w:rFonts w:hint="eastAsia"/>
        </w:rPr>
        <w:t>（2）负荷等级：</w:t>
      </w:r>
    </w:p>
    <w:p>
      <w:pPr>
        <w:ind w:firstLine="560"/>
      </w:pPr>
      <w:r>
        <w:rPr>
          <w:rFonts w:hint="eastAsia"/>
        </w:rPr>
        <w:t>本工程新建厂房，用电性质属三级用电负荷。</w:t>
      </w:r>
    </w:p>
    <w:p>
      <w:pPr>
        <w:ind w:firstLine="560"/>
      </w:pPr>
      <w:r>
        <w:rPr>
          <w:rFonts w:hint="eastAsia"/>
        </w:rPr>
        <w:t>（3）变压器选型：</w:t>
      </w:r>
    </w:p>
    <w:p>
      <w:pPr>
        <w:ind w:firstLine="560"/>
      </w:pPr>
      <w:r>
        <w:rPr>
          <w:rFonts w:hint="eastAsia"/>
        </w:rPr>
        <w:t>变压器选用1250KVA及630KVA各一台，1250KVA供铸造车间和空压站使用，630KVA供厂区其它。</w:t>
      </w:r>
    </w:p>
    <w:p>
      <w:pPr>
        <w:numPr>
          <w:ilvl w:val="0"/>
          <w:numId w:val="23"/>
        </w:numPr>
        <w:ind w:firstLine="560"/>
        <w:rPr>
          <w:lang w:val="zh-CN"/>
        </w:rPr>
      </w:pPr>
      <w:r>
        <w:rPr>
          <w:rFonts w:hint="eastAsia"/>
          <w:lang w:val="zh-CN"/>
        </w:rPr>
        <w:t>防雷防静电</w:t>
      </w:r>
    </w:p>
    <w:p>
      <w:pPr>
        <w:ind w:firstLine="560"/>
        <w:rPr>
          <w:lang w:val="zh-CN"/>
        </w:rPr>
      </w:pPr>
      <w:r>
        <w:rPr>
          <w:rFonts w:hint="eastAsia"/>
          <w:lang w:val="zh-CN"/>
        </w:rPr>
        <w:t>依据《建筑物防雷设计规范》（GB</w:t>
      </w:r>
      <w:r>
        <w:rPr>
          <w:rFonts w:hint="eastAsia"/>
        </w:rPr>
        <w:t xml:space="preserve"> </w:t>
      </w:r>
      <w:r>
        <w:rPr>
          <w:rFonts w:hint="eastAsia"/>
          <w:lang w:val="zh-CN"/>
        </w:rPr>
        <w:t>50057-2010）的要求，本项目建筑物均</w:t>
      </w:r>
      <w:r>
        <w:rPr>
          <w:rFonts w:hint="eastAsia"/>
        </w:rPr>
        <w:t>按第三类防雷措施设防。</w:t>
      </w:r>
      <w:r>
        <w:rPr>
          <w:rFonts w:hint="eastAsia"/>
          <w:lang w:val="zh-CN"/>
        </w:rPr>
        <w:t>利用25×4的镀锌扁钢在屋面组成避雷带防直击雷；三类防雷建筑物网屋面避雷带格密度为不大于20×20m，或24×16m。为防止雷电感应，建（构）筑物内的设备、管道、构架等主要金属均就近接地。为防止雷电波侵入，本项目架空、埋地或地沟内的金属管道、电缆的金属外皮等在入户端也均就近接地。</w:t>
      </w:r>
    </w:p>
    <w:p>
      <w:pPr>
        <w:wordWrap w:val="0"/>
        <w:ind w:firstLine="560"/>
      </w:pPr>
      <w:r>
        <w:rPr>
          <w:rFonts w:hint="eastAsia"/>
          <w:lang w:val="zh-CN"/>
        </w:rPr>
        <w:t>本项目防雷接地、防静电接地、电气设备的工作接地、保护接地及信息系统接地，采用共用接地装置，并接入同一接地网，其接地电阻不大于1Ω。接地网由水平接地体与垂直接地体构成。接地主干线和分支线采用40×4的扁钢。所有设备的金属外壳、金属设备、金属管道、金属构架、电气设备的金属外壳、所有电气用金属构件、铠装电缆外皮，电缆加穿的保护管两端均接地。</w:t>
      </w:r>
      <w:r>
        <w:rPr>
          <w:rFonts w:hint="eastAsia"/>
        </w:rPr>
        <w:t>大姚县建设工程质量检测中心于2022年5月27日对项目的防雷接地电阻进行了检测（检测报告编号：DYXJC-JD-2022-8</w:t>
      </w:r>
      <w:r>
        <w:rPr>
          <w:rFonts w:hint="eastAsia"/>
          <w:lang w:eastAsia="zh-CN"/>
        </w:rPr>
        <w:t>）</w:t>
      </w:r>
      <w:r>
        <w:rPr>
          <w:rFonts w:hint="eastAsia"/>
        </w:rPr>
        <w:t>，检测结果合格，报告有效期1年，报告详见附件19。</w:t>
      </w:r>
    </w:p>
    <w:p>
      <w:pPr>
        <w:numPr>
          <w:ilvl w:val="0"/>
          <w:numId w:val="23"/>
        </w:numPr>
        <w:ind w:firstLine="560"/>
        <w:rPr>
          <w:lang w:val="zh-CN"/>
        </w:rPr>
      </w:pPr>
      <w:r>
        <w:rPr>
          <w:rFonts w:hint="eastAsia"/>
          <w:lang w:val="zh-CN"/>
        </w:rPr>
        <w:t>照明</w:t>
      </w:r>
    </w:p>
    <w:p>
      <w:pPr>
        <w:ind w:firstLine="560"/>
      </w:pPr>
      <w:r>
        <w:rPr>
          <w:rFonts w:hint="eastAsia"/>
        </w:rPr>
        <w:t>本项目内的照明，采用高效荧光灯作为主要照明光源。照明电源采用专用线路和专用开关。</w:t>
      </w:r>
    </w:p>
    <w:p>
      <w:pPr>
        <w:ind w:firstLine="560"/>
        <w:rPr>
          <w:lang w:val="zh-CN"/>
        </w:rPr>
      </w:pPr>
      <w:r>
        <w:rPr>
          <w:rFonts w:hint="eastAsia"/>
          <w:lang w:val="zh-CN"/>
        </w:rPr>
        <w:t>办公室、会议室等照度标准为300</w:t>
      </w:r>
      <w:r>
        <w:rPr>
          <w:rFonts w:hint="eastAsia"/>
        </w:rPr>
        <w:t xml:space="preserve"> </w:t>
      </w:r>
      <w:r>
        <w:rPr>
          <w:rFonts w:hint="eastAsia"/>
          <w:lang w:val="zh-CN"/>
        </w:rPr>
        <w:t>lx；厂房照度标准为200</w:t>
      </w:r>
      <w:r>
        <w:rPr>
          <w:rFonts w:hint="eastAsia"/>
        </w:rPr>
        <w:t xml:space="preserve"> </w:t>
      </w:r>
      <w:r>
        <w:rPr>
          <w:rFonts w:hint="eastAsia"/>
          <w:lang w:val="zh-CN"/>
        </w:rPr>
        <w:t>lx；其它附属用房及卫生间照度标准为100</w:t>
      </w:r>
      <w:r>
        <w:rPr>
          <w:rFonts w:hint="eastAsia"/>
        </w:rPr>
        <w:t xml:space="preserve"> </w:t>
      </w:r>
      <w:r>
        <w:rPr>
          <w:rFonts w:hint="eastAsia"/>
          <w:lang w:val="zh-CN"/>
        </w:rPr>
        <w:t>lx；应急照明照度标准为30</w:t>
      </w:r>
      <w:r>
        <w:rPr>
          <w:rFonts w:hint="eastAsia"/>
        </w:rPr>
        <w:t xml:space="preserve"> </w:t>
      </w:r>
      <w:r>
        <w:rPr>
          <w:rFonts w:hint="eastAsia"/>
          <w:lang w:val="zh-CN"/>
        </w:rPr>
        <w:t>lx。在走廊及安全出口处设置灯光疏散指示标志。室内照明线路采用BV-0.5kV</w:t>
      </w:r>
      <w:r>
        <w:rPr>
          <w:rFonts w:hint="eastAsia"/>
        </w:rPr>
        <w:t xml:space="preserve"> </w:t>
      </w:r>
      <w:r>
        <w:rPr>
          <w:rFonts w:hint="eastAsia"/>
          <w:lang w:val="zh-CN"/>
        </w:rPr>
        <w:t>2.5mm²导线穿镀锌钢管暗敷设，插座线路采用BV-0.5kV</w:t>
      </w:r>
      <w:r>
        <w:rPr>
          <w:rFonts w:hint="eastAsia"/>
        </w:rPr>
        <w:t xml:space="preserve"> </w:t>
      </w:r>
      <w:r>
        <w:rPr>
          <w:rFonts w:hint="eastAsia"/>
          <w:lang w:val="zh-CN"/>
        </w:rPr>
        <w:t>4mm²导线穿镀锌钢管暗敷设。</w:t>
      </w:r>
    </w:p>
    <w:p>
      <w:pPr>
        <w:pStyle w:val="7"/>
        <w:spacing w:before="156" w:after="156"/>
      </w:pPr>
      <w:r>
        <w:rPr>
          <w:rFonts w:hint="eastAsia"/>
        </w:rPr>
        <w:t>消防</w:t>
      </w:r>
    </w:p>
    <w:p>
      <w:pPr>
        <w:pStyle w:val="16"/>
        <w:ind w:firstLine="560"/>
      </w:pPr>
      <w:r>
        <w:rPr>
          <w:rFonts w:hint="eastAsia"/>
        </w:rPr>
        <w:t>大姚县住房和城乡建设局根据云南盈恩检测技术有限公司提供的建筑消防设施检测评价报告[YNYN20220046]及建设工程现场评定情况，进行了项目消防验收，出具了《大姚县住房和城乡建设局特殊建设工程消防验收意见书》（大住建消验字〔2022〕第008号），验收意见结论为合格。</w:t>
      </w:r>
    </w:p>
    <w:p>
      <w:pPr>
        <w:numPr>
          <w:ilvl w:val="0"/>
          <w:numId w:val="24"/>
        </w:numPr>
        <w:ind w:firstLine="560"/>
      </w:pPr>
      <w:bookmarkStart w:id="83" w:name="_Toc382319566"/>
      <w:bookmarkStart w:id="84" w:name="_Toc276375155"/>
      <w:bookmarkStart w:id="85" w:name="_Toc382319433"/>
      <w:bookmarkStart w:id="86" w:name="_Toc24193713"/>
      <w:r>
        <w:rPr>
          <w:rFonts w:hint="eastAsia"/>
        </w:rPr>
        <w:t>消防水系统</w:t>
      </w:r>
    </w:p>
    <w:p>
      <w:pPr>
        <w:ind w:firstLine="560"/>
      </w:pPr>
      <w:r>
        <w:rPr>
          <w:rFonts w:hint="eastAsia"/>
        </w:rPr>
        <w:t>根据工厂基地面积约≤100公顷，附有居住区人数≤1.5万人，按照《</w:t>
      </w:r>
      <w:r>
        <w:fldChar w:fldCharType="begin"/>
      </w:r>
      <w:r>
        <w:instrText xml:space="preserve"> HYPERLINK "file:///E:\\法律、标准\\标准\\消防\\GB50974-2014消防给水及消火栓系统技术规范%20（高清含条文说明）.pdf" </w:instrText>
      </w:r>
      <w:r>
        <w:fldChar w:fldCharType="separate"/>
      </w:r>
      <w:r>
        <w:rPr>
          <w:rFonts w:hint="eastAsia"/>
        </w:rPr>
        <w:t>消防给水及消火栓系统技术规范</w:t>
      </w:r>
      <w:r>
        <w:rPr>
          <w:rFonts w:hint="eastAsia"/>
        </w:rPr>
        <w:fldChar w:fldCharType="end"/>
      </w:r>
      <w:r>
        <w:rPr>
          <w:rFonts w:hint="eastAsia"/>
        </w:rPr>
        <w:t>》（GB50974-2014）第3.3.2条规定，全厂同时火灾次数为一次。</w:t>
      </w:r>
    </w:p>
    <w:p>
      <w:pPr>
        <w:ind w:firstLine="560"/>
      </w:pPr>
      <w:r>
        <w:rPr>
          <w:rFonts w:hint="eastAsia"/>
        </w:rPr>
        <w:t>本项目占地面积小于1000000平方米，按照发生火灾一次考虑；最大消防用水点为生产厂房（丁类），厂房占地面积为15840m</w:t>
      </w:r>
      <w:r>
        <w:rPr>
          <w:rFonts w:hint="eastAsia"/>
          <w:vertAlign w:val="superscript"/>
        </w:rPr>
        <w:t>2</w:t>
      </w:r>
      <w:r>
        <w:rPr>
          <w:rFonts w:hint="eastAsia"/>
        </w:rPr>
        <w:t>，建筑高度12.15m，建筑体积为192456m</w:t>
      </w:r>
      <w:r>
        <w:rPr>
          <w:rFonts w:hint="eastAsia"/>
          <w:vertAlign w:val="superscript"/>
        </w:rPr>
        <w:t>3</w:t>
      </w:r>
      <w:r>
        <w:rPr>
          <w:rFonts w:hint="eastAsia"/>
        </w:rPr>
        <w:t>，其室外消火栓设计流量按V≥50000m</w:t>
      </w:r>
      <w:r>
        <w:rPr>
          <w:rFonts w:hint="eastAsia"/>
          <w:vertAlign w:val="superscript"/>
        </w:rPr>
        <w:t>3</w:t>
      </w:r>
      <w:r>
        <w:rPr>
          <w:rFonts w:hint="eastAsia"/>
        </w:rPr>
        <w:t>取20L/s，室内消火栓设计流量取10L/s，火灾延续时间2h，一次火灾消火栓用水量为216m³。</w:t>
      </w:r>
    </w:p>
    <w:p>
      <w:pPr>
        <w:ind w:firstLine="560"/>
      </w:pPr>
      <w:r>
        <w:rPr>
          <w:rFonts w:hint="eastAsia"/>
        </w:rPr>
        <w:t>本项目厂区消防用水来自市政给水管网，市政给水管网管径DN150，水压不低于0.35M</w:t>
      </w:r>
      <w:r>
        <w:t>p</w:t>
      </w:r>
      <w:r>
        <w:rPr>
          <w:rFonts w:hint="eastAsia"/>
        </w:rPr>
        <w:t>a，厂区内消防水管网呈环状布置，项目内设置DN150室外枝装消防水管网，室外消防水供应能力满足本项目要求。</w:t>
      </w:r>
    </w:p>
    <w:p>
      <w:pPr>
        <w:numPr>
          <w:ilvl w:val="0"/>
          <w:numId w:val="24"/>
        </w:numPr>
        <w:ind w:firstLine="560"/>
      </w:pPr>
      <w:r>
        <w:rPr>
          <w:rFonts w:hint="eastAsia"/>
        </w:rPr>
        <w:t>灭火器配置</w:t>
      </w:r>
    </w:p>
    <w:p>
      <w:pPr>
        <w:ind w:firstLine="560"/>
        <w:rPr>
          <w:rFonts w:ascii="宋体" w:hAnsi="宋体" w:cs="宋体"/>
          <w:szCs w:val="28"/>
        </w:rPr>
      </w:pPr>
      <w:r>
        <w:rPr>
          <w:rFonts w:hint="eastAsia"/>
        </w:rPr>
        <w:t>按照《建筑灭火器配置设计规范》（GB50140-2005）的规定，本项目的火灾种类有：A类火灾：固体火灾、E类火灾：电气火灾。各厂房均应按照《建筑灭火器配置设计规范》（GB50140-2005）的要求设置手提式或推车式干粉灭火器。项目消防设施配置情况见下表：</w:t>
      </w:r>
    </w:p>
    <w:p>
      <w:pPr>
        <w:spacing w:after="120"/>
        <w:ind w:firstLine="482"/>
        <w:jc w:val="center"/>
        <w:rPr>
          <w:rFonts w:ascii="宋体" w:hAnsi="宋体" w:cs="宋体"/>
          <w:b/>
          <w:bCs/>
          <w:sz w:val="24"/>
        </w:rPr>
      </w:pPr>
      <w:r>
        <w:rPr>
          <w:rFonts w:hint="eastAsia" w:ascii="宋体" w:hAnsi="宋体" w:cs="宋体"/>
          <w:b/>
          <w:bCs/>
          <w:sz w:val="24"/>
        </w:rPr>
        <w:t xml:space="preserve">表 </w:t>
      </w:r>
      <w:r>
        <w:rPr>
          <w:rFonts w:hint="eastAsia" w:ascii="宋体" w:hAnsi="宋体" w:cs="宋体"/>
          <w:b/>
          <w:bCs/>
          <w:sz w:val="24"/>
        </w:rPr>
        <w:fldChar w:fldCharType="begin"/>
      </w:r>
      <w:r>
        <w:rPr>
          <w:rFonts w:hint="eastAsia" w:ascii="宋体" w:hAnsi="宋体" w:cs="宋体"/>
          <w:b/>
          <w:bCs/>
          <w:sz w:val="24"/>
        </w:rPr>
        <w:instrText xml:space="preserve"> STYLEREF 2 \s </w:instrText>
      </w:r>
      <w:r>
        <w:rPr>
          <w:rFonts w:hint="eastAsia" w:ascii="宋体" w:hAnsi="宋体" w:cs="宋体"/>
          <w:b/>
          <w:bCs/>
          <w:sz w:val="24"/>
        </w:rPr>
        <w:fldChar w:fldCharType="separate"/>
      </w:r>
      <w:r>
        <w:rPr>
          <w:rFonts w:hint="eastAsia" w:ascii="宋体" w:hAnsi="宋体" w:cs="宋体"/>
          <w:b/>
          <w:bCs/>
          <w:sz w:val="24"/>
        </w:rPr>
        <w:t>2.3</w:t>
      </w:r>
      <w:r>
        <w:rPr>
          <w:rFonts w:hint="eastAsia" w:ascii="宋体" w:hAnsi="宋体" w:cs="宋体"/>
          <w:b/>
          <w:bCs/>
          <w:sz w:val="24"/>
        </w:rPr>
        <w:fldChar w:fldCharType="end"/>
      </w:r>
      <w:r>
        <w:rPr>
          <w:rFonts w:hint="eastAsia" w:ascii="宋体" w:hAnsi="宋体" w:cs="宋体"/>
          <w:b/>
          <w:bCs/>
          <w:sz w:val="24"/>
        </w:rPr>
        <w:t>-</w:t>
      </w:r>
      <w:r>
        <w:rPr>
          <w:rFonts w:hint="eastAsia" w:ascii="宋体" w:hAnsi="宋体" w:cs="宋体"/>
          <w:b/>
          <w:bCs/>
          <w:sz w:val="24"/>
        </w:rPr>
        <w:fldChar w:fldCharType="begin"/>
      </w:r>
      <w:r>
        <w:rPr>
          <w:rFonts w:hint="eastAsia" w:ascii="宋体" w:hAnsi="宋体" w:cs="宋体"/>
          <w:b/>
          <w:bCs/>
          <w:sz w:val="24"/>
        </w:rPr>
        <w:instrText xml:space="preserve"> SEQ 表 \* ARABIC \s 2 </w:instrText>
      </w:r>
      <w:r>
        <w:rPr>
          <w:rFonts w:hint="eastAsia" w:ascii="宋体" w:hAnsi="宋体" w:cs="宋体"/>
          <w:b/>
          <w:bCs/>
          <w:sz w:val="24"/>
        </w:rPr>
        <w:fldChar w:fldCharType="separate"/>
      </w:r>
      <w:r>
        <w:rPr>
          <w:rFonts w:hint="eastAsia" w:ascii="宋体" w:hAnsi="宋体" w:cs="宋体"/>
          <w:b/>
          <w:bCs/>
          <w:sz w:val="24"/>
        </w:rPr>
        <w:t>11</w:t>
      </w:r>
      <w:r>
        <w:rPr>
          <w:rFonts w:hint="eastAsia" w:ascii="宋体" w:hAnsi="宋体" w:cs="宋体"/>
          <w:b/>
          <w:bCs/>
          <w:sz w:val="24"/>
        </w:rPr>
        <w:fldChar w:fldCharType="end"/>
      </w:r>
      <w:r>
        <w:rPr>
          <w:rFonts w:hint="eastAsia" w:ascii="宋体" w:hAnsi="宋体" w:cs="宋体"/>
          <w:b/>
          <w:bCs/>
          <w:sz w:val="24"/>
        </w:rPr>
        <w:t>消防设施配置一览表</w:t>
      </w:r>
    </w:p>
    <w:tbl>
      <w:tblPr>
        <w:tblStyle w:val="29"/>
        <w:tblW w:w="0" w:type="auto"/>
        <w:tblInd w:w="282"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51"/>
        <w:gridCol w:w="1395"/>
        <w:gridCol w:w="2450"/>
        <w:gridCol w:w="1865"/>
        <w:gridCol w:w="852"/>
        <w:gridCol w:w="76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51" w:type="dxa"/>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序号</w:t>
            </w:r>
          </w:p>
        </w:tc>
        <w:tc>
          <w:tcPr>
            <w:tcW w:w="1395" w:type="dxa"/>
            <w:vAlign w:val="center"/>
          </w:tcPr>
          <w:p>
            <w:pPr>
              <w:spacing w:line="240" w:lineRule="auto"/>
              <w:ind w:firstLine="0" w:firstLineChars="0"/>
              <w:jc w:val="center"/>
              <w:rPr>
                <w:rFonts w:ascii="宋体" w:hAnsi="宋体" w:cs="宋体"/>
                <w:sz w:val="21"/>
                <w:szCs w:val="21"/>
              </w:rPr>
            </w:pPr>
            <w:r>
              <w:rPr>
                <w:rFonts w:ascii="宋体" w:hAnsi="宋体" w:cs="宋体"/>
                <w:sz w:val="21"/>
                <w:szCs w:val="21"/>
              </w:rPr>
              <w:t>建筑物</w:t>
            </w:r>
          </w:p>
        </w:tc>
        <w:tc>
          <w:tcPr>
            <w:tcW w:w="2450" w:type="dxa"/>
            <w:vAlign w:val="center"/>
          </w:tcPr>
          <w:p>
            <w:pPr>
              <w:spacing w:line="240" w:lineRule="auto"/>
              <w:ind w:firstLine="0" w:firstLineChars="0"/>
              <w:jc w:val="center"/>
              <w:rPr>
                <w:rFonts w:ascii="宋体" w:hAnsi="宋体" w:cs="宋体"/>
                <w:sz w:val="21"/>
                <w:szCs w:val="21"/>
              </w:rPr>
            </w:pPr>
            <w:r>
              <w:rPr>
                <w:rFonts w:ascii="宋体" w:hAnsi="宋体" w:cs="宋体"/>
                <w:sz w:val="21"/>
                <w:szCs w:val="21"/>
              </w:rPr>
              <w:t>消防设施名称</w:t>
            </w:r>
          </w:p>
        </w:tc>
        <w:tc>
          <w:tcPr>
            <w:tcW w:w="1865" w:type="dxa"/>
            <w:vAlign w:val="center"/>
          </w:tcPr>
          <w:p>
            <w:pPr>
              <w:spacing w:line="240" w:lineRule="auto"/>
              <w:ind w:firstLine="0" w:firstLineChars="0"/>
              <w:jc w:val="center"/>
              <w:rPr>
                <w:rFonts w:ascii="宋体" w:hAnsi="宋体" w:cs="宋体"/>
                <w:sz w:val="21"/>
                <w:szCs w:val="21"/>
              </w:rPr>
            </w:pPr>
            <w:r>
              <w:rPr>
                <w:rFonts w:ascii="宋体" w:hAnsi="宋体" w:cs="宋体"/>
                <w:sz w:val="21"/>
                <w:szCs w:val="21"/>
              </w:rPr>
              <w:t>型号</w:t>
            </w:r>
          </w:p>
        </w:tc>
        <w:tc>
          <w:tcPr>
            <w:tcW w:w="852" w:type="dxa"/>
            <w:vAlign w:val="center"/>
          </w:tcPr>
          <w:p>
            <w:pPr>
              <w:spacing w:line="240" w:lineRule="auto"/>
              <w:ind w:firstLine="0" w:firstLineChars="0"/>
              <w:jc w:val="center"/>
              <w:rPr>
                <w:rFonts w:ascii="宋体" w:hAnsi="宋体" w:cs="宋体"/>
                <w:sz w:val="21"/>
                <w:szCs w:val="21"/>
              </w:rPr>
            </w:pPr>
            <w:r>
              <w:rPr>
                <w:rFonts w:ascii="宋体" w:hAnsi="宋体" w:cs="宋体"/>
                <w:sz w:val="21"/>
                <w:szCs w:val="21"/>
              </w:rPr>
              <w:t>单位</w:t>
            </w:r>
          </w:p>
        </w:tc>
        <w:tc>
          <w:tcPr>
            <w:tcW w:w="764" w:type="dxa"/>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数量</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51" w:type="dxa"/>
            <w:vMerge w:val="restar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1</w:t>
            </w:r>
          </w:p>
        </w:tc>
        <w:tc>
          <w:tcPr>
            <w:tcW w:w="1395" w:type="dxa"/>
            <w:vMerge w:val="restart"/>
            <w:vAlign w:val="center"/>
          </w:tcPr>
          <w:p>
            <w:pPr>
              <w:widowControl/>
              <w:spacing w:line="240" w:lineRule="auto"/>
              <w:ind w:firstLine="0" w:firstLineChars="0"/>
              <w:jc w:val="center"/>
              <w:rPr>
                <w:rFonts w:ascii="宋体" w:hAnsi="宋体" w:cs="宋体"/>
                <w:sz w:val="21"/>
                <w:szCs w:val="21"/>
              </w:rPr>
            </w:pPr>
            <w:r>
              <w:rPr>
                <w:rFonts w:hint="eastAsia" w:cs="Times New Roman"/>
                <w:sz w:val="21"/>
                <w:szCs w:val="20"/>
              </w:rPr>
              <w:t>机加工车间</w:t>
            </w:r>
          </w:p>
        </w:tc>
        <w:tc>
          <w:tcPr>
            <w:tcW w:w="2450" w:type="dxa"/>
            <w:vAlign w:val="center"/>
          </w:tcPr>
          <w:p>
            <w:pPr>
              <w:spacing w:line="240" w:lineRule="auto"/>
              <w:ind w:firstLine="0" w:firstLineChars="0"/>
              <w:jc w:val="center"/>
              <w:rPr>
                <w:rFonts w:ascii="宋体" w:hAnsi="宋体" w:cs="宋体"/>
                <w:sz w:val="21"/>
                <w:szCs w:val="21"/>
              </w:rPr>
            </w:pPr>
            <w:r>
              <w:rPr>
                <w:rFonts w:ascii="宋体" w:hAnsi="宋体" w:cs="宋体"/>
                <w:sz w:val="21"/>
                <w:szCs w:val="21"/>
              </w:rPr>
              <w:t>手提式磷酸铵盐灭火器</w:t>
            </w:r>
          </w:p>
        </w:tc>
        <w:tc>
          <w:tcPr>
            <w:tcW w:w="1865" w:type="dxa"/>
            <w:vAlign w:val="center"/>
          </w:tcPr>
          <w:p>
            <w:pPr>
              <w:spacing w:line="240" w:lineRule="auto"/>
              <w:ind w:firstLine="0" w:firstLineChars="0"/>
              <w:jc w:val="center"/>
              <w:rPr>
                <w:rFonts w:ascii="宋体" w:hAnsi="宋体" w:cs="宋体"/>
                <w:sz w:val="21"/>
                <w:szCs w:val="21"/>
              </w:rPr>
            </w:pPr>
            <w:r>
              <w:rPr>
                <w:rFonts w:ascii="宋体" w:hAnsi="宋体" w:cs="宋体"/>
                <w:sz w:val="21"/>
                <w:szCs w:val="21"/>
              </w:rPr>
              <w:t>MFZ/ABC4</w:t>
            </w:r>
          </w:p>
        </w:tc>
        <w:tc>
          <w:tcPr>
            <w:tcW w:w="852" w:type="dxa"/>
            <w:vAlign w:val="center"/>
          </w:tcPr>
          <w:p>
            <w:pPr>
              <w:spacing w:line="240" w:lineRule="auto"/>
              <w:ind w:firstLine="0" w:firstLineChars="0"/>
              <w:jc w:val="center"/>
              <w:rPr>
                <w:rFonts w:ascii="宋体" w:hAnsi="宋体" w:cs="宋体"/>
                <w:sz w:val="21"/>
                <w:szCs w:val="21"/>
              </w:rPr>
            </w:pPr>
            <w:r>
              <w:rPr>
                <w:rFonts w:ascii="宋体" w:hAnsi="宋体" w:cs="宋体"/>
                <w:sz w:val="21"/>
                <w:szCs w:val="21"/>
              </w:rPr>
              <w:t>具</w:t>
            </w:r>
          </w:p>
        </w:tc>
        <w:tc>
          <w:tcPr>
            <w:tcW w:w="764" w:type="dxa"/>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32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51" w:type="dxa"/>
            <w:vMerge w:val="continue"/>
            <w:vAlign w:val="center"/>
          </w:tcPr>
          <w:p>
            <w:pPr>
              <w:spacing w:line="240" w:lineRule="auto"/>
              <w:ind w:firstLine="0" w:firstLineChars="0"/>
              <w:jc w:val="center"/>
              <w:rPr>
                <w:rFonts w:ascii="宋体" w:hAnsi="宋体" w:cs="宋体"/>
                <w:sz w:val="21"/>
                <w:szCs w:val="21"/>
              </w:rPr>
            </w:pPr>
          </w:p>
        </w:tc>
        <w:tc>
          <w:tcPr>
            <w:tcW w:w="1395" w:type="dxa"/>
            <w:vMerge w:val="continue"/>
            <w:vAlign w:val="center"/>
          </w:tcPr>
          <w:p>
            <w:pPr>
              <w:widowControl/>
              <w:spacing w:line="240" w:lineRule="auto"/>
              <w:ind w:firstLine="0" w:firstLineChars="0"/>
              <w:jc w:val="center"/>
              <w:rPr>
                <w:rFonts w:cs="Times New Roman"/>
                <w:sz w:val="21"/>
                <w:szCs w:val="20"/>
              </w:rPr>
            </w:pPr>
          </w:p>
        </w:tc>
        <w:tc>
          <w:tcPr>
            <w:tcW w:w="2450" w:type="dxa"/>
            <w:vAlign w:val="center"/>
          </w:tcPr>
          <w:p>
            <w:pPr>
              <w:spacing w:line="240" w:lineRule="auto"/>
              <w:ind w:firstLine="0" w:firstLineChars="0"/>
              <w:jc w:val="center"/>
              <w:rPr>
                <w:rFonts w:ascii="宋体" w:hAnsi="宋体" w:cs="宋体"/>
                <w:sz w:val="21"/>
                <w:szCs w:val="21"/>
              </w:rPr>
            </w:pPr>
            <w:r>
              <w:rPr>
                <w:rFonts w:ascii="宋体" w:hAnsi="宋体" w:cs="宋体"/>
                <w:sz w:val="21"/>
                <w:szCs w:val="21"/>
              </w:rPr>
              <w:t>室内消火栓</w:t>
            </w:r>
          </w:p>
        </w:tc>
        <w:tc>
          <w:tcPr>
            <w:tcW w:w="1865" w:type="dxa"/>
            <w:vAlign w:val="center"/>
          </w:tcPr>
          <w:p>
            <w:pPr>
              <w:spacing w:line="240" w:lineRule="auto"/>
              <w:ind w:firstLine="0" w:firstLineChars="0"/>
              <w:jc w:val="center"/>
              <w:rPr>
                <w:rFonts w:ascii="宋体" w:hAnsi="宋体" w:cs="宋体"/>
                <w:sz w:val="21"/>
                <w:szCs w:val="21"/>
              </w:rPr>
            </w:pPr>
            <w:r>
              <w:rPr>
                <w:rFonts w:ascii="宋体" w:hAnsi="宋体" w:cs="宋体"/>
                <w:sz w:val="21"/>
                <w:szCs w:val="21"/>
              </w:rPr>
              <w:t>SN65</w:t>
            </w:r>
          </w:p>
        </w:tc>
        <w:tc>
          <w:tcPr>
            <w:tcW w:w="852" w:type="dxa"/>
            <w:vAlign w:val="center"/>
          </w:tcPr>
          <w:p>
            <w:pPr>
              <w:spacing w:line="240" w:lineRule="auto"/>
              <w:ind w:firstLine="0" w:firstLineChars="0"/>
              <w:jc w:val="center"/>
              <w:rPr>
                <w:rFonts w:ascii="宋体" w:hAnsi="宋体" w:cs="宋体"/>
                <w:sz w:val="21"/>
                <w:szCs w:val="21"/>
              </w:rPr>
            </w:pPr>
            <w:r>
              <w:rPr>
                <w:rFonts w:ascii="宋体" w:hAnsi="宋体" w:cs="宋体"/>
                <w:sz w:val="21"/>
                <w:szCs w:val="21"/>
              </w:rPr>
              <w:t>个</w:t>
            </w:r>
          </w:p>
        </w:tc>
        <w:tc>
          <w:tcPr>
            <w:tcW w:w="764" w:type="dxa"/>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10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51" w:type="dxa"/>
            <w:vMerge w:val="restar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2</w:t>
            </w:r>
          </w:p>
        </w:tc>
        <w:tc>
          <w:tcPr>
            <w:tcW w:w="1395" w:type="dxa"/>
            <w:vMerge w:val="restart"/>
            <w:vAlign w:val="center"/>
          </w:tcPr>
          <w:p>
            <w:pPr>
              <w:widowControl/>
              <w:spacing w:line="240" w:lineRule="auto"/>
              <w:ind w:firstLine="0" w:firstLineChars="0"/>
              <w:jc w:val="center"/>
              <w:rPr>
                <w:rFonts w:ascii="宋体" w:hAnsi="宋体" w:cs="宋体"/>
                <w:sz w:val="21"/>
                <w:szCs w:val="21"/>
              </w:rPr>
            </w:pPr>
            <w:r>
              <w:rPr>
                <w:rFonts w:hint="eastAsia" w:cs="Times New Roman"/>
                <w:kern w:val="0"/>
                <w:sz w:val="21"/>
                <w:szCs w:val="20"/>
              </w:rPr>
              <w:t>铸造车间</w:t>
            </w:r>
          </w:p>
        </w:tc>
        <w:tc>
          <w:tcPr>
            <w:tcW w:w="2450" w:type="dxa"/>
            <w:vAlign w:val="center"/>
          </w:tcPr>
          <w:p>
            <w:pPr>
              <w:spacing w:line="240" w:lineRule="auto"/>
              <w:ind w:firstLine="0" w:firstLineChars="0"/>
              <w:jc w:val="center"/>
              <w:rPr>
                <w:rFonts w:ascii="宋体" w:hAnsi="宋体" w:cs="宋体"/>
                <w:sz w:val="21"/>
                <w:szCs w:val="21"/>
              </w:rPr>
            </w:pPr>
            <w:r>
              <w:rPr>
                <w:rFonts w:ascii="宋体" w:hAnsi="宋体" w:cs="宋体"/>
                <w:sz w:val="21"/>
                <w:szCs w:val="21"/>
              </w:rPr>
              <w:t>手提式磷酸铵盐灭火器</w:t>
            </w:r>
          </w:p>
        </w:tc>
        <w:tc>
          <w:tcPr>
            <w:tcW w:w="1865" w:type="dxa"/>
            <w:vAlign w:val="center"/>
          </w:tcPr>
          <w:p>
            <w:pPr>
              <w:spacing w:line="240" w:lineRule="auto"/>
              <w:ind w:firstLine="0" w:firstLineChars="0"/>
              <w:jc w:val="center"/>
              <w:rPr>
                <w:rFonts w:ascii="宋体" w:hAnsi="宋体" w:cs="宋体"/>
                <w:sz w:val="21"/>
                <w:szCs w:val="21"/>
              </w:rPr>
            </w:pPr>
            <w:r>
              <w:rPr>
                <w:rFonts w:ascii="宋体" w:hAnsi="宋体" w:cs="宋体"/>
                <w:sz w:val="21"/>
                <w:szCs w:val="21"/>
              </w:rPr>
              <w:t>MFZ/ABC4</w:t>
            </w:r>
          </w:p>
        </w:tc>
        <w:tc>
          <w:tcPr>
            <w:tcW w:w="852" w:type="dxa"/>
            <w:vAlign w:val="center"/>
          </w:tcPr>
          <w:p>
            <w:pPr>
              <w:spacing w:line="240" w:lineRule="auto"/>
              <w:ind w:firstLine="0" w:firstLineChars="0"/>
              <w:jc w:val="center"/>
              <w:rPr>
                <w:rFonts w:ascii="宋体" w:hAnsi="宋体" w:cs="宋体"/>
                <w:sz w:val="21"/>
                <w:szCs w:val="21"/>
              </w:rPr>
            </w:pPr>
            <w:r>
              <w:rPr>
                <w:rFonts w:ascii="宋体" w:hAnsi="宋体" w:cs="宋体"/>
                <w:sz w:val="21"/>
                <w:szCs w:val="21"/>
              </w:rPr>
              <w:t>具</w:t>
            </w:r>
          </w:p>
        </w:tc>
        <w:tc>
          <w:tcPr>
            <w:tcW w:w="764" w:type="dxa"/>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34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51" w:type="dxa"/>
            <w:vMerge w:val="continue"/>
            <w:vAlign w:val="center"/>
          </w:tcPr>
          <w:p>
            <w:pPr>
              <w:spacing w:line="240" w:lineRule="auto"/>
              <w:ind w:firstLine="0" w:firstLineChars="0"/>
              <w:jc w:val="center"/>
              <w:rPr>
                <w:rFonts w:ascii="宋体" w:hAnsi="宋体" w:cs="宋体"/>
                <w:sz w:val="21"/>
                <w:szCs w:val="21"/>
              </w:rPr>
            </w:pPr>
          </w:p>
        </w:tc>
        <w:tc>
          <w:tcPr>
            <w:tcW w:w="1395" w:type="dxa"/>
            <w:vMerge w:val="continue"/>
            <w:vAlign w:val="center"/>
          </w:tcPr>
          <w:p>
            <w:pPr>
              <w:widowControl/>
              <w:spacing w:line="240" w:lineRule="auto"/>
              <w:ind w:firstLine="0" w:firstLineChars="0"/>
              <w:jc w:val="center"/>
              <w:rPr>
                <w:rFonts w:cs="Times New Roman"/>
                <w:kern w:val="0"/>
                <w:sz w:val="21"/>
                <w:szCs w:val="20"/>
              </w:rPr>
            </w:pPr>
          </w:p>
        </w:tc>
        <w:tc>
          <w:tcPr>
            <w:tcW w:w="2450" w:type="dxa"/>
            <w:vAlign w:val="center"/>
          </w:tcPr>
          <w:p>
            <w:pPr>
              <w:spacing w:line="240" w:lineRule="auto"/>
              <w:ind w:firstLine="0" w:firstLineChars="0"/>
              <w:jc w:val="center"/>
              <w:rPr>
                <w:rFonts w:ascii="宋体" w:hAnsi="宋体" w:cs="宋体"/>
                <w:sz w:val="21"/>
                <w:szCs w:val="21"/>
              </w:rPr>
            </w:pPr>
            <w:r>
              <w:rPr>
                <w:rFonts w:ascii="宋体" w:hAnsi="宋体" w:cs="宋体"/>
                <w:sz w:val="21"/>
                <w:szCs w:val="21"/>
              </w:rPr>
              <w:t>室内消火栓</w:t>
            </w:r>
          </w:p>
        </w:tc>
        <w:tc>
          <w:tcPr>
            <w:tcW w:w="1865" w:type="dxa"/>
            <w:vAlign w:val="center"/>
          </w:tcPr>
          <w:p>
            <w:pPr>
              <w:spacing w:line="240" w:lineRule="auto"/>
              <w:ind w:firstLine="0" w:firstLineChars="0"/>
              <w:jc w:val="center"/>
              <w:rPr>
                <w:rFonts w:ascii="宋体" w:hAnsi="宋体" w:cs="宋体"/>
                <w:sz w:val="21"/>
                <w:szCs w:val="21"/>
              </w:rPr>
            </w:pPr>
            <w:r>
              <w:rPr>
                <w:rFonts w:ascii="宋体" w:hAnsi="宋体" w:cs="宋体"/>
                <w:sz w:val="21"/>
                <w:szCs w:val="21"/>
              </w:rPr>
              <w:t>SN65</w:t>
            </w:r>
          </w:p>
        </w:tc>
        <w:tc>
          <w:tcPr>
            <w:tcW w:w="852" w:type="dxa"/>
            <w:vAlign w:val="center"/>
          </w:tcPr>
          <w:p>
            <w:pPr>
              <w:spacing w:line="240" w:lineRule="auto"/>
              <w:ind w:firstLine="0" w:firstLineChars="0"/>
              <w:jc w:val="center"/>
              <w:rPr>
                <w:rFonts w:ascii="宋体" w:hAnsi="宋体" w:cs="宋体"/>
                <w:sz w:val="21"/>
                <w:szCs w:val="21"/>
              </w:rPr>
            </w:pPr>
            <w:r>
              <w:rPr>
                <w:rFonts w:ascii="宋体" w:hAnsi="宋体" w:cs="宋体"/>
                <w:sz w:val="21"/>
                <w:szCs w:val="21"/>
              </w:rPr>
              <w:t>个</w:t>
            </w:r>
          </w:p>
        </w:tc>
        <w:tc>
          <w:tcPr>
            <w:tcW w:w="764" w:type="dxa"/>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13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51" w:type="dxa"/>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3</w:t>
            </w:r>
          </w:p>
        </w:tc>
        <w:tc>
          <w:tcPr>
            <w:tcW w:w="1395" w:type="dxa"/>
            <w:vAlign w:val="center"/>
          </w:tcPr>
          <w:p>
            <w:pPr>
              <w:widowControl/>
              <w:spacing w:line="240" w:lineRule="auto"/>
              <w:ind w:firstLine="0" w:firstLineChars="0"/>
              <w:jc w:val="center"/>
              <w:rPr>
                <w:rFonts w:ascii="宋体" w:hAnsi="宋体" w:cs="宋体"/>
                <w:sz w:val="21"/>
                <w:szCs w:val="21"/>
              </w:rPr>
            </w:pPr>
            <w:r>
              <w:rPr>
                <w:rFonts w:hint="eastAsia" w:cs="Times New Roman"/>
                <w:sz w:val="21"/>
                <w:szCs w:val="20"/>
              </w:rPr>
              <w:t>带顶露天跨</w:t>
            </w:r>
          </w:p>
        </w:tc>
        <w:tc>
          <w:tcPr>
            <w:tcW w:w="2450" w:type="dxa"/>
            <w:vAlign w:val="center"/>
          </w:tcPr>
          <w:p>
            <w:pPr>
              <w:spacing w:line="240" w:lineRule="auto"/>
              <w:ind w:firstLine="0" w:firstLineChars="0"/>
              <w:jc w:val="center"/>
              <w:rPr>
                <w:rFonts w:ascii="宋体" w:hAnsi="宋体" w:cs="宋体"/>
                <w:sz w:val="21"/>
                <w:szCs w:val="21"/>
              </w:rPr>
            </w:pPr>
            <w:r>
              <w:rPr>
                <w:rFonts w:ascii="宋体" w:hAnsi="宋体" w:cs="宋体"/>
                <w:sz w:val="21"/>
                <w:szCs w:val="21"/>
              </w:rPr>
              <w:t>手提式磷酸铵盐灭火器</w:t>
            </w:r>
          </w:p>
        </w:tc>
        <w:tc>
          <w:tcPr>
            <w:tcW w:w="1865" w:type="dxa"/>
            <w:vAlign w:val="center"/>
          </w:tcPr>
          <w:p>
            <w:pPr>
              <w:spacing w:line="240" w:lineRule="auto"/>
              <w:ind w:firstLine="0" w:firstLineChars="0"/>
              <w:jc w:val="center"/>
              <w:rPr>
                <w:rFonts w:ascii="宋体" w:hAnsi="宋体" w:cs="宋体"/>
                <w:sz w:val="21"/>
                <w:szCs w:val="21"/>
              </w:rPr>
            </w:pPr>
            <w:r>
              <w:rPr>
                <w:rFonts w:ascii="宋体" w:hAnsi="宋体" w:cs="宋体"/>
                <w:sz w:val="21"/>
                <w:szCs w:val="21"/>
              </w:rPr>
              <w:t>MFZ/ABC4</w:t>
            </w:r>
          </w:p>
        </w:tc>
        <w:tc>
          <w:tcPr>
            <w:tcW w:w="852" w:type="dxa"/>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具</w:t>
            </w:r>
          </w:p>
        </w:tc>
        <w:tc>
          <w:tcPr>
            <w:tcW w:w="764" w:type="dxa"/>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12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51" w:type="dxa"/>
            <w:vMerge w:val="restar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4</w:t>
            </w:r>
          </w:p>
        </w:tc>
        <w:tc>
          <w:tcPr>
            <w:tcW w:w="1395" w:type="dxa"/>
            <w:vMerge w:val="restart"/>
            <w:vAlign w:val="center"/>
          </w:tcPr>
          <w:p>
            <w:pPr>
              <w:widowControl/>
              <w:spacing w:line="240" w:lineRule="auto"/>
              <w:ind w:firstLine="0" w:firstLineChars="0"/>
              <w:jc w:val="center"/>
              <w:rPr>
                <w:rFonts w:cs="Times New Roman"/>
                <w:sz w:val="21"/>
                <w:szCs w:val="20"/>
              </w:rPr>
            </w:pPr>
            <w:r>
              <w:rPr>
                <w:rFonts w:hint="eastAsia" w:cs="Times New Roman"/>
                <w:sz w:val="21"/>
                <w:szCs w:val="20"/>
              </w:rPr>
              <w:t>辅助车间</w:t>
            </w:r>
          </w:p>
        </w:tc>
        <w:tc>
          <w:tcPr>
            <w:tcW w:w="2450" w:type="dxa"/>
            <w:vAlign w:val="center"/>
          </w:tcPr>
          <w:p>
            <w:pPr>
              <w:spacing w:line="240" w:lineRule="auto"/>
              <w:ind w:firstLine="0" w:firstLineChars="0"/>
              <w:jc w:val="center"/>
              <w:rPr>
                <w:rFonts w:ascii="宋体" w:hAnsi="宋体" w:cs="宋体"/>
                <w:sz w:val="21"/>
                <w:szCs w:val="21"/>
              </w:rPr>
            </w:pPr>
            <w:r>
              <w:rPr>
                <w:rFonts w:ascii="宋体" w:hAnsi="宋体" w:cs="宋体"/>
                <w:sz w:val="21"/>
                <w:szCs w:val="21"/>
              </w:rPr>
              <w:t>手提式磷酸铵盐灭火器</w:t>
            </w:r>
          </w:p>
        </w:tc>
        <w:tc>
          <w:tcPr>
            <w:tcW w:w="1865" w:type="dxa"/>
            <w:vAlign w:val="center"/>
          </w:tcPr>
          <w:p>
            <w:pPr>
              <w:spacing w:line="240" w:lineRule="auto"/>
              <w:ind w:firstLine="0" w:firstLineChars="0"/>
              <w:jc w:val="center"/>
              <w:rPr>
                <w:rFonts w:ascii="宋体" w:hAnsi="宋体" w:cs="宋体"/>
                <w:sz w:val="21"/>
                <w:szCs w:val="21"/>
              </w:rPr>
            </w:pPr>
            <w:r>
              <w:rPr>
                <w:rFonts w:ascii="宋体" w:hAnsi="宋体" w:cs="宋体"/>
                <w:sz w:val="21"/>
                <w:szCs w:val="21"/>
              </w:rPr>
              <w:t>MFZ/ABC4</w:t>
            </w:r>
          </w:p>
        </w:tc>
        <w:tc>
          <w:tcPr>
            <w:tcW w:w="852" w:type="dxa"/>
            <w:vAlign w:val="center"/>
          </w:tcPr>
          <w:p>
            <w:pPr>
              <w:spacing w:line="240" w:lineRule="auto"/>
              <w:ind w:firstLine="0" w:firstLineChars="0"/>
              <w:jc w:val="center"/>
              <w:rPr>
                <w:rFonts w:ascii="宋体" w:hAnsi="宋体" w:cs="宋体"/>
                <w:sz w:val="21"/>
                <w:szCs w:val="21"/>
              </w:rPr>
            </w:pPr>
            <w:r>
              <w:rPr>
                <w:rFonts w:ascii="宋体" w:hAnsi="宋体" w:cs="宋体"/>
                <w:sz w:val="21"/>
                <w:szCs w:val="21"/>
              </w:rPr>
              <w:t>具</w:t>
            </w:r>
          </w:p>
        </w:tc>
        <w:tc>
          <w:tcPr>
            <w:tcW w:w="764" w:type="dxa"/>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51" w:type="dxa"/>
            <w:vMerge w:val="continue"/>
            <w:vAlign w:val="center"/>
          </w:tcPr>
          <w:p>
            <w:pPr>
              <w:spacing w:line="240" w:lineRule="auto"/>
              <w:ind w:firstLine="0" w:firstLineChars="0"/>
              <w:jc w:val="center"/>
              <w:rPr>
                <w:rFonts w:ascii="宋体" w:hAnsi="宋体" w:cs="宋体"/>
                <w:sz w:val="21"/>
                <w:szCs w:val="21"/>
              </w:rPr>
            </w:pPr>
          </w:p>
        </w:tc>
        <w:tc>
          <w:tcPr>
            <w:tcW w:w="1395" w:type="dxa"/>
            <w:vMerge w:val="continue"/>
            <w:vAlign w:val="center"/>
          </w:tcPr>
          <w:p>
            <w:pPr>
              <w:widowControl/>
              <w:spacing w:line="240" w:lineRule="auto"/>
              <w:ind w:firstLine="0" w:firstLineChars="0"/>
              <w:jc w:val="center"/>
              <w:rPr>
                <w:rFonts w:cs="Times New Roman"/>
                <w:sz w:val="21"/>
                <w:szCs w:val="20"/>
              </w:rPr>
            </w:pPr>
          </w:p>
        </w:tc>
        <w:tc>
          <w:tcPr>
            <w:tcW w:w="2450" w:type="dxa"/>
            <w:vAlign w:val="center"/>
          </w:tcPr>
          <w:p>
            <w:pPr>
              <w:spacing w:line="240" w:lineRule="auto"/>
              <w:ind w:firstLine="0" w:firstLineChars="0"/>
              <w:jc w:val="center"/>
              <w:rPr>
                <w:rFonts w:ascii="宋体" w:hAnsi="宋体" w:cs="宋体"/>
                <w:sz w:val="21"/>
                <w:szCs w:val="21"/>
              </w:rPr>
            </w:pPr>
            <w:r>
              <w:rPr>
                <w:rFonts w:ascii="宋体" w:hAnsi="宋体" w:cs="宋体"/>
                <w:sz w:val="21"/>
                <w:szCs w:val="21"/>
              </w:rPr>
              <w:t>室内消火栓</w:t>
            </w:r>
          </w:p>
        </w:tc>
        <w:tc>
          <w:tcPr>
            <w:tcW w:w="1865" w:type="dxa"/>
            <w:vAlign w:val="center"/>
          </w:tcPr>
          <w:p>
            <w:pPr>
              <w:spacing w:line="240" w:lineRule="auto"/>
              <w:ind w:firstLine="0" w:firstLineChars="0"/>
              <w:jc w:val="center"/>
              <w:rPr>
                <w:rFonts w:ascii="宋体" w:hAnsi="宋体" w:cs="宋体"/>
                <w:sz w:val="21"/>
                <w:szCs w:val="21"/>
              </w:rPr>
            </w:pPr>
            <w:r>
              <w:rPr>
                <w:rFonts w:ascii="宋体" w:hAnsi="宋体" w:cs="宋体"/>
                <w:sz w:val="21"/>
                <w:szCs w:val="21"/>
              </w:rPr>
              <w:t>SN65</w:t>
            </w:r>
          </w:p>
        </w:tc>
        <w:tc>
          <w:tcPr>
            <w:tcW w:w="852" w:type="dxa"/>
            <w:vAlign w:val="center"/>
          </w:tcPr>
          <w:p>
            <w:pPr>
              <w:spacing w:line="240" w:lineRule="auto"/>
              <w:ind w:firstLine="0" w:firstLineChars="0"/>
              <w:jc w:val="center"/>
              <w:rPr>
                <w:rFonts w:ascii="宋体" w:hAnsi="宋体" w:cs="宋体"/>
                <w:sz w:val="21"/>
                <w:szCs w:val="21"/>
              </w:rPr>
            </w:pPr>
            <w:r>
              <w:rPr>
                <w:rFonts w:ascii="宋体" w:hAnsi="宋体" w:cs="宋体"/>
                <w:sz w:val="21"/>
                <w:szCs w:val="21"/>
              </w:rPr>
              <w:t>个</w:t>
            </w:r>
          </w:p>
        </w:tc>
        <w:tc>
          <w:tcPr>
            <w:tcW w:w="764" w:type="dxa"/>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51" w:type="dxa"/>
            <w:vMerge w:val="restar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5</w:t>
            </w:r>
          </w:p>
        </w:tc>
        <w:tc>
          <w:tcPr>
            <w:tcW w:w="1395" w:type="dxa"/>
            <w:vMerge w:val="restart"/>
            <w:vAlign w:val="center"/>
          </w:tcPr>
          <w:p>
            <w:pPr>
              <w:widowControl/>
              <w:spacing w:line="240" w:lineRule="auto"/>
              <w:ind w:firstLine="0" w:firstLineChars="0"/>
              <w:jc w:val="center"/>
              <w:rPr>
                <w:rFonts w:ascii="宋体" w:hAnsi="宋体" w:cs="宋体"/>
                <w:sz w:val="21"/>
                <w:szCs w:val="21"/>
              </w:rPr>
            </w:pPr>
            <w:r>
              <w:rPr>
                <w:rFonts w:hint="eastAsia" w:cs="Times New Roman"/>
                <w:sz w:val="21"/>
                <w:szCs w:val="20"/>
              </w:rPr>
              <w:t>仓库</w:t>
            </w:r>
          </w:p>
        </w:tc>
        <w:tc>
          <w:tcPr>
            <w:tcW w:w="2450" w:type="dxa"/>
            <w:vAlign w:val="center"/>
          </w:tcPr>
          <w:p>
            <w:pPr>
              <w:spacing w:line="240" w:lineRule="auto"/>
              <w:ind w:firstLine="0" w:firstLineChars="0"/>
              <w:jc w:val="center"/>
              <w:rPr>
                <w:rFonts w:ascii="宋体" w:hAnsi="宋体" w:cs="宋体"/>
                <w:sz w:val="21"/>
                <w:szCs w:val="21"/>
              </w:rPr>
            </w:pPr>
            <w:r>
              <w:rPr>
                <w:rFonts w:ascii="宋体" w:hAnsi="宋体" w:cs="宋体"/>
                <w:sz w:val="21"/>
                <w:szCs w:val="21"/>
              </w:rPr>
              <w:t>手提式磷酸铵盐灭火器</w:t>
            </w:r>
          </w:p>
        </w:tc>
        <w:tc>
          <w:tcPr>
            <w:tcW w:w="1865" w:type="dxa"/>
            <w:vAlign w:val="center"/>
          </w:tcPr>
          <w:p>
            <w:pPr>
              <w:spacing w:line="240" w:lineRule="auto"/>
              <w:ind w:firstLine="0" w:firstLineChars="0"/>
              <w:jc w:val="center"/>
              <w:rPr>
                <w:rFonts w:ascii="宋体" w:hAnsi="宋体" w:cs="宋体"/>
                <w:sz w:val="21"/>
                <w:szCs w:val="21"/>
              </w:rPr>
            </w:pPr>
            <w:r>
              <w:rPr>
                <w:rFonts w:ascii="宋体" w:hAnsi="宋体" w:cs="宋体"/>
                <w:sz w:val="21"/>
                <w:szCs w:val="21"/>
              </w:rPr>
              <w:t>MFZ/ABC4</w:t>
            </w:r>
          </w:p>
        </w:tc>
        <w:tc>
          <w:tcPr>
            <w:tcW w:w="852" w:type="dxa"/>
            <w:vAlign w:val="center"/>
          </w:tcPr>
          <w:p>
            <w:pPr>
              <w:spacing w:line="240" w:lineRule="auto"/>
              <w:ind w:firstLine="0" w:firstLineChars="0"/>
              <w:jc w:val="center"/>
              <w:rPr>
                <w:rFonts w:ascii="宋体" w:hAnsi="宋体" w:cs="宋体"/>
                <w:sz w:val="21"/>
                <w:szCs w:val="21"/>
              </w:rPr>
            </w:pPr>
            <w:r>
              <w:rPr>
                <w:rFonts w:ascii="宋体" w:hAnsi="宋体" w:cs="宋体"/>
                <w:sz w:val="21"/>
                <w:szCs w:val="21"/>
              </w:rPr>
              <w:t>具</w:t>
            </w:r>
          </w:p>
        </w:tc>
        <w:tc>
          <w:tcPr>
            <w:tcW w:w="764" w:type="dxa"/>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14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51" w:type="dxa"/>
            <w:vMerge w:val="continue"/>
            <w:vAlign w:val="center"/>
          </w:tcPr>
          <w:p>
            <w:pPr>
              <w:spacing w:line="240" w:lineRule="auto"/>
              <w:ind w:firstLine="0" w:firstLineChars="0"/>
              <w:jc w:val="center"/>
              <w:rPr>
                <w:rFonts w:ascii="宋体" w:hAnsi="宋体" w:cs="宋体"/>
                <w:sz w:val="21"/>
                <w:szCs w:val="21"/>
              </w:rPr>
            </w:pPr>
          </w:p>
        </w:tc>
        <w:tc>
          <w:tcPr>
            <w:tcW w:w="1395" w:type="dxa"/>
            <w:vMerge w:val="continue"/>
            <w:vAlign w:val="center"/>
          </w:tcPr>
          <w:p>
            <w:pPr>
              <w:spacing w:line="240" w:lineRule="auto"/>
              <w:ind w:firstLine="0" w:firstLineChars="0"/>
              <w:jc w:val="center"/>
              <w:rPr>
                <w:rFonts w:ascii="宋体" w:hAnsi="宋体" w:cs="宋体"/>
                <w:sz w:val="21"/>
                <w:szCs w:val="21"/>
              </w:rPr>
            </w:pPr>
          </w:p>
        </w:tc>
        <w:tc>
          <w:tcPr>
            <w:tcW w:w="2450" w:type="dxa"/>
            <w:vAlign w:val="center"/>
          </w:tcPr>
          <w:p>
            <w:pPr>
              <w:spacing w:line="240" w:lineRule="auto"/>
              <w:ind w:firstLine="0" w:firstLineChars="0"/>
              <w:jc w:val="center"/>
              <w:rPr>
                <w:rFonts w:ascii="宋体" w:hAnsi="宋体" w:cs="宋体"/>
                <w:sz w:val="21"/>
                <w:szCs w:val="21"/>
              </w:rPr>
            </w:pPr>
            <w:r>
              <w:rPr>
                <w:rFonts w:ascii="宋体" w:hAnsi="宋体" w:cs="宋体"/>
                <w:sz w:val="21"/>
                <w:szCs w:val="21"/>
              </w:rPr>
              <w:t>室内消火栓</w:t>
            </w:r>
          </w:p>
        </w:tc>
        <w:tc>
          <w:tcPr>
            <w:tcW w:w="1865" w:type="dxa"/>
            <w:vAlign w:val="center"/>
          </w:tcPr>
          <w:p>
            <w:pPr>
              <w:spacing w:line="240" w:lineRule="auto"/>
              <w:ind w:firstLine="0" w:firstLineChars="0"/>
              <w:jc w:val="center"/>
              <w:rPr>
                <w:rFonts w:ascii="宋体" w:hAnsi="宋体" w:cs="宋体"/>
                <w:sz w:val="21"/>
                <w:szCs w:val="21"/>
              </w:rPr>
            </w:pPr>
            <w:r>
              <w:rPr>
                <w:rFonts w:ascii="宋体" w:hAnsi="宋体" w:cs="宋体"/>
                <w:sz w:val="21"/>
                <w:szCs w:val="21"/>
              </w:rPr>
              <w:t>SN65</w:t>
            </w:r>
          </w:p>
        </w:tc>
        <w:tc>
          <w:tcPr>
            <w:tcW w:w="852" w:type="dxa"/>
            <w:vAlign w:val="center"/>
          </w:tcPr>
          <w:p>
            <w:pPr>
              <w:spacing w:line="240" w:lineRule="auto"/>
              <w:ind w:firstLine="0" w:firstLineChars="0"/>
              <w:jc w:val="center"/>
              <w:rPr>
                <w:rFonts w:ascii="宋体" w:hAnsi="宋体" w:cs="宋体"/>
                <w:sz w:val="21"/>
                <w:szCs w:val="21"/>
              </w:rPr>
            </w:pPr>
            <w:r>
              <w:rPr>
                <w:rFonts w:ascii="宋体" w:hAnsi="宋体" w:cs="宋体"/>
                <w:sz w:val="21"/>
                <w:szCs w:val="21"/>
              </w:rPr>
              <w:t>个</w:t>
            </w:r>
          </w:p>
        </w:tc>
        <w:tc>
          <w:tcPr>
            <w:tcW w:w="764" w:type="dxa"/>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51" w:type="dxa"/>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6</w:t>
            </w:r>
          </w:p>
        </w:tc>
        <w:tc>
          <w:tcPr>
            <w:tcW w:w="1395" w:type="dxa"/>
            <w:vAlign w:val="center"/>
          </w:tcPr>
          <w:p>
            <w:pPr>
              <w:widowControl/>
              <w:spacing w:line="240" w:lineRule="auto"/>
              <w:ind w:firstLine="0" w:firstLineChars="0"/>
              <w:jc w:val="center"/>
              <w:rPr>
                <w:rFonts w:ascii="宋体" w:hAnsi="宋体" w:cs="宋体"/>
                <w:sz w:val="21"/>
                <w:szCs w:val="21"/>
              </w:rPr>
            </w:pPr>
            <w:r>
              <w:rPr>
                <w:rFonts w:hint="eastAsia" w:cs="Times New Roman"/>
                <w:sz w:val="21"/>
                <w:szCs w:val="20"/>
              </w:rPr>
              <w:t>办公楼</w:t>
            </w:r>
          </w:p>
        </w:tc>
        <w:tc>
          <w:tcPr>
            <w:tcW w:w="2450" w:type="dxa"/>
            <w:vAlign w:val="center"/>
          </w:tcPr>
          <w:p>
            <w:pPr>
              <w:spacing w:line="240" w:lineRule="auto"/>
              <w:ind w:firstLine="0" w:firstLineChars="0"/>
              <w:jc w:val="center"/>
              <w:rPr>
                <w:rFonts w:ascii="宋体" w:hAnsi="宋体" w:cs="宋体"/>
                <w:sz w:val="21"/>
                <w:szCs w:val="21"/>
              </w:rPr>
            </w:pPr>
            <w:r>
              <w:rPr>
                <w:rFonts w:ascii="宋体" w:hAnsi="宋体" w:cs="宋体"/>
                <w:sz w:val="21"/>
                <w:szCs w:val="21"/>
              </w:rPr>
              <w:t>手提式磷酸铵盐灭火器</w:t>
            </w:r>
          </w:p>
        </w:tc>
        <w:tc>
          <w:tcPr>
            <w:tcW w:w="1865" w:type="dxa"/>
            <w:vAlign w:val="center"/>
          </w:tcPr>
          <w:p>
            <w:pPr>
              <w:spacing w:line="240" w:lineRule="auto"/>
              <w:ind w:firstLine="0" w:firstLineChars="0"/>
              <w:jc w:val="center"/>
              <w:rPr>
                <w:rFonts w:ascii="宋体" w:hAnsi="宋体" w:cs="宋体"/>
                <w:sz w:val="21"/>
                <w:szCs w:val="21"/>
              </w:rPr>
            </w:pPr>
            <w:r>
              <w:rPr>
                <w:rFonts w:ascii="宋体" w:hAnsi="宋体" w:cs="宋体"/>
                <w:sz w:val="21"/>
                <w:szCs w:val="21"/>
              </w:rPr>
              <w:t>MFZ/ABC4</w:t>
            </w:r>
          </w:p>
        </w:tc>
        <w:tc>
          <w:tcPr>
            <w:tcW w:w="852" w:type="dxa"/>
            <w:vAlign w:val="center"/>
          </w:tcPr>
          <w:p>
            <w:pPr>
              <w:spacing w:line="240" w:lineRule="auto"/>
              <w:ind w:firstLine="0" w:firstLineChars="0"/>
              <w:jc w:val="center"/>
              <w:rPr>
                <w:rFonts w:ascii="宋体" w:hAnsi="宋体" w:cs="宋体"/>
                <w:sz w:val="21"/>
                <w:szCs w:val="21"/>
              </w:rPr>
            </w:pPr>
            <w:r>
              <w:rPr>
                <w:rFonts w:ascii="宋体" w:hAnsi="宋体" w:cs="宋体"/>
                <w:sz w:val="21"/>
                <w:szCs w:val="21"/>
              </w:rPr>
              <w:t>具</w:t>
            </w:r>
          </w:p>
        </w:tc>
        <w:tc>
          <w:tcPr>
            <w:tcW w:w="764" w:type="dxa"/>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51" w:type="dxa"/>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7</w:t>
            </w:r>
          </w:p>
        </w:tc>
        <w:tc>
          <w:tcPr>
            <w:tcW w:w="1395" w:type="dxa"/>
            <w:vAlign w:val="center"/>
          </w:tcPr>
          <w:p>
            <w:pPr>
              <w:widowControl/>
              <w:spacing w:line="240" w:lineRule="auto"/>
              <w:ind w:firstLine="0" w:firstLineChars="0"/>
              <w:jc w:val="center"/>
              <w:rPr>
                <w:rFonts w:ascii="宋体" w:hAnsi="宋体" w:cs="宋体"/>
                <w:sz w:val="21"/>
                <w:szCs w:val="21"/>
              </w:rPr>
            </w:pPr>
            <w:r>
              <w:rPr>
                <w:rFonts w:hint="eastAsia" w:cs="Times New Roman"/>
                <w:sz w:val="21"/>
                <w:szCs w:val="20"/>
              </w:rPr>
              <w:t>门卫</w:t>
            </w:r>
          </w:p>
        </w:tc>
        <w:tc>
          <w:tcPr>
            <w:tcW w:w="2450" w:type="dxa"/>
            <w:vAlign w:val="center"/>
          </w:tcPr>
          <w:p>
            <w:pPr>
              <w:spacing w:line="240" w:lineRule="auto"/>
              <w:ind w:firstLine="0" w:firstLineChars="0"/>
              <w:jc w:val="center"/>
              <w:rPr>
                <w:rFonts w:ascii="宋体" w:hAnsi="宋体" w:cs="宋体"/>
                <w:sz w:val="21"/>
                <w:szCs w:val="21"/>
              </w:rPr>
            </w:pPr>
            <w:r>
              <w:rPr>
                <w:rFonts w:ascii="宋体" w:hAnsi="宋体" w:cs="宋体"/>
                <w:sz w:val="21"/>
                <w:szCs w:val="21"/>
              </w:rPr>
              <w:t>手提式磷酸铵盐灭火器</w:t>
            </w:r>
          </w:p>
        </w:tc>
        <w:tc>
          <w:tcPr>
            <w:tcW w:w="1865" w:type="dxa"/>
            <w:vAlign w:val="center"/>
          </w:tcPr>
          <w:p>
            <w:pPr>
              <w:spacing w:line="240" w:lineRule="auto"/>
              <w:ind w:firstLine="0" w:firstLineChars="0"/>
              <w:jc w:val="center"/>
              <w:rPr>
                <w:rFonts w:ascii="宋体" w:hAnsi="宋体" w:cs="宋体"/>
                <w:sz w:val="21"/>
                <w:szCs w:val="21"/>
              </w:rPr>
            </w:pPr>
            <w:r>
              <w:rPr>
                <w:rFonts w:ascii="宋体" w:hAnsi="宋体" w:cs="宋体"/>
                <w:sz w:val="21"/>
                <w:szCs w:val="21"/>
              </w:rPr>
              <w:t>MFZ/ABC4</w:t>
            </w:r>
          </w:p>
        </w:tc>
        <w:tc>
          <w:tcPr>
            <w:tcW w:w="852" w:type="dxa"/>
            <w:vAlign w:val="center"/>
          </w:tcPr>
          <w:p>
            <w:pPr>
              <w:spacing w:line="240" w:lineRule="auto"/>
              <w:ind w:firstLine="0" w:firstLineChars="0"/>
              <w:jc w:val="center"/>
              <w:rPr>
                <w:rFonts w:ascii="宋体" w:hAnsi="宋体" w:cs="宋体"/>
                <w:sz w:val="21"/>
                <w:szCs w:val="21"/>
              </w:rPr>
            </w:pPr>
            <w:r>
              <w:rPr>
                <w:rFonts w:ascii="宋体" w:hAnsi="宋体" w:cs="宋体"/>
                <w:sz w:val="21"/>
                <w:szCs w:val="21"/>
              </w:rPr>
              <w:t>具</w:t>
            </w:r>
          </w:p>
        </w:tc>
        <w:tc>
          <w:tcPr>
            <w:tcW w:w="764" w:type="dxa"/>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51" w:type="dxa"/>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8</w:t>
            </w:r>
          </w:p>
        </w:tc>
        <w:tc>
          <w:tcPr>
            <w:tcW w:w="1395" w:type="dxa"/>
            <w:vAlign w:val="center"/>
          </w:tcPr>
          <w:p>
            <w:pPr>
              <w:widowControl/>
              <w:spacing w:line="240" w:lineRule="auto"/>
              <w:ind w:firstLine="0" w:firstLineChars="0"/>
              <w:jc w:val="center"/>
              <w:rPr>
                <w:rFonts w:cs="Times New Roman"/>
                <w:sz w:val="21"/>
                <w:szCs w:val="20"/>
              </w:rPr>
            </w:pPr>
            <w:r>
              <w:rPr>
                <w:rFonts w:hint="eastAsia" w:cs="Times New Roman"/>
                <w:sz w:val="21"/>
                <w:szCs w:val="20"/>
              </w:rPr>
              <w:t>厂区</w:t>
            </w:r>
          </w:p>
        </w:tc>
        <w:tc>
          <w:tcPr>
            <w:tcW w:w="2450" w:type="dxa"/>
            <w:vAlign w:val="center"/>
          </w:tcPr>
          <w:p>
            <w:pPr>
              <w:spacing w:line="240" w:lineRule="auto"/>
              <w:ind w:firstLine="0" w:firstLineChars="0"/>
              <w:jc w:val="center"/>
              <w:rPr>
                <w:rFonts w:ascii="宋体" w:hAnsi="宋体" w:cs="宋体"/>
                <w:sz w:val="21"/>
                <w:szCs w:val="21"/>
              </w:rPr>
            </w:pPr>
            <w:r>
              <w:rPr>
                <w:rFonts w:ascii="宋体" w:hAnsi="宋体" w:cs="宋体"/>
                <w:sz w:val="21"/>
                <w:szCs w:val="21"/>
              </w:rPr>
              <w:t>室外消火栓</w:t>
            </w:r>
          </w:p>
        </w:tc>
        <w:tc>
          <w:tcPr>
            <w:tcW w:w="1865" w:type="dxa"/>
            <w:vAlign w:val="center"/>
          </w:tcPr>
          <w:p>
            <w:pPr>
              <w:spacing w:line="240" w:lineRule="auto"/>
              <w:ind w:firstLine="0" w:firstLineChars="0"/>
              <w:jc w:val="center"/>
              <w:rPr>
                <w:rFonts w:ascii="宋体" w:hAnsi="宋体" w:cs="宋体"/>
                <w:sz w:val="21"/>
                <w:szCs w:val="21"/>
              </w:rPr>
            </w:pPr>
            <w:r>
              <w:rPr>
                <w:rFonts w:ascii="宋体" w:hAnsi="宋体" w:cs="宋体"/>
                <w:sz w:val="21"/>
                <w:szCs w:val="21"/>
              </w:rPr>
              <w:t>SS100/65-1.0</w:t>
            </w:r>
          </w:p>
        </w:tc>
        <w:tc>
          <w:tcPr>
            <w:tcW w:w="852" w:type="dxa"/>
            <w:vAlign w:val="center"/>
          </w:tcPr>
          <w:p>
            <w:pPr>
              <w:spacing w:line="240" w:lineRule="auto"/>
              <w:ind w:firstLine="0" w:firstLineChars="0"/>
              <w:jc w:val="center"/>
              <w:rPr>
                <w:rFonts w:ascii="宋体" w:hAnsi="宋体" w:cs="宋体"/>
                <w:sz w:val="21"/>
                <w:szCs w:val="21"/>
              </w:rPr>
            </w:pPr>
            <w:r>
              <w:rPr>
                <w:rFonts w:ascii="宋体" w:hAnsi="宋体" w:cs="宋体"/>
                <w:sz w:val="21"/>
                <w:szCs w:val="21"/>
              </w:rPr>
              <w:t>个</w:t>
            </w:r>
          </w:p>
        </w:tc>
        <w:tc>
          <w:tcPr>
            <w:tcW w:w="764" w:type="dxa"/>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3</w:t>
            </w:r>
          </w:p>
        </w:tc>
      </w:tr>
      <w:bookmarkEnd w:id="83"/>
      <w:bookmarkEnd w:id="84"/>
      <w:bookmarkEnd w:id="85"/>
      <w:bookmarkEnd w:id="86"/>
    </w:tbl>
    <w:p>
      <w:pPr>
        <w:numPr>
          <w:ilvl w:val="0"/>
          <w:numId w:val="24"/>
        </w:numPr>
        <w:ind w:firstLine="560"/>
      </w:pPr>
      <w:bookmarkStart w:id="87" w:name="_Toc24868"/>
      <w:bookmarkStart w:id="88" w:name="_Toc32622"/>
      <w:bookmarkStart w:id="89" w:name="_Toc5417"/>
      <w:bookmarkStart w:id="90" w:name="_Toc18960"/>
      <w:bookmarkStart w:id="91" w:name="_Toc4429"/>
      <w:bookmarkStart w:id="92" w:name="_Toc1900"/>
      <w:r>
        <w:rPr>
          <w:rFonts w:hint="eastAsia"/>
        </w:rPr>
        <w:t>建筑防火</w:t>
      </w:r>
    </w:p>
    <w:p>
      <w:pPr>
        <w:numPr>
          <w:ilvl w:val="0"/>
          <w:numId w:val="25"/>
        </w:numPr>
        <w:ind w:left="0" w:firstLine="560"/>
      </w:pPr>
      <w:r>
        <w:rPr>
          <w:rFonts w:hint="eastAsia"/>
        </w:rPr>
        <w:t>耐火等级</w:t>
      </w:r>
    </w:p>
    <w:p>
      <w:pPr>
        <w:ind w:firstLine="560"/>
      </w:pPr>
      <w:r>
        <w:rPr>
          <w:rFonts w:hint="eastAsia"/>
        </w:rPr>
        <w:t>项目所有建筑物的平面布置、结构及材料选用均按《建筑设计防火规范（2018年版）》（GB50016-2014）进行设计，本项目各建构筑物耐火等级均为二级。</w:t>
      </w:r>
    </w:p>
    <w:p>
      <w:pPr>
        <w:numPr>
          <w:ilvl w:val="0"/>
          <w:numId w:val="25"/>
        </w:numPr>
        <w:ind w:left="0" w:firstLine="560"/>
      </w:pPr>
      <w:r>
        <w:rPr>
          <w:rFonts w:hint="eastAsia"/>
        </w:rPr>
        <w:t>安全疏散</w:t>
      </w:r>
    </w:p>
    <w:p>
      <w:pPr>
        <w:numPr>
          <w:ilvl w:val="0"/>
          <w:numId w:val="26"/>
        </w:numPr>
        <w:wordWrap w:val="0"/>
        <w:ind w:firstLine="560"/>
      </w:pPr>
      <w:r>
        <w:rPr>
          <w:rFonts w:hint="eastAsia"/>
        </w:rPr>
        <w:t>办公楼占地面积为69.75m</w:t>
      </w:r>
      <w:r>
        <w:rPr>
          <w:rFonts w:hint="eastAsia"/>
          <w:vertAlign w:val="superscript"/>
        </w:rPr>
        <w:t>2</w:t>
      </w:r>
      <w:r>
        <w:rPr>
          <w:rFonts w:hint="eastAsia"/>
        </w:rPr>
        <w:t>，建筑面积为139.5m</w:t>
      </w:r>
      <w:r>
        <w:rPr>
          <w:rFonts w:hint="eastAsia"/>
          <w:vertAlign w:val="superscript"/>
        </w:rPr>
        <w:t>2</w:t>
      </w:r>
      <w:r>
        <w:rPr>
          <w:rFonts w:hint="eastAsia"/>
        </w:rPr>
        <w:t>，设置2个安全出口，安全出口的设置符合《建筑设计防火规范（2018年版）》（GB50016-2014）第5.5节的要求。</w:t>
      </w:r>
    </w:p>
    <w:p>
      <w:pPr>
        <w:numPr>
          <w:ilvl w:val="0"/>
          <w:numId w:val="26"/>
        </w:numPr>
        <w:wordWrap w:val="0"/>
        <w:ind w:firstLine="560"/>
      </w:pPr>
      <w:r>
        <w:rPr>
          <w:rFonts w:hint="eastAsia"/>
        </w:rPr>
        <w:t>门卫室占地面积为13.5m</w:t>
      </w:r>
      <w:r>
        <w:rPr>
          <w:rFonts w:hint="eastAsia"/>
          <w:vertAlign w:val="superscript"/>
        </w:rPr>
        <w:t>2</w:t>
      </w:r>
      <w:r>
        <w:rPr>
          <w:rFonts w:hint="eastAsia"/>
        </w:rPr>
        <w:t>，设置1个安全出口，疏散楼梯及安全出口的设置符合《建筑设计防火规范（2018年版）》（GB50016-2014）第5.5节的要求。</w:t>
      </w:r>
    </w:p>
    <w:p>
      <w:pPr>
        <w:numPr>
          <w:ilvl w:val="0"/>
          <w:numId w:val="26"/>
        </w:numPr>
        <w:wordWrap w:val="0"/>
        <w:ind w:firstLine="560"/>
      </w:pPr>
      <w:r>
        <w:rPr>
          <w:rFonts w:hint="eastAsia"/>
        </w:rPr>
        <w:t>生产厂房火灾危险性为丁类，耐火等级为二级，安全出口的设置符合《建筑设计防火规范（2018年版）》（GB50016-2014）第3.7节的要求。生产厂房内设有疏散走道，疏散走道净宽度大于等于1.4m，并在用于安全疏散的安全出口、通道等处设有醒目标志。</w:t>
      </w:r>
    </w:p>
    <w:p>
      <w:pPr>
        <w:numPr>
          <w:ilvl w:val="0"/>
          <w:numId w:val="26"/>
        </w:numPr>
        <w:wordWrap w:val="0"/>
        <w:ind w:firstLine="560"/>
      </w:pPr>
      <w:r>
        <w:rPr>
          <w:rFonts w:hint="eastAsia"/>
        </w:rPr>
        <w:t>仓库火灾危险性为丁类，耐火等级为二级，安全出口的设置符合《建筑设计防火规范（2018年版）》（GB50016-2014）第3.7节的要求。</w:t>
      </w:r>
    </w:p>
    <w:p>
      <w:pPr>
        <w:numPr>
          <w:ilvl w:val="0"/>
          <w:numId w:val="25"/>
        </w:numPr>
        <w:ind w:left="0" w:firstLine="560"/>
      </w:pPr>
      <w:r>
        <w:rPr>
          <w:rFonts w:hint="eastAsia"/>
        </w:rPr>
        <w:t>安全标志</w:t>
      </w:r>
    </w:p>
    <w:p>
      <w:pPr>
        <w:ind w:firstLine="560"/>
      </w:pPr>
      <w:r>
        <w:rPr>
          <w:rFonts w:hint="eastAsia"/>
        </w:rPr>
        <w:t>按《消防安全标志》和《消防安全标志设置要求》的规定要求设置消防安全标志牌。</w:t>
      </w:r>
    </w:p>
    <w:p>
      <w:pPr>
        <w:pStyle w:val="7"/>
        <w:spacing w:before="156" w:after="156"/>
      </w:pPr>
      <w:r>
        <w:rPr>
          <w:rFonts w:hint="eastAsia"/>
        </w:rPr>
        <w:t>采暖通风</w:t>
      </w:r>
      <w:bookmarkEnd w:id="87"/>
      <w:bookmarkEnd w:id="88"/>
      <w:bookmarkEnd w:id="89"/>
      <w:bookmarkEnd w:id="90"/>
      <w:bookmarkEnd w:id="91"/>
      <w:bookmarkEnd w:id="92"/>
    </w:p>
    <w:p>
      <w:pPr>
        <w:numPr>
          <w:ilvl w:val="0"/>
          <w:numId w:val="27"/>
        </w:numPr>
        <w:ind w:firstLine="560"/>
      </w:pPr>
      <w:bookmarkStart w:id="93" w:name="_Toc388278052"/>
      <w:r>
        <w:rPr>
          <w:rFonts w:hint="eastAsia"/>
        </w:rPr>
        <w:t>采暖</w:t>
      </w:r>
    </w:p>
    <w:p>
      <w:pPr>
        <w:ind w:firstLine="560"/>
      </w:pPr>
      <w:r>
        <w:rPr>
          <w:rFonts w:hint="eastAsia"/>
        </w:rPr>
        <w:t>根据本项目所在地区气候情况，结合本项目生产特点，项目不需要设置采暖设施。</w:t>
      </w:r>
    </w:p>
    <w:p>
      <w:pPr>
        <w:numPr>
          <w:ilvl w:val="0"/>
          <w:numId w:val="27"/>
        </w:numPr>
        <w:ind w:firstLine="560"/>
      </w:pPr>
      <w:r>
        <w:rPr>
          <w:rFonts w:hint="eastAsia"/>
        </w:rPr>
        <w:t>通风</w:t>
      </w:r>
    </w:p>
    <w:bookmarkEnd w:id="93"/>
    <w:p>
      <w:pPr>
        <w:ind w:firstLine="560"/>
      </w:pPr>
      <w:r>
        <w:rPr>
          <w:rFonts w:hint="eastAsia"/>
        </w:rPr>
        <w:t>本项目建筑物正常通风采用自然通风，换气次数按6次/h设计。</w:t>
      </w:r>
    </w:p>
    <w:p>
      <w:pPr>
        <w:pStyle w:val="7"/>
        <w:spacing w:before="156" w:after="156"/>
      </w:pPr>
      <w:r>
        <w:rPr>
          <w:rFonts w:hint="eastAsia"/>
        </w:rPr>
        <w:t>检测控制系统</w:t>
      </w:r>
    </w:p>
    <w:p>
      <w:pPr>
        <w:numPr>
          <w:ilvl w:val="0"/>
          <w:numId w:val="28"/>
        </w:numPr>
        <w:ind w:firstLine="560"/>
      </w:pPr>
      <w:r>
        <w:rPr>
          <w:rFonts w:hint="eastAsia"/>
        </w:rPr>
        <w:t>中频炉设置远传温度计、现场温度计、高温度报警。中频炉冷却水系统设置有气动阀，</w:t>
      </w:r>
      <w:r>
        <w:rPr>
          <w:rFonts w:hint="eastAsia"/>
          <w:lang w:eastAsia="zh-CN"/>
        </w:rPr>
        <w:t>气动阀</w:t>
      </w:r>
      <w:r>
        <w:rPr>
          <w:rFonts w:hint="eastAsia"/>
        </w:rPr>
        <w:t>能实现高、低温度连锁控制，以避免中频炉炉体温度过高。</w:t>
      </w:r>
    </w:p>
    <w:p>
      <w:pPr>
        <w:numPr>
          <w:ilvl w:val="0"/>
          <w:numId w:val="28"/>
        </w:numPr>
        <w:ind w:firstLine="560"/>
      </w:pPr>
      <w:r>
        <w:rPr>
          <w:rFonts w:hint="eastAsia"/>
        </w:rPr>
        <w:t>在喷涂间设置粉尘浓度</w:t>
      </w:r>
      <w:r>
        <w:rPr>
          <w:rFonts w:hint="eastAsia"/>
          <w:lang w:eastAsia="zh-CN"/>
        </w:rPr>
        <w:t>监测</w:t>
      </w:r>
      <w:r>
        <w:rPr>
          <w:rFonts w:hint="eastAsia"/>
        </w:rPr>
        <w:t>报警系统。</w:t>
      </w:r>
    </w:p>
    <w:p>
      <w:pPr>
        <w:pStyle w:val="7"/>
        <w:spacing w:before="156" w:after="156"/>
      </w:pPr>
      <w:r>
        <w:rPr>
          <w:rFonts w:hint="eastAsia"/>
        </w:rPr>
        <w:t>视频监控系统</w:t>
      </w:r>
    </w:p>
    <w:p>
      <w:pPr>
        <w:ind w:firstLine="560"/>
      </w:pPr>
      <w:r>
        <w:rPr>
          <w:rFonts w:hint="eastAsia"/>
        </w:rPr>
        <w:t>本项目厂区内设置24小时视频监控系统。</w:t>
      </w:r>
    </w:p>
    <w:p>
      <w:pPr>
        <w:ind w:firstLine="560"/>
      </w:pPr>
      <w:r>
        <w:rPr>
          <w:rFonts w:hint="eastAsia"/>
        </w:rPr>
        <w:t>视频监控系统是由摄像、传输、控制、显示、记录登记5大部分组成。摄像机通过同轴视频电缆将视频图像传输到控制主机，控制主机再将视频信号分配到各监视器及录像设备，同时可将需要传输的语音信号同步录入到录像机内。通过控制主机，操作人员可发出指令，对云台的上、下、左、右的动作进行控制及对镜头进行调焦变倍的操作，并可通过控制主机实现在多台摄像机及云台之间的切换。本项目采用全天候视频监控系统，厂区内共设置5台摄像机。摄像机具备低照度监视功能，不低于130万像素，硬盘录像机录像存储时间不少于45天。</w:t>
      </w:r>
    </w:p>
    <w:p>
      <w:pPr>
        <w:pStyle w:val="6"/>
        <w:spacing w:before="156" w:after="156"/>
      </w:pPr>
      <w:bookmarkStart w:id="94" w:name="_Toc76119855"/>
      <w:bookmarkStart w:id="95" w:name="_Toc10513"/>
      <w:r>
        <w:rPr>
          <w:rFonts w:hint="eastAsia"/>
        </w:rPr>
        <w:t>厂内外运输方式</w:t>
      </w:r>
      <w:bookmarkEnd w:id="94"/>
      <w:bookmarkEnd w:id="95"/>
    </w:p>
    <w:p>
      <w:pPr>
        <w:ind w:firstLine="560"/>
      </w:pPr>
      <w:r>
        <w:rPr>
          <w:rFonts w:hint="eastAsia"/>
        </w:rPr>
        <w:t>本项目厂内外运输方式为公路运输。根据项目运行的功能，项目设有1个出入口，宽</w:t>
      </w:r>
      <w:r>
        <w:t>9</w:t>
      </w:r>
      <w:r>
        <w:rPr>
          <w:rFonts w:hint="eastAsia"/>
        </w:rPr>
        <w:t>米，与工业园区道路相连。</w:t>
      </w:r>
    </w:p>
    <w:p>
      <w:pPr>
        <w:ind w:firstLine="560"/>
      </w:pPr>
      <w:r>
        <w:rPr>
          <w:rFonts w:hint="eastAsia"/>
        </w:rPr>
        <w:t>（1）厂外运输</w:t>
      </w:r>
    </w:p>
    <w:p>
      <w:pPr>
        <w:ind w:firstLine="560"/>
      </w:pPr>
      <w:r>
        <w:rPr>
          <w:rFonts w:hint="eastAsia"/>
        </w:rPr>
        <w:t>厂外以公路运输为主要运输方式，运输对象为原料和产品。</w:t>
      </w:r>
    </w:p>
    <w:p>
      <w:pPr>
        <w:ind w:firstLine="560"/>
      </w:pPr>
      <w:r>
        <w:rPr>
          <w:rFonts w:hint="eastAsia"/>
        </w:rPr>
        <w:t>（2）厂内运输</w:t>
      </w:r>
    </w:p>
    <w:p>
      <w:pPr>
        <w:ind w:firstLine="560"/>
      </w:pPr>
      <w:r>
        <w:rPr>
          <w:rFonts w:hint="eastAsia"/>
        </w:rPr>
        <w:t>厂内运输工具</w:t>
      </w:r>
      <w:r>
        <w:rPr>
          <w:rFonts w:ascii="宋体" w:hAnsi="宋体"/>
        </w:rPr>
        <w:t>采用起重运输设备、叉车及电动平车运输</w:t>
      </w:r>
      <w:r>
        <w:rPr>
          <w:rFonts w:hint="eastAsia"/>
        </w:rPr>
        <w:t>等。原料、成品等按生产路线、工艺流程进行库房与车间、车间与车间、车间内部各工序之间的厂内运输。</w:t>
      </w:r>
    </w:p>
    <w:p>
      <w:pPr>
        <w:pStyle w:val="6"/>
        <w:spacing w:before="156" w:after="156"/>
      </w:pPr>
      <w:bookmarkStart w:id="96" w:name="_Toc30056"/>
      <w:r>
        <w:t>建设项目总投资与主要技术经济指标</w:t>
      </w:r>
      <w:bookmarkEnd w:id="96"/>
    </w:p>
    <w:p>
      <w:pPr>
        <w:ind w:firstLine="560"/>
      </w:pPr>
      <w:r>
        <w:rPr>
          <w:rFonts w:hint="eastAsia" w:ascii="宋体" w:hAnsi="宋体" w:cs="宋体"/>
          <w:szCs w:val="28"/>
        </w:rPr>
        <w:t>本项目建设总投资12487.17万元，年</w:t>
      </w:r>
      <w:r>
        <w:rPr>
          <w:rFonts w:hint="eastAsia" w:ascii="宋体" w:hAnsi="宋体"/>
          <w:szCs w:val="28"/>
        </w:rPr>
        <w:t>生产各式配件12030.0吨。</w:t>
      </w:r>
    </w:p>
    <w:p>
      <w:pPr>
        <w:pStyle w:val="6"/>
        <w:spacing w:before="156" w:after="156"/>
      </w:pPr>
      <w:bookmarkStart w:id="97" w:name="_Toc21679"/>
      <w:r>
        <w:rPr>
          <w:rFonts w:hint="eastAsia"/>
        </w:rPr>
        <w:t>安全管理与应急救援</w:t>
      </w:r>
      <w:bookmarkEnd w:id="97"/>
    </w:p>
    <w:p>
      <w:pPr>
        <w:pStyle w:val="7"/>
        <w:spacing w:before="156" w:after="156"/>
      </w:pPr>
      <w:r>
        <w:rPr>
          <w:rFonts w:hint="eastAsia"/>
        </w:rPr>
        <w:t>组织与制度</w:t>
      </w:r>
    </w:p>
    <w:p>
      <w:pPr>
        <w:ind w:firstLine="560"/>
      </w:pPr>
      <w:r>
        <w:rPr>
          <w:rFonts w:hint="eastAsia"/>
        </w:rPr>
        <w:t>公司组织机构如下图：</w:t>
      </w:r>
    </w:p>
    <w:p>
      <w:pPr>
        <w:ind w:firstLine="0" w:firstLineChars="0"/>
        <w:jc w:val="center"/>
      </w:pPr>
      <w:r>
        <w:rPr>
          <w:b/>
          <w:bCs/>
          <w:sz w:val="24"/>
          <w:szCs w:val="21"/>
        </w:rPr>
        <w:drawing>
          <wp:anchor distT="0" distB="0" distL="114935" distR="114935" simplePos="0" relativeHeight="251664384" behindDoc="0" locked="0" layoutInCell="1" allowOverlap="0">
            <wp:simplePos x="0" y="0"/>
            <wp:positionH relativeFrom="column">
              <wp:posOffset>-6350</wp:posOffset>
            </wp:positionH>
            <wp:positionV relativeFrom="paragraph">
              <wp:posOffset>128270</wp:posOffset>
            </wp:positionV>
            <wp:extent cx="5247640" cy="3671570"/>
            <wp:effectExtent l="0" t="0" r="10160" b="1270"/>
            <wp:wrapTopAndBottom/>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29"/>
                    <a:srcRect l="11125" r="13161"/>
                    <a:stretch>
                      <a:fillRect/>
                    </a:stretch>
                  </pic:blipFill>
                  <pic:spPr>
                    <a:xfrm>
                      <a:off x="0" y="0"/>
                      <a:ext cx="5247640" cy="3671570"/>
                    </a:xfrm>
                    <a:prstGeom prst="rect">
                      <a:avLst/>
                    </a:prstGeom>
                    <a:noFill/>
                    <a:ln>
                      <a:noFill/>
                    </a:ln>
                  </pic:spPr>
                </pic:pic>
              </a:graphicData>
            </a:graphic>
          </wp:anchor>
        </w:drawing>
      </w:r>
      <w:r>
        <w:rPr>
          <w:b/>
          <w:bCs/>
          <w:sz w:val="24"/>
          <w:szCs w:val="21"/>
        </w:rPr>
        <w:t xml:space="preserve">图 </w:t>
      </w:r>
      <w:r>
        <w:rPr>
          <w:b/>
          <w:bCs/>
          <w:sz w:val="24"/>
          <w:szCs w:val="21"/>
        </w:rPr>
        <w:fldChar w:fldCharType="begin"/>
      </w:r>
      <w:r>
        <w:rPr>
          <w:b/>
          <w:bCs/>
          <w:sz w:val="24"/>
          <w:szCs w:val="21"/>
        </w:rPr>
        <w:instrText xml:space="preserve"> STYLEREF 2 \s </w:instrText>
      </w:r>
      <w:r>
        <w:rPr>
          <w:b/>
          <w:bCs/>
          <w:sz w:val="24"/>
          <w:szCs w:val="21"/>
        </w:rPr>
        <w:fldChar w:fldCharType="separate"/>
      </w:r>
      <w:r>
        <w:rPr>
          <w:b/>
          <w:bCs/>
          <w:sz w:val="24"/>
          <w:szCs w:val="21"/>
        </w:rPr>
        <w:t>2.3</w:t>
      </w:r>
      <w:r>
        <w:rPr>
          <w:b/>
          <w:bCs/>
          <w:sz w:val="24"/>
          <w:szCs w:val="21"/>
        </w:rPr>
        <w:fldChar w:fldCharType="end"/>
      </w:r>
      <w:r>
        <w:rPr>
          <w:rFonts w:hint="eastAsia"/>
          <w:b/>
          <w:bCs/>
          <w:sz w:val="24"/>
          <w:szCs w:val="21"/>
        </w:rPr>
        <w:t>-</w:t>
      </w:r>
      <w:r>
        <w:rPr>
          <w:b/>
          <w:bCs/>
          <w:sz w:val="24"/>
          <w:szCs w:val="21"/>
        </w:rPr>
        <w:fldChar w:fldCharType="begin"/>
      </w:r>
      <w:r>
        <w:rPr>
          <w:b/>
          <w:bCs/>
          <w:sz w:val="24"/>
          <w:szCs w:val="21"/>
        </w:rPr>
        <w:instrText xml:space="preserve"> SEQ 图 \* ARABIC \s 2 </w:instrText>
      </w:r>
      <w:r>
        <w:rPr>
          <w:b/>
          <w:bCs/>
          <w:sz w:val="24"/>
          <w:szCs w:val="21"/>
        </w:rPr>
        <w:fldChar w:fldCharType="separate"/>
      </w:r>
      <w:r>
        <w:rPr>
          <w:b/>
          <w:bCs/>
          <w:sz w:val="24"/>
          <w:szCs w:val="21"/>
        </w:rPr>
        <w:t>8</w:t>
      </w:r>
      <w:r>
        <w:rPr>
          <w:b/>
          <w:bCs/>
          <w:sz w:val="24"/>
          <w:szCs w:val="21"/>
        </w:rPr>
        <w:fldChar w:fldCharType="end"/>
      </w:r>
      <w:r>
        <w:rPr>
          <w:rFonts w:hint="eastAsia" w:ascii="宋体" w:hAnsi="宋体" w:cs="宋体"/>
          <w:b/>
          <w:bCs/>
          <w:sz w:val="24"/>
          <w:szCs w:val="24"/>
        </w:rPr>
        <w:t>云南大姚祥华工业制造股份公司</w:t>
      </w:r>
      <w:r>
        <w:rPr>
          <w:rFonts w:hint="eastAsia"/>
          <w:b/>
          <w:bCs/>
          <w:sz w:val="24"/>
          <w:szCs w:val="21"/>
        </w:rPr>
        <w:t>组织机构图</w:t>
      </w:r>
    </w:p>
    <w:p>
      <w:pPr>
        <w:ind w:firstLine="560"/>
      </w:pPr>
      <w:r>
        <w:rPr>
          <w:rFonts w:hint="eastAsia"/>
        </w:rPr>
        <w:t>为强有力地执行国家“安全第一，预防为主，综合治理”的安全工作方针，加强公司安全生产管理工作，使公司安全生产管理标准化和规范化。公司下发《关于成立云南大姚祥华工业制造股份公司安全生产工作领导小组的通知》，成立由法人王振洪任组长的安全生产工作管理领导小组。设置专职安全生产管理人员，定期召开安全生产会议，总结安全生产工作的不足，安排下一步工作的计划和管理措施。安全领导小组成员如下：</w:t>
      </w:r>
    </w:p>
    <w:p>
      <w:pPr>
        <w:ind w:firstLine="560"/>
      </w:pPr>
      <w:r>
        <w:rPr>
          <w:rFonts w:hint="eastAsia"/>
        </w:rPr>
        <w:t>组  长：王振洪</w:t>
      </w:r>
    </w:p>
    <w:p>
      <w:pPr>
        <w:ind w:firstLine="560"/>
      </w:pPr>
      <w:r>
        <w:rPr>
          <w:rFonts w:hint="eastAsia"/>
        </w:rPr>
        <w:t>副组长：杨猛</w:t>
      </w:r>
    </w:p>
    <w:p>
      <w:pPr>
        <w:ind w:firstLine="560"/>
      </w:pPr>
      <w:r>
        <w:rPr>
          <w:rFonts w:hint="eastAsia"/>
        </w:rPr>
        <w:t>小组成员：普文超、郑国富、夏文明、姚福明。</w:t>
      </w:r>
    </w:p>
    <w:p>
      <w:pPr>
        <w:ind w:firstLine="560"/>
      </w:pPr>
      <w:r>
        <w:rPr>
          <w:rFonts w:hint="eastAsia"/>
        </w:rPr>
        <w:t>领导小组下设工作小组，具体负责具体工作。</w:t>
      </w:r>
    </w:p>
    <w:p>
      <w:pPr>
        <w:ind w:firstLine="560"/>
      </w:pPr>
      <w:r>
        <w:rPr>
          <w:rFonts w:hint="eastAsia"/>
        </w:rPr>
        <w:t>组  长：普文超</w:t>
      </w:r>
    </w:p>
    <w:p>
      <w:pPr>
        <w:ind w:firstLine="560"/>
      </w:pPr>
      <w:r>
        <w:rPr>
          <w:rFonts w:hint="eastAsia"/>
        </w:rPr>
        <w:t>副组长：郑国富、姚福明、谢萍</w:t>
      </w:r>
    </w:p>
    <w:p>
      <w:pPr>
        <w:pStyle w:val="2"/>
        <w:ind w:firstLine="560"/>
      </w:pPr>
      <w:r>
        <w:rPr>
          <w:rFonts w:hint="eastAsia"/>
        </w:rPr>
        <w:t>小组成员：梁利平、郑国荣、王思义、唐春奇、龚汉明、李雪松、姜桂芹、赵桂忠。</w:t>
      </w:r>
    </w:p>
    <w:p>
      <w:pPr>
        <w:pStyle w:val="7"/>
        <w:spacing w:before="156" w:after="156"/>
      </w:pPr>
      <w:bookmarkStart w:id="98" w:name="_Toc498299389"/>
      <w:bookmarkStart w:id="99" w:name="_Toc500007195"/>
      <w:bookmarkStart w:id="100" w:name="_Toc498519859"/>
      <w:r>
        <w:t>制度</w:t>
      </w:r>
      <w:bookmarkEnd w:id="98"/>
      <w:bookmarkEnd w:id="99"/>
      <w:bookmarkEnd w:id="100"/>
      <w:r>
        <w:rPr>
          <w:rFonts w:hint="eastAsia"/>
        </w:rPr>
        <w:t>情况</w:t>
      </w:r>
    </w:p>
    <w:p>
      <w:pPr>
        <w:pStyle w:val="20"/>
        <w:ind w:firstLine="560"/>
      </w:pPr>
      <w:r>
        <w:rPr>
          <w:rFonts w:hint="eastAsia"/>
        </w:rPr>
        <w:t>企业制定和建立了以安全生产责任制、安全生产规章制度和岗位安全操作规程为主要内容的安全生产管理制度。明确企业各级领导、各个部门、各类人员在各自职责范围内的安全责任。真正做到“横向到边，纵向到底，不留死角”，形成全员、全面、全过程安全管理的完整制度体系。同时要根据企业的实际，制定具体且操作性强的规章制度和岗位安全操作规程。</w:t>
      </w:r>
    </w:p>
    <w:p>
      <w:pPr>
        <w:spacing w:line="360" w:lineRule="auto"/>
        <w:ind w:firstLine="482"/>
        <w:jc w:val="center"/>
        <w:rPr>
          <w:rFonts w:ascii="宋体" w:hAnsi="宋体" w:cs="宋体"/>
          <w:b/>
          <w:sz w:val="24"/>
          <w:szCs w:val="24"/>
        </w:rPr>
      </w:pPr>
      <w:r>
        <w:rPr>
          <w:rFonts w:hint="eastAsia" w:ascii="宋体" w:hAnsi="宋体" w:cs="宋体"/>
          <w:b/>
          <w:sz w:val="24"/>
          <w:szCs w:val="24"/>
        </w:rPr>
        <w:t xml:space="preserve">表 </w:t>
      </w:r>
      <w:r>
        <w:rPr>
          <w:rFonts w:hint="eastAsia" w:ascii="宋体" w:hAnsi="宋体" w:cs="宋体"/>
          <w:b/>
          <w:sz w:val="24"/>
          <w:szCs w:val="24"/>
        </w:rPr>
        <w:fldChar w:fldCharType="begin"/>
      </w:r>
      <w:r>
        <w:rPr>
          <w:rFonts w:hint="eastAsia" w:ascii="宋体" w:hAnsi="宋体" w:cs="宋体"/>
          <w:b/>
          <w:sz w:val="24"/>
          <w:szCs w:val="24"/>
        </w:rPr>
        <w:instrText xml:space="preserve"> STYLEREF 2 \s </w:instrText>
      </w:r>
      <w:r>
        <w:rPr>
          <w:rFonts w:hint="eastAsia" w:ascii="宋体" w:hAnsi="宋体" w:cs="宋体"/>
          <w:b/>
          <w:sz w:val="24"/>
          <w:szCs w:val="24"/>
        </w:rPr>
        <w:fldChar w:fldCharType="separate"/>
      </w:r>
      <w:r>
        <w:rPr>
          <w:rFonts w:hint="eastAsia" w:ascii="宋体" w:hAnsi="宋体" w:cs="宋体"/>
          <w:b/>
          <w:sz w:val="24"/>
          <w:szCs w:val="24"/>
        </w:rPr>
        <w:t>2.3</w:t>
      </w:r>
      <w:r>
        <w:rPr>
          <w:rFonts w:hint="eastAsia" w:ascii="宋体" w:hAnsi="宋体" w:cs="宋体"/>
          <w:b/>
          <w:sz w:val="24"/>
          <w:szCs w:val="24"/>
        </w:rPr>
        <w:fldChar w:fldCharType="end"/>
      </w:r>
      <w:r>
        <w:rPr>
          <w:rFonts w:hint="eastAsia" w:ascii="宋体" w:hAnsi="宋体" w:cs="宋体"/>
          <w:b/>
          <w:sz w:val="24"/>
          <w:szCs w:val="24"/>
        </w:rPr>
        <w:t>-</w:t>
      </w:r>
      <w:r>
        <w:rPr>
          <w:rFonts w:hint="eastAsia" w:ascii="宋体" w:hAnsi="宋体" w:cs="宋体"/>
          <w:b/>
          <w:sz w:val="24"/>
          <w:szCs w:val="24"/>
        </w:rPr>
        <w:fldChar w:fldCharType="begin"/>
      </w:r>
      <w:r>
        <w:rPr>
          <w:rFonts w:hint="eastAsia" w:ascii="宋体" w:hAnsi="宋体" w:cs="宋体"/>
          <w:b/>
          <w:sz w:val="24"/>
          <w:szCs w:val="24"/>
        </w:rPr>
        <w:instrText xml:space="preserve"> SEQ 表 \* ARABIC \s 2 </w:instrText>
      </w:r>
      <w:r>
        <w:rPr>
          <w:rFonts w:hint="eastAsia" w:ascii="宋体" w:hAnsi="宋体" w:cs="宋体"/>
          <w:b/>
          <w:sz w:val="24"/>
          <w:szCs w:val="24"/>
        </w:rPr>
        <w:fldChar w:fldCharType="separate"/>
      </w:r>
      <w:r>
        <w:rPr>
          <w:rFonts w:hint="eastAsia" w:ascii="宋体" w:hAnsi="宋体" w:cs="宋体"/>
          <w:b/>
          <w:sz w:val="24"/>
          <w:szCs w:val="24"/>
        </w:rPr>
        <w:t>12</w:t>
      </w:r>
      <w:r>
        <w:rPr>
          <w:rFonts w:hint="eastAsia" w:ascii="宋体" w:hAnsi="宋体" w:cs="宋体"/>
          <w:b/>
          <w:sz w:val="24"/>
          <w:szCs w:val="24"/>
        </w:rPr>
        <w:fldChar w:fldCharType="end"/>
      </w:r>
      <w:r>
        <w:rPr>
          <w:rFonts w:hint="eastAsia" w:ascii="宋体" w:hAnsi="宋体" w:cs="宋体"/>
          <w:b/>
          <w:sz w:val="24"/>
          <w:szCs w:val="24"/>
        </w:rPr>
        <w:t>企业安全生产管理制度</w:t>
      </w:r>
    </w:p>
    <w:tbl>
      <w:tblPr>
        <w:tblStyle w:val="29"/>
        <w:tblW w:w="4998"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372"/>
        <w:gridCol w:w="745"/>
        <w:gridCol w:w="640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exact"/>
          <w:tblHeader/>
          <w:jc w:val="center"/>
        </w:trPr>
        <w:tc>
          <w:tcPr>
            <w:tcW w:w="805" w:type="pct"/>
            <w:vAlign w:val="center"/>
          </w:tcPr>
          <w:p>
            <w:pPr>
              <w:spacing w:line="240" w:lineRule="auto"/>
              <w:ind w:firstLine="0" w:firstLineChars="0"/>
              <w:jc w:val="center"/>
              <w:rPr>
                <w:rFonts w:ascii="宋体" w:hAnsi="宋体" w:cs="宋体"/>
                <w:sz w:val="24"/>
                <w:szCs w:val="24"/>
              </w:rPr>
            </w:pPr>
            <w:r>
              <w:rPr>
                <w:rFonts w:hint="eastAsia" w:ascii="宋体" w:hAnsi="宋体" w:cs="宋体"/>
                <w:sz w:val="24"/>
                <w:szCs w:val="24"/>
              </w:rPr>
              <w:t>类别</w:t>
            </w:r>
          </w:p>
        </w:tc>
        <w:tc>
          <w:tcPr>
            <w:tcW w:w="437" w:type="pct"/>
            <w:vAlign w:val="center"/>
          </w:tcPr>
          <w:p>
            <w:pPr>
              <w:spacing w:line="240" w:lineRule="auto"/>
              <w:ind w:firstLine="0" w:firstLineChars="0"/>
              <w:jc w:val="center"/>
              <w:rPr>
                <w:rFonts w:ascii="宋体" w:hAnsi="宋体" w:cs="宋体"/>
                <w:sz w:val="24"/>
                <w:szCs w:val="24"/>
              </w:rPr>
            </w:pPr>
            <w:r>
              <w:rPr>
                <w:rFonts w:hint="eastAsia" w:ascii="宋体" w:hAnsi="宋体" w:cs="宋体"/>
                <w:sz w:val="24"/>
                <w:szCs w:val="24"/>
              </w:rPr>
              <w:t>序号</w:t>
            </w:r>
          </w:p>
        </w:tc>
        <w:tc>
          <w:tcPr>
            <w:tcW w:w="3756" w:type="pct"/>
            <w:vAlign w:val="center"/>
          </w:tcPr>
          <w:p>
            <w:pPr>
              <w:spacing w:line="240" w:lineRule="auto"/>
              <w:ind w:firstLine="0" w:firstLineChars="0"/>
              <w:jc w:val="center"/>
              <w:rPr>
                <w:rFonts w:ascii="宋体" w:hAnsi="宋体" w:cs="宋体"/>
                <w:sz w:val="24"/>
                <w:szCs w:val="24"/>
              </w:rPr>
            </w:pPr>
            <w:r>
              <w:rPr>
                <w:rFonts w:hint="eastAsia" w:ascii="宋体" w:hAnsi="宋体" w:cs="宋体"/>
                <w:sz w:val="24"/>
                <w:szCs w:val="24"/>
              </w:rPr>
              <w:t>名  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exact"/>
          <w:tblHeader/>
          <w:jc w:val="center"/>
        </w:trPr>
        <w:tc>
          <w:tcPr>
            <w:tcW w:w="805" w:type="pct"/>
            <w:vMerge w:val="restart"/>
            <w:vAlign w:val="center"/>
          </w:tcPr>
          <w:p>
            <w:pPr>
              <w:spacing w:line="240" w:lineRule="auto"/>
              <w:ind w:firstLine="0" w:firstLineChars="0"/>
              <w:jc w:val="center"/>
              <w:rPr>
                <w:rFonts w:ascii="宋体" w:hAnsi="宋体" w:cs="宋体"/>
                <w:sz w:val="24"/>
                <w:szCs w:val="24"/>
              </w:rPr>
            </w:pPr>
            <w:r>
              <w:rPr>
                <w:rFonts w:hint="eastAsia" w:ascii="宋体" w:hAnsi="宋体" w:cs="宋体"/>
                <w:sz w:val="24"/>
                <w:szCs w:val="24"/>
              </w:rPr>
              <w:t>安全生产责任制</w:t>
            </w:r>
          </w:p>
        </w:tc>
        <w:tc>
          <w:tcPr>
            <w:tcW w:w="437" w:type="pct"/>
            <w:vAlign w:val="center"/>
          </w:tcPr>
          <w:p>
            <w:pPr>
              <w:numPr>
                <w:ilvl w:val="0"/>
                <w:numId w:val="29"/>
              </w:numPr>
              <w:tabs>
                <w:tab w:val="left" w:pos="397"/>
                <w:tab w:val="clear" w:pos="0"/>
              </w:tabs>
              <w:spacing w:line="240" w:lineRule="auto"/>
              <w:ind w:firstLine="0" w:firstLineChars="0"/>
              <w:jc w:val="center"/>
              <w:textAlignment w:val="center"/>
              <w:rPr>
                <w:rFonts w:ascii="宋体" w:hAnsi="宋体" w:cs="宋体"/>
                <w:color w:val="000000"/>
                <w:kern w:val="0"/>
                <w:sz w:val="24"/>
                <w:szCs w:val="24"/>
                <w:lang w:bidi="ar"/>
              </w:rPr>
            </w:pPr>
          </w:p>
        </w:tc>
        <w:tc>
          <w:tcPr>
            <w:tcW w:w="3756" w:type="pct"/>
            <w:vAlign w:val="center"/>
          </w:tcPr>
          <w:p>
            <w:pPr>
              <w:spacing w:line="240" w:lineRule="auto"/>
              <w:ind w:firstLine="0" w:firstLineChars="0"/>
              <w:rPr>
                <w:rFonts w:ascii="宋体" w:hAnsi="宋体" w:cs="宋体"/>
                <w:sz w:val="24"/>
                <w:szCs w:val="24"/>
              </w:rPr>
            </w:pPr>
            <w:r>
              <w:rPr>
                <w:rFonts w:hint="eastAsia" w:ascii="宋体" w:hAnsi="宋体" w:cs="宋体"/>
                <w:sz w:val="24"/>
                <w:szCs w:val="24"/>
              </w:rPr>
              <w:t>主要负责人（总经理）安全生产责任制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exact"/>
          <w:tblHeader/>
          <w:jc w:val="center"/>
        </w:trPr>
        <w:tc>
          <w:tcPr>
            <w:tcW w:w="805" w:type="pct"/>
            <w:vMerge w:val="continue"/>
            <w:vAlign w:val="center"/>
          </w:tcPr>
          <w:p>
            <w:pPr>
              <w:spacing w:line="240" w:lineRule="auto"/>
              <w:ind w:firstLine="0" w:firstLineChars="0"/>
              <w:jc w:val="center"/>
              <w:rPr>
                <w:rFonts w:ascii="宋体" w:hAnsi="宋体" w:cs="宋体"/>
                <w:sz w:val="24"/>
                <w:szCs w:val="24"/>
              </w:rPr>
            </w:pPr>
          </w:p>
        </w:tc>
        <w:tc>
          <w:tcPr>
            <w:tcW w:w="437" w:type="pct"/>
            <w:vAlign w:val="center"/>
          </w:tcPr>
          <w:p>
            <w:pPr>
              <w:numPr>
                <w:ilvl w:val="0"/>
                <w:numId w:val="29"/>
              </w:numPr>
              <w:tabs>
                <w:tab w:val="left" w:pos="397"/>
                <w:tab w:val="clear" w:pos="0"/>
              </w:tabs>
              <w:spacing w:line="240" w:lineRule="auto"/>
              <w:ind w:firstLine="0" w:firstLineChars="0"/>
              <w:jc w:val="center"/>
              <w:textAlignment w:val="center"/>
              <w:rPr>
                <w:rFonts w:ascii="宋体" w:hAnsi="宋体" w:cs="宋体"/>
                <w:color w:val="000000"/>
                <w:kern w:val="0"/>
                <w:sz w:val="24"/>
                <w:szCs w:val="24"/>
                <w:lang w:bidi="ar"/>
              </w:rPr>
            </w:pPr>
          </w:p>
        </w:tc>
        <w:tc>
          <w:tcPr>
            <w:tcW w:w="3756" w:type="pct"/>
            <w:vAlign w:val="center"/>
          </w:tcPr>
          <w:p>
            <w:pPr>
              <w:spacing w:line="240" w:lineRule="auto"/>
              <w:ind w:firstLine="0" w:firstLineChars="0"/>
              <w:rPr>
                <w:rFonts w:ascii="宋体" w:hAnsi="宋体" w:cs="宋体"/>
                <w:sz w:val="24"/>
                <w:szCs w:val="24"/>
              </w:rPr>
            </w:pPr>
            <w:r>
              <w:rPr>
                <w:rFonts w:hint="eastAsia" w:ascii="宋体" w:hAnsi="宋体" w:cs="宋体"/>
                <w:sz w:val="24"/>
                <w:szCs w:val="24"/>
              </w:rPr>
              <w:t>副总经理安全生产责任制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exact"/>
          <w:tblHeader/>
          <w:jc w:val="center"/>
        </w:trPr>
        <w:tc>
          <w:tcPr>
            <w:tcW w:w="805" w:type="pct"/>
            <w:vMerge w:val="continue"/>
            <w:vAlign w:val="center"/>
          </w:tcPr>
          <w:p>
            <w:pPr>
              <w:spacing w:line="240" w:lineRule="auto"/>
              <w:ind w:firstLine="0" w:firstLineChars="0"/>
              <w:jc w:val="center"/>
              <w:rPr>
                <w:rFonts w:ascii="宋体" w:hAnsi="宋体" w:cs="宋体"/>
                <w:sz w:val="24"/>
                <w:szCs w:val="24"/>
              </w:rPr>
            </w:pPr>
          </w:p>
        </w:tc>
        <w:tc>
          <w:tcPr>
            <w:tcW w:w="437" w:type="pct"/>
            <w:vAlign w:val="center"/>
          </w:tcPr>
          <w:p>
            <w:pPr>
              <w:numPr>
                <w:ilvl w:val="0"/>
                <w:numId w:val="29"/>
              </w:numPr>
              <w:tabs>
                <w:tab w:val="left" w:pos="397"/>
                <w:tab w:val="clear" w:pos="0"/>
              </w:tabs>
              <w:spacing w:line="240" w:lineRule="auto"/>
              <w:ind w:firstLine="0" w:firstLineChars="0"/>
              <w:jc w:val="center"/>
              <w:textAlignment w:val="center"/>
              <w:rPr>
                <w:rFonts w:ascii="宋体" w:hAnsi="宋体" w:cs="宋体"/>
                <w:color w:val="000000"/>
                <w:kern w:val="0"/>
                <w:sz w:val="24"/>
                <w:szCs w:val="24"/>
                <w:lang w:bidi="ar"/>
              </w:rPr>
            </w:pPr>
          </w:p>
        </w:tc>
        <w:tc>
          <w:tcPr>
            <w:tcW w:w="3756" w:type="pct"/>
            <w:vAlign w:val="center"/>
          </w:tcPr>
          <w:p>
            <w:pPr>
              <w:spacing w:line="240" w:lineRule="auto"/>
              <w:ind w:firstLine="0" w:firstLineChars="0"/>
              <w:rPr>
                <w:rFonts w:ascii="宋体" w:hAnsi="宋体" w:cs="宋体"/>
                <w:sz w:val="24"/>
                <w:szCs w:val="24"/>
              </w:rPr>
            </w:pPr>
            <w:r>
              <w:rPr>
                <w:rFonts w:hint="eastAsia" w:ascii="宋体" w:hAnsi="宋体" w:cs="宋体"/>
                <w:sz w:val="24"/>
                <w:szCs w:val="24"/>
              </w:rPr>
              <w:t>职能部门负责人安全生产责任制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exact"/>
          <w:tblHeader/>
          <w:jc w:val="center"/>
        </w:trPr>
        <w:tc>
          <w:tcPr>
            <w:tcW w:w="805" w:type="pct"/>
            <w:vMerge w:val="continue"/>
            <w:vAlign w:val="center"/>
          </w:tcPr>
          <w:p>
            <w:pPr>
              <w:spacing w:line="240" w:lineRule="auto"/>
              <w:ind w:firstLine="0" w:firstLineChars="0"/>
              <w:jc w:val="center"/>
              <w:rPr>
                <w:rFonts w:ascii="宋体" w:hAnsi="宋体" w:cs="宋体"/>
                <w:sz w:val="24"/>
                <w:szCs w:val="24"/>
              </w:rPr>
            </w:pPr>
          </w:p>
        </w:tc>
        <w:tc>
          <w:tcPr>
            <w:tcW w:w="437" w:type="pct"/>
            <w:vAlign w:val="center"/>
          </w:tcPr>
          <w:p>
            <w:pPr>
              <w:numPr>
                <w:ilvl w:val="0"/>
                <w:numId w:val="29"/>
              </w:numPr>
              <w:tabs>
                <w:tab w:val="left" w:pos="397"/>
                <w:tab w:val="clear" w:pos="0"/>
              </w:tabs>
              <w:spacing w:line="240" w:lineRule="auto"/>
              <w:ind w:firstLine="0" w:firstLineChars="0"/>
              <w:jc w:val="center"/>
              <w:textAlignment w:val="center"/>
              <w:rPr>
                <w:rFonts w:ascii="宋体" w:hAnsi="宋体" w:cs="宋体"/>
                <w:color w:val="000000"/>
                <w:kern w:val="0"/>
                <w:sz w:val="24"/>
                <w:szCs w:val="24"/>
                <w:lang w:bidi="ar"/>
              </w:rPr>
            </w:pPr>
          </w:p>
        </w:tc>
        <w:tc>
          <w:tcPr>
            <w:tcW w:w="3756" w:type="pct"/>
            <w:vAlign w:val="center"/>
          </w:tcPr>
          <w:p>
            <w:pPr>
              <w:spacing w:line="240" w:lineRule="auto"/>
              <w:ind w:firstLine="0" w:firstLineChars="0"/>
              <w:rPr>
                <w:rFonts w:ascii="宋体" w:hAnsi="宋体" w:cs="宋体"/>
                <w:sz w:val="24"/>
                <w:szCs w:val="24"/>
              </w:rPr>
            </w:pPr>
            <w:r>
              <w:rPr>
                <w:rFonts w:hint="eastAsia" w:ascii="宋体" w:hAnsi="宋体" w:cs="宋体"/>
                <w:sz w:val="24"/>
                <w:szCs w:val="24"/>
              </w:rPr>
              <w:t>车间主任安全生产责任制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exact"/>
          <w:tblHeader/>
          <w:jc w:val="center"/>
        </w:trPr>
        <w:tc>
          <w:tcPr>
            <w:tcW w:w="805" w:type="pct"/>
            <w:vMerge w:val="continue"/>
            <w:vAlign w:val="center"/>
          </w:tcPr>
          <w:p>
            <w:pPr>
              <w:spacing w:line="240" w:lineRule="auto"/>
              <w:ind w:firstLine="0" w:firstLineChars="0"/>
              <w:jc w:val="center"/>
              <w:rPr>
                <w:rFonts w:ascii="宋体" w:hAnsi="宋体" w:cs="宋体"/>
                <w:sz w:val="24"/>
                <w:szCs w:val="24"/>
              </w:rPr>
            </w:pPr>
          </w:p>
        </w:tc>
        <w:tc>
          <w:tcPr>
            <w:tcW w:w="437" w:type="pct"/>
            <w:vAlign w:val="center"/>
          </w:tcPr>
          <w:p>
            <w:pPr>
              <w:numPr>
                <w:ilvl w:val="0"/>
                <w:numId w:val="29"/>
              </w:numPr>
              <w:tabs>
                <w:tab w:val="left" w:pos="397"/>
                <w:tab w:val="clear" w:pos="0"/>
              </w:tabs>
              <w:spacing w:line="240" w:lineRule="auto"/>
              <w:ind w:firstLine="0" w:firstLineChars="0"/>
              <w:jc w:val="center"/>
              <w:textAlignment w:val="center"/>
              <w:rPr>
                <w:rFonts w:ascii="宋体" w:hAnsi="宋体" w:cs="宋体"/>
                <w:color w:val="000000"/>
                <w:kern w:val="0"/>
                <w:sz w:val="24"/>
                <w:szCs w:val="24"/>
                <w:lang w:bidi="ar"/>
              </w:rPr>
            </w:pPr>
          </w:p>
        </w:tc>
        <w:tc>
          <w:tcPr>
            <w:tcW w:w="3756" w:type="pct"/>
            <w:vAlign w:val="center"/>
          </w:tcPr>
          <w:p>
            <w:pPr>
              <w:spacing w:line="240" w:lineRule="auto"/>
              <w:ind w:firstLine="0" w:firstLineChars="0"/>
              <w:rPr>
                <w:rFonts w:ascii="宋体" w:hAnsi="宋体" w:cs="宋体"/>
                <w:sz w:val="24"/>
                <w:szCs w:val="24"/>
              </w:rPr>
            </w:pPr>
            <w:r>
              <w:rPr>
                <w:rFonts w:hint="eastAsia" w:ascii="宋体" w:hAnsi="宋体" w:cs="宋体"/>
                <w:sz w:val="24"/>
                <w:szCs w:val="24"/>
              </w:rPr>
              <w:t>班组长安全生产责任制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exact"/>
          <w:tblHeader/>
          <w:jc w:val="center"/>
        </w:trPr>
        <w:tc>
          <w:tcPr>
            <w:tcW w:w="805" w:type="pct"/>
            <w:vMerge w:val="continue"/>
            <w:vAlign w:val="center"/>
          </w:tcPr>
          <w:p>
            <w:pPr>
              <w:spacing w:line="240" w:lineRule="auto"/>
              <w:ind w:firstLine="0" w:firstLineChars="0"/>
              <w:jc w:val="center"/>
              <w:rPr>
                <w:rFonts w:ascii="宋体" w:hAnsi="宋体" w:cs="宋体"/>
                <w:sz w:val="24"/>
                <w:szCs w:val="24"/>
              </w:rPr>
            </w:pPr>
          </w:p>
        </w:tc>
        <w:tc>
          <w:tcPr>
            <w:tcW w:w="437" w:type="pct"/>
            <w:vAlign w:val="center"/>
          </w:tcPr>
          <w:p>
            <w:pPr>
              <w:numPr>
                <w:ilvl w:val="0"/>
                <w:numId w:val="29"/>
              </w:numPr>
              <w:tabs>
                <w:tab w:val="left" w:pos="397"/>
                <w:tab w:val="clear" w:pos="0"/>
              </w:tabs>
              <w:spacing w:line="240" w:lineRule="auto"/>
              <w:ind w:firstLine="0" w:firstLineChars="0"/>
              <w:jc w:val="center"/>
              <w:textAlignment w:val="center"/>
              <w:rPr>
                <w:rFonts w:ascii="宋体" w:hAnsi="宋体" w:cs="宋体"/>
                <w:color w:val="000000"/>
                <w:kern w:val="0"/>
                <w:sz w:val="24"/>
                <w:szCs w:val="24"/>
                <w:lang w:bidi="ar"/>
              </w:rPr>
            </w:pPr>
          </w:p>
        </w:tc>
        <w:tc>
          <w:tcPr>
            <w:tcW w:w="3756" w:type="pct"/>
            <w:vAlign w:val="center"/>
          </w:tcPr>
          <w:p>
            <w:pPr>
              <w:spacing w:line="240" w:lineRule="auto"/>
              <w:ind w:firstLine="0" w:firstLineChars="0"/>
              <w:rPr>
                <w:rFonts w:ascii="宋体" w:hAnsi="宋体" w:cs="宋体"/>
                <w:sz w:val="24"/>
                <w:szCs w:val="24"/>
              </w:rPr>
            </w:pPr>
            <w:r>
              <w:rPr>
                <w:rFonts w:hint="eastAsia" w:ascii="宋体" w:hAnsi="宋体" w:cs="宋体"/>
                <w:sz w:val="24"/>
                <w:szCs w:val="24"/>
              </w:rPr>
              <w:t>岗位工人安全生产责任制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07" w:hRule="exact"/>
          <w:tblHeader/>
          <w:jc w:val="center"/>
        </w:trPr>
        <w:tc>
          <w:tcPr>
            <w:tcW w:w="805" w:type="pct"/>
            <w:vMerge w:val="restart"/>
            <w:vAlign w:val="center"/>
          </w:tcPr>
          <w:p>
            <w:pPr>
              <w:spacing w:line="240" w:lineRule="auto"/>
              <w:ind w:firstLine="0" w:firstLineChars="0"/>
              <w:jc w:val="center"/>
              <w:rPr>
                <w:rFonts w:ascii="宋体" w:hAnsi="宋体" w:cs="宋体"/>
                <w:sz w:val="24"/>
                <w:szCs w:val="24"/>
              </w:rPr>
            </w:pPr>
            <w:r>
              <w:rPr>
                <w:rFonts w:hint="eastAsia" w:ascii="宋体" w:hAnsi="宋体" w:cs="宋体"/>
                <w:sz w:val="24"/>
                <w:szCs w:val="24"/>
              </w:rPr>
              <w:t>安全生产管理制度</w:t>
            </w:r>
          </w:p>
        </w:tc>
        <w:tc>
          <w:tcPr>
            <w:tcW w:w="437" w:type="pct"/>
            <w:vAlign w:val="center"/>
          </w:tcPr>
          <w:p>
            <w:pPr>
              <w:numPr>
                <w:ilvl w:val="0"/>
                <w:numId w:val="29"/>
              </w:numPr>
              <w:tabs>
                <w:tab w:val="left" w:pos="397"/>
                <w:tab w:val="clear" w:pos="0"/>
              </w:tabs>
              <w:spacing w:line="240" w:lineRule="auto"/>
              <w:ind w:firstLine="0" w:firstLineChars="0"/>
              <w:jc w:val="center"/>
              <w:textAlignment w:val="center"/>
              <w:rPr>
                <w:rFonts w:ascii="宋体" w:hAnsi="宋体" w:cs="宋体"/>
                <w:color w:val="000000"/>
                <w:kern w:val="0"/>
                <w:sz w:val="24"/>
                <w:szCs w:val="24"/>
                <w:lang w:bidi="ar"/>
              </w:rPr>
            </w:pPr>
          </w:p>
        </w:tc>
        <w:tc>
          <w:tcPr>
            <w:tcW w:w="3756" w:type="pct"/>
            <w:vAlign w:val="center"/>
          </w:tcPr>
          <w:p>
            <w:pPr>
              <w:widowControl/>
              <w:spacing w:line="240" w:lineRule="auto"/>
              <w:ind w:firstLine="0" w:firstLineChars="0"/>
              <w:jc w:val="both"/>
              <w:textAlignment w:val="center"/>
              <w:rPr>
                <w:rFonts w:ascii="宋体" w:hAnsi="宋体" w:cs="宋体"/>
                <w:kern w:val="0"/>
                <w:sz w:val="22"/>
                <w:lang w:bidi="ar"/>
              </w:rPr>
            </w:pPr>
            <w:r>
              <w:fldChar w:fldCharType="begin"/>
            </w:r>
            <w:r>
              <w:instrText xml:space="preserve"> HYPERLINK \l "_Toc21739 " </w:instrText>
            </w:r>
            <w:r>
              <w:fldChar w:fldCharType="separate"/>
            </w:r>
            <w:r>
              <w:rPr>
                <w:rStyle w:val="35"/>
                <w:rFonts w:cs="Times New Roman"/>
                <w:color w:val="auto"/>
                <w:sz w:val="24"/>
                <w:szCs w:val="24"/>
                <w:u w:val="none"/>
              </w:rPr>
              <w:t xml:space="preserve">云南大姚祥华工业制造股份公司员工安全守则 </w:t>
            </w:r>
            <w:r>
              <w:rPr>
                <w:rStyle w:val="35"/>
                <w:rFonts w:cs="Times New Roman"/>
                <w:color w:val="auto"/>
                <w:sz w:val="24"/>
                <w:szCs w:val="24"/>
                <w:u w:val="none"/>
              </w:rPr>
              <w:fldChar w:fldCharType="end"/>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exact"/>
          <w:tblHeader/>
          <w:jc w:val="center"/>
        </w:trPr>
        <w:tc>
          <w:tcPr>
            <w:tcW w:w="805" w:type="pct"/>
            <w:vMerge w:val="continue"/>
            <w:vAlign w:val="center"/>
          </w:tcPr>
          <w:p>
            <w:pPr>
              <w:spacing w:line="240" w:lineRule="auto"/>
              <w:ind w:firstLine="0" w:firstLineChars="0"/>
              <w:jc w:val="center"/>
              <w:rPr>
                <w:rFonts w:ascii="宋体" w:hAnsi="宋体" w:cs="宋体"/>
                <w:sz w:val="24"/>
                <w:szCs w:val="24"/>
              </w:rPr>
            </w:pPr>
          </w:p>
        </w:tc>
        <w:tc>
          <w:tcPr>
            <w:tcW w:w="437" w:type="pct"/>
            <w:vAlign w:val="center"/>
          </w:tcPr>
          <w:p>
            <w:pPr>
              <w:numPr>
                <w:ilvl w:val="0"/>
                <w:numId w:val="29"/>
              </w:numPr>
              <w:tabs>
                <w:tab w:val="left" w:pos="397"/>
                <w:tab w:val="clear" w:pos="0"/>
              </w:tabs>
              <w:spacing w:line="240" w:lineRule="auto"/>
              <w:ind w:firstLine="0" w:firstLineChars="0"/>
              <w:jc w:val="center"/>
              <w:textAlignment w:val="center"/>
              <w:rPr>
                <w:rFonts w:ascii="宋体" w:hAnsi="宋体" w:cs="宋体"/>
                <w:color w:val="000000"/>
                <w:kern w:val="0"/>
                <w:sz w:val="24"/>
                <w:szCs w:val="24"/>
                <w:lang w:bidi="ar"/>
              </w:rPr>
            </w:pPr>
          </w:p>
        </w:tc>
        <w:tc>
          <w:tcPr>
            <w:tcW w:w="3756" w:type="pct"/>
            <w:vAlign w:val="center"/>
          </w:tcPr>
          <w:p>
            <w:pPr>
              <w:widowControl/>
              <w:spacing w:line="240" w:lineRule="auto"/>
              <w:ind w:firstLine="0" w:firstLineChars="0"/>
              <w:jc w:val="both"/>
              <w:textAlignment w:val="center"/>
              <w:rPr>
                <w:rFonts w:ascii="宋体" w:hAnsi="宋体" w:cs="宋体"/>
                <w:kern w:val="0"/>
                <w:sz w:val="22"/>
                <w:lang w:bidi="ar"/>
              </w:rPr>
            </w:pPr>
            <w:r>
              <w:fldChar w:fldCharType="begin"/>
            </w:r>
            <w:r>
              <w:instrText xml:space="preserve"> HYPERLINK \l "_Toc16716 " </w:instrText>
            </w:r>
            <w:r>
              <w:fldChar w:fldCharType="separate"/>
            </w:r>
            <w:r>
              <w:rPr>
                <w:rStyle w:val="35"/>
                <w:rFonts w:cs="Times New Roman"/>
                <w:color w:val="auto"/>
                <w:sz w:val="24"/>
                <w:szCs w:val="24"/>
                <w:u w:val="none"/>
              </w:rPr>
              <w:t xml:space="preserve">云南大姚祥华工业制造股份公司安全生产责任制度 </w:t>
            </w:r>
            <w:r>
              <w:rPr>
                <w:rStyle w:val="35"/>
                <w:rFonts w:cs="Times New Roman"/>
                <w:color w:val="auto"/>
                <w:sz w:val="24"/>
                <w:szCs w:val="24"/>
                <w:u w:val="none"/>
              </w:rPr>
              <w:fldChar w:fldCharType="end"/>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4" w:hRule="exact"/>
          <w:tblHeader/>
          <w:jc w:val="center"/>
        </w:trPr>
        <w:tc>
          <w:tcPr>
            <w:tcW w:w="805" w:type="pct"/>
            <w:vMerge w:val="continue"/>
            <w:vAlign w:val="center"/>
          </w:tcPr>
          <w:p>
            <w:pPr>
              <w:spacing w:line="240" w:lineRule="auto"/>
              <w:ind w:firstLine="0" w:firstLineChars="0"/>
              <w:jc w:val="center"/>
              <w:rPr>
                <w:rFonts w:ascii="宋体" w:hAnsi="宋体" w:cs="宋体"/>
                <w:sz w:val="24"/>
                <w:szCs w:val="24"/>
              </w:rPr>
            </w:pPr>
          </w:p>
        </w:tc>
        <w:tc>
          <w:tcPr>
            <w:tcW w:w="437" w:type="pct"/>
            <w:vAlign w:val="center"/>
          </w:tcPr>
          <w:p>
            <w:pPr>
              <w:numPr>
                <w:ilvl w:val="0"/>
                <w:numId w:val="29"/>
              </w:numPr>
              <w:tabs>
                <w:tab w:val="left" w:pos="397"/>
                <w:tab w:val="clear" w:pos="0"/>
              </w:tabs>
              <w:spacing w:line="240" w:lineRule="auto"/>
              <w:ind w:firstLine="0" w:firstLineChars="0"/>
              <w:jc w:val="center"/>
              <w:textAlignment w:val="center"/>
              <w:rPr>
                <w:rFonts w:ascii="宋体" w:hAnsi="宋体" w:cs="宋体"/>
                <w:color w:val="000000"/>
                <w:kern w:val="0"/>
                <w:sz w:val="24"/>
                <w:szCs w:val="24"/>
                <w:lang w:bidi="ar"/>
              </w:rPr>
            </w:pPr>
          </w:p>
        </w:tc>
        <w:tc>
          <w:tcPr>
            <w:tcW w:w="3756" w:type="pct"/>
            <w:vAlign w:val="center"/>
          </w:tcPr>
          <w:p>
            <w:pPr>
              <w:widowControl/>
              <w:spacing w:line="240" w:lineRule="auto"/>
              <w:ind w:firstLine="0" w:firstLineChars="0"/>
              <w:jc w:val="both"/>
              <w:textAlignment w:val="center"/>
              <w:rPr>
                <w:rFonts w:ascii="宋体" w:hAnsi="宋体" w:cs="宋体"/>
                <w:kern w:val="0"/>
                <w:sz w:val="22"/>
                <w:lang w:bidi="ar"/>
              </w:rPr>
            </w:pPr>
            <w:r>
              <w:fldChar w:fldCharType="begin"/>
            </w:r>
            <w:r>
              <w:instrText xml:space="preserve"> HYPERLINK \l "_Toc14431 " </w:instrText>
            </w:r>
            <w:r>
              <w:fldChar w:fldCharType="separate"/>
            </w:r>
            <w:r>
              <w:rPr>
                <w:rStyle w:val="35"/>
                <w:rFonts w:cs="Times New Roman"/>
                <w:color w:val="auto"/>
                <w:sz w:val="24"/>
                <w:szCs w:val="24"/>
                <w:u w:val="none"/>
              </w:rPr>
              <w:t xml:space="preserve">云南大姚祥华工业制造股份公司安全生产奖惩制度 </w:t>
            </w:r>
            <w:r>
              <w:rPr>
                <w:rStyle w:val="35"/>
                <w:rFonts w:cs="Times New Roman"/>
                <w:color w:val="auto"/>
                <w:sz w:val="24"/>
                <w:szCs w:val="24"/>
                <w:u w:val="none"/>
              </w:rPr>
              <w:fldChar w:fldCharType="end"/>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exact"/>
          <w:tblHeader/>
          <w:jc w:val="center"/>
        </w:trPr>
        <w:tc>
          <w:tcPr>
            <w:tcW w:w="805" w:type="pct"/>
            <w:vMerge w:val="continue"/>
            <w:vAlign w:val="center"/>
          </w:tcPr>
          <w:p>
            <w:pPr>
              <w:spacing w:line="240" w:lineRule="auto"/>
              <w:ind w:firstLine="0" w:firstLineChars="0"/>
              <w:jc w:val="center"/>
              <w:rPr>
                <w:rFonts w:ascii="宋体" w:hAnsi="宋体" w:cs="宋体"/>
                <w:sz w:val="24"/>
                <w:szCs w:val="24"/>
              </w:rPr>
            </w:pPr>
          </w:p>
        </w:tc>
        <w:tc>
          <w:tcPr>
            <w:tcW w:w="437" w:type="pct"/>
            <w:vAlign w:val="center"/>
          </w:tcPr>
          <w:p>
            <w:pPr>
              <w:numPr>
                <w:ilvl w:val="0"/>
                <w:numId w:val="29"/>
              </w:numPr>
              <w:tabs>
                <w:tab w:val="left" w:pos="397"/>
                <w:tab w:val="clear" w:pos="0"/>
              </w:tabs>
              <w:spacing w:line="240" w:lineRule="auto"/>
              <w:ind w:firstLine="0" w:firstLineChars="0"/>
              <w:jc w:val="center"/>
              <w:textAlignment w:val="center"/>
              <w:rPr>
                <w:rFonts w:ascii="宋体" w:hAnsi="宋体" w:cs="宋体"/>
                <w:color w:val="000000"/>
                <w:kern w:val="0"/>
                <w:sz w:val="24"/>
                <w:szCs w:val="24"/>
                <w:lang w:bidi="ar"/>
              </w:rPr>
            </w:pPr>
          </w:p>
        </w:tc>
        <w:tc>
          <w:tcPr>
            <w:tcW w:w="3756" w:type="pct"/>
            <w:vAlign w:val="center"/>
          </w:tcPr>
          <w:p>
            <w:pPr>
              <w:widowControl/>
              <w:spacing w:line="240" w:lineRule="auto"/>
              <w:ind w:firstLine="0" w:firstLineChars="0"/>
              <w:jc w:val="both"/>
              <w:textAlignment w:val="center"/>
              <w:rPr>
                <w:rFonts w:ascii="宋体" w:hAnsi="宋体" w:cs="宋体"/>
                <w:sz w:val="24"/>
                <w:szCs w:val="24"/>
              </w:rPr>
            </w:pPr>
            <w:r>
              <w:fldChar w:fldCharType="begin"/>
            </w:r>
            <w:r>
              <w:instrText xml:space="preserve"> HYPERLINK \l "_Toc4918 " </w:instrText>
            </w:r>
            <w:r>
              <w:fldChar w:fldCharType="separate"/>
            </w:r>
            <w:r>
              <w:rPr>
                <w:rStyle w:val="35"/>
                <w:rFonts w:cs="Times New Roman"/>
                <w:color w:val="auto"/>
                <w:sz w:val="24"/>
                <w:szCs w:val="24"/>
                <w:u w:val="none"/>
              </w:rPr>
              <w:t xml:space="preserve">云南大姚祥华工业制造股份公司安全生产承诺制度 </w:t>
            </w:r>
            <w:r>
              <w:rPr>
                <w:rStyle w:val="35"/>
                <w:rFonts w:cs="Times New Roman"/>
                <w:color w:val="auto"/>
                <w:sz w:val="24"/>
                <w:szCs w:val="24"/>
                <w:u w:val="none"/>
              </w:rPr>
              <w:fldChar w:fldCharType="end"/>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exact"/>
          <w:tblHeader/>
          <w:jc w:val="center"/>
        </w:trPr>
        <w:tc>
          <w:tcPr>
            <w:tcW w:w="805" w:type="pct"/>
            <w:vMerge w:val="continue"/>
            <w:vAlign w:val="center"/>
          </w:tcPr>
          <w:p>
            <w:pPr>
              <w:spacing w:line="240" w:lineRule="auto"/>
              <w:ind w:firstLine="0" w:firstLineChars="0"/>
              <w:jc w:val="center"/>
              <w:rPr>
                <w:rFonts w:ascii="宋体" w:hAnsi="宋体" w:cs="宋体"/>
                <w:sz w:val="24"/>
                <w:szCs w:val="24"/>
              </w:rPr>
            </w:pPr>
          </w:p>
        </w:tc>
        <w:tc>
          <w:tcPr>
            <w:tcW w:w="437" w:type="pct"/>
            <w:vAlign w:val="center"/>
          </w:tcPr>
          <w:p>
            <w:pPr>
              <w:numPr>
                <w:ilvl w:val="0"/>
                <w:numId w:val="29"/>
              </w:numPr>
              <w:tabs>
                <w:tab w:val="left" w:pos="397"/>
                <w:tab w:val="clear" w:pos="0"/>
              </w:tabs>
              <w:spacing w:line="240" w:lineRule="auto"/>
              <w:ind w:firstLine="0" w:firstLineChars="0"/>
              <w:jc w:val="center"/>
              <w:textAlignment w:val="center"/>
              <w:rPr>
                <w:rFonts w:ascii="宋体" w:hAnsi="宋体" w:cs="宋体"/>
                <w:color w:val="000000"/>
                <w:kern w:val="0"/>
                <w:sz w:val="24"/>
                <w:szCs w:val="24"/>
                <w:lang w:bidi="ar"/>
              </w:rPr>
            </w:pPr>
          </w:p>
        </w:tc>
        <w:tc>
          <w:tcPr>
            <w:tcW w:w="3756" w:type="pct"/>
            <w:vAlign w:val="center"/>
          </w:tcPr>
          <w:p>
            <w:pPr>
              <w:widowControl/>
              <w:spacing w:line="240" w:lineRule="auto"/>
              <w:ind w:firstLine="0" w:firstLineChars="0"/>
              <w:jc w:val="both"/>
              <w:textAlignment w:val="center"/>
              <w:rPr>
                <w:rFonts w:ascii="宋体" w:hAnsi="宋体" w:cs="宋体"/>
                <w:sz w:val="24"/>
                <w:szCs w:val="24"/>
              </w:rPr>
            </w:pPr>
            <w:r>
              <w:fldChar w:fldCharType="begin"/>
            </w:r>
            <w:r>
              <w:instrText xml:space="preserve"> HYPERLINK \l "_Toc9329 " </w:instrText>
            </w:r>
            <w:r>
              <w:fldChar w:fldCharType="separate"/>
            </w:r>
            <w:r>
              <w:rPr>
                <w:rStyle w:val="35"/>
                <w:rFonts w:cs="Times New Roman"/>
                <w:color w:val="auto"/>
                <w:sz w:val="24"/>
                <w:szCs w:val="24"/>
                <w:u w:val="none"/>
              </w:rPr>
              <w:t xml:space="preserve">云南大姚祥华工业制造股份公司安全生产会议制度 </w:t>
            </w:r>
            <w:r>
              <w:rPr>
                <w:rStyle w:val="35"/>
                <w:rFonts w:cs="Times New Roman"/>
                <w:color w:val="auto"/>
                <w:sz w:val="24"/>
                <w:szCs w:val="24"/>
                <w:u w:val="none"/>
              </w:rPr>
              <w:fldChar w:fldCharType="end"/>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exact"/>
          <w:tblHeader/>
          <w:jc w:val="center"/>
        </w:trPr>
        <w:tc>
          <w:tcPr>
            <w:tcW w:w="805" w:type="pct"/>
            <w:vMerge w:val="continue"/>
            <w:vAlign w:val="center"/>
          </w:tcPr>
          <w:p>
            <w:pPr>
              <w:spacing w:line="240" w:lineRule="auto"/>
              <w:ind w:firstLine="0" w:firstLineChars="0"/>
              <w:jc w:val="center"/>
              <w:rPr>
                <w:rFonts w:ascii="宋体" w:hAnsi="宋体" w:cs="宋体"/>
                <w:sz w:val="24"/>
                <w:szCs w:val="24"/>
              </w:rPr>
            </w:pPr>
          </w:p>
        </w:tc>
        <w:tc>
          <w:tcPr>
            <w:tcW w:w="437" w:type="pct"/>
            <w:vAlign w:val="center"/>
          </w:tcPr>
          <w:p>
            <w:pPr>
              <w:numPr>
                <w:ilvl w:val="0"/>
                <w:numId w:val="29"/>
              </w:numPr>
              <w:tabs>
                <w:tab w:val="left" w:pos="397"/>
                <w:tab w:val="clear" w:pos="0"/>
              </w:tabs>
              <w:spacing w:line="240" w:lineRule="auto"/>
              <w:ind w:firstLine="0" w:firstLineChars="0"/>
              <w:jc w:val="center"/>
              <w:textAlignment w:val="center"/>
              <w:rPr>
                <w:rFonts w:ascii="宋体" w:hAnsi="宋体" w:cs="宋体"/>
                <w:color w:val="000000"/>
                <w:kern w:val="0"/>
                <w:sz w:val="24"/>
                <w:szCs w:val="24"/>
                <w:lang w:bidi="ar"/>
              </w:rPr>
            </w:pPr>
          </w:p>
        </w:tc>
        <w:tc>
          <w:tcPr>
            <w:tcW w:w="3756" w:type="pct"/>
            <w:vAlign w:val="center"/>
          </w:tcPr>
          <w:p>
            <w:pPr>
              <w:widowControl/>
              <w:spacing w:line="240" w:lineRule="auto"/>
              <w:ind w:firstLine="0" w:firstLineChars="0"/>
              <w:jc w:val="both"/>
              <w:textAlignment w:val="center"/>
              <w:rPr>
                <w:rFonts w:ascii="宋体" w:hAnsi="宋体" w:cs="宋体"/>
                <w:sz w:val="24"/>
                <w:szCs w:val="24"/>
              </w:rPr>
            </w:pPr>
            <w:r>
              <w:fldChar w:fldCharType="begin"/>
            </w:r>
            <w:r>
              <w:instrText xml:space="preserve"> HYPERLINK \l "_Toc9644 " </w:instrText>
            </w:r>
            <w:r>
              <w:fldChar w:fldCharType="separate"/>
            </w:r>
            <w:r>
              <w:rPr>
                <w:rStyle w:val="35"/>
                <w:rFonts w:cs="Times New Roman"/>
                <w:color w:val="auto"/>
                <w:sz w:val="24"/>
                <w:szCs w:val="24"/>
                <w:u w:val="none"/>
              </w:rPr>
              <w:t xml:space="preserve">云南大姚祥华工业制造股份公司安全生产教育培训制度 </w:t>
            </w:r>
            <w:r>
              <w:rPr>
                <w:rStyle w:val="35"/>
                <w:rFonts w:cs="Times New Roman"/>
                <w:color w:val="auto"/>
                <w:sz w:val="24"/>
                <w:szCs w:val="24"/>
                <w:u w:val="none"/>
              </w:rPr>
              <w:fldChar w:fldCharType="end"/>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exact"/>
          <w:tblHeader/>
          <w:jc w:val="center"/>
        </w:trPr>
        <w:tc>
          <w:tcPr>
            <w:tcW w:w="805" w:type="pct"/>
            <w:vMerge w:val="continue"/>
            <w:vAlign w:val="center"/>
          </w:tcPr>
          <w:p>
            <w:pPr>
              <w:spacing w:line="240" w:lineRule="auto"/>
              <w:ind w:firstLine="0" w:firstLineChars="0"/>
              <w:jc w:val="center"/>
              <w:rPr>
                <w:rFonts w:ascii="宋体" w:hAnsi="宋体" w:cs="宋体"/>
                <w:sz w:val="24"/>
                <w:szCs w:val="24"/>
              </w:rPr>
            </w:pPr>
          </w:p>
        </w:tc>
        <w:tc>
          <w:tcPr>
            <w:tcW w:w="437" w:type="pct"/>
            <w:vAlign w:val="center"/>
          </w:tcPr>
          <w:p>
            <w:pPr>
              <w:numPr>
                <w:ilvl w:val="0"/>
                <w:numId w:val="29"/>
              </w:numPr>
              <w:tabs>
                <w:tab w:val="left" w:pos="397"/>
                <w:tab w:val="clear" w:pos="0"/>
              </w:tabs>
              <w:spacing w:line="240" w:lineRule="auto"/>
              <w:ind w:firstLine="0" w:firstLineChars="0"/>
              <w:jc w:val="center"/>
              <w:textAlignment w:val="center"/>
              <w:rPr>
                <w:rFonts w:ascii="宋体" w:hAnsi="宋体" w:cs="宋体"/>
                <w:color w:val="000000"/>
                <w:kern w:val="0"/>
                <w:sz w:val="24"/>
                <w:szCs w:val="24"/>
                <w:lang w:bidi="ar"/>
              </w:rPr>
            </w:pPr>
          </w:p>
        </w:tc>
        <w:tc>
          <w:tcPr>
            <w:tcW w:w="3756" w:type="pct"/>
            <w:vAlign w:val="center"/>
          </w:tcPr>
          <w:p>
            <w:pPr>
              <w:widowControl/>
              <w:spacing w:line="240" w:lineRule="auto"/>
              <w:ind w:firstLine="0" w:firstLineChars="0"/>
              <w:jc w:val="both"/>
              <w:textAlignment w:val="center"/>
              <w:rPr>
                <w:rFonts w:ascii="宋体" w:hAnsi="宋体" w:cs="宋体"/>
                <w:sz w:val="24"/>
                <w:szCs w:val="24"/>
              </w:rPr>
            </w:pPr>
            <w:r>
              <w:fldChar w:fldCharType="begin"/>
            </w:r>
            <w:r>
              <w:instrText xml:space="preserve"> HYPERLINK \l "_Toc29860 " </w:instrText>
            </w:r>
            <w:r>
              <w:fldChar w:fldCharType="separate"/>
            </w:r>
            <w:r>
              <w:rPr>
                <w:rStyle w:val="35"/>
                <w:rFonts w:cs="Times New Roman"/>
                <w:color w:val="auto"/>
                <w:sz w:val="24"/>
                <w:szCs w:val="24"/>
                <w:u w:val="none"/>
              </w:rPr>
              <w:t xml:space="preserve">云南大姚祥华工业制造股份公司职业健康管理制度 </w:t>
            </w:r>
            <w:r>
              <w:rPr>
                <w:rStyle w:val="35"/>
                <w:rFonts w:cs="Times New Roman"/>
                <w:color w:val="auto"/>
                <w:sz w:val="24"/>
                <w:szCs w:val="24"/>
                <w:u w:val="none"/>
              </w:rPr>
              <w:fldChar w:fldCharType="end"/>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exact"/>
          <w:tblHeader/>
          <w:jc w:val="center"/>
        </w:trPr>
        <w:tc>
          <w:tcPr>
            <w:tcW w:w="805" w:type="pct"/>
            <w:vMerge w:val="continue"/>
            <w:vAlign w:val="center"/>
          </w:tcPr>
          <w:p>
            <w:pPr>
              <w:spacing w:line="240" w:lineRule="auto"/>
              <w:ind w:firstLine="0" w:firstLineChars="0"/>
              <w:jc w:val="center"/>
              <w:rPr>
                <w:rFonts w:ascii="宋体" w:hAnsi="宋体" w:cs="宋体"/>
                <w:sz w:val="24"/>
                <w:szCs w:val="24"/>
              </w:rPr>
            </w:pPr>
          </w:p>
        </w:tc>
        <w:tc>
          <w:tcPr>
            <w:tcW w:w="437" w:type="pct"/>
            <w:vAlign w:val="center"/>
          </w:tcPr>
          <w:p>
            <w:pPr>
              <w:numPr>
                <w:ilvl w:val="0"/>
                <w:numId w:val="29"/>
              </w:numPr>
              <w:tabs>
                <w:tab w:val="left" w:pos="397"/>
                <w:tab w:val="clear" w:pos="0"/>
              </w:tabs>
              <w:spacing w:line="240" w:lineRule="auto"/>
              <w:ind w:firstLine="0" w:firstLineChars="0"/>
              <w:jc w:val="center"/>
              <w:textAlignment w:val="center"/>
              <w:rPr>
                <w:rFonts w:ascii="宋体" w:hAnsi="宋体" w:cs="宋体"/>
                <w:color w:val="000000"/>
                <w:kern w:val="0"/>
                <w:sz w:val="24"/>
                <w:szCs w:val="24"/>
                <w:lang w:bidi="ar"/>
              </w:rPr>
            </w:pPr>
          </w:p>
        </w:tc>
        <w:tc>
          <w:tcPr>
            <w:tcW w:w="3756" w:type="pct"/>
            <w:vAlign w:val="center"/>
          </w:tcPr>
          <w:p>
            <w:pPr>
              <w:widowControl/>
              <w:spacing w:line="240" w:lineRule="auto"/>
              <w:ind w:firstLine="0" w:firstLineChars="0"/>
              <w:jc w:val="both"/>
              <w:textAlignment w:val="center"/>
              <w:rPr>
                <w:rFonts w:ascii="宋体" w:hAnsi="宋体" w:cs="宋体"/>
                <w:sz w:val="24"/>
                <w:szCs w:val="24"/>
              </w:rPr>
            </w:pPr>
            <w:r>
              <w:fldChar w:fldCharType="begin"/>
            </w:r>
            <w:r>
              <w:instrText xml:space="preserve"> HYPERLINK \l "_Toc31606 " </w:instrText>
            </w:r>
            <w:r>
              <w:fldChar w:fldCharType="separate"/>
            </w:r>
            <w:r>
              <w:rPr>
                <w:rStyle w:val="35"/>
                <w:rFonts w:cs="Times New Roman"/>
                <w:color w:val="auto"/>
                <w:sz w:val="24"/>
                <w:szCs w:val="24"/>
                <w:u w:val="none"/>
              </w:rPr>
              <w:t>云南大姚祥华工业制造股份公司安全生产</w:t>
            </w:r>
            <w:r>
              <w:rPr>
                <w:rStyle w:val="35"/>
                <w:rFonts w:hint="eastAsia" w:cs="Times New Roman"/>
                <w:color w:val="auto"/>
                <w:sz w:val="24"/>
                <w:szCs w:val="24"/>
                <w:u w:val="none"/>
              </w:rPr>
              <w:t>检查</w:t>
            </w:r>
            <w:r>
              <w:rPr>
                <w:rStyle w:val="35"/>
                <w:rFonts w:cs="Times New Roman"/>
                <w:color w:val="auto"/>
                <w:sz w:val="24"/>
                <w:szCs w:val="24"/>
                <w:u w:val="none"/>
              </w:rPr>
              <w:t xml:space="preserve">制度 </w:t>
            </w:r>
            <w:r>
              <w:rPr>
                <w:rStyle w:val="35"/>
                <w:rFonts w:cs="Times New Roman"/>
                <w:color w:val="auto"/>
                <w:sz w:val="24"/>
                <w:szCs w:val="24"/>
                <w:u w:val="none"/>
              </w:rPr>
              <w:fldChar w:fldCharType="end"/>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exact"/>
          <w:tblHeader/>
          <w:jc w:val="center"/>
        </w:trPr>
        <w:tc>
          <w:tcPr>
            <w:tcW w:w="805" w:type="pct"/>
            <w:vMerge w:val="continue"/>
            <w:vAlign w:val="center"/>
          </w:tcPr>
          <w:p>
            <w:pPr>
              <w:spacing w:line="240" w:lineRule="auto"/>
              <w:ind w:firstLine="0" w:firstLineChars="0"/>
              <w:jc w:val="center"/>
              <w:rPr>
                <w:rFonts w:ascii="宋体" w:hAnsi="宋体" w:cs="宋体"/>
                <w:sz w:val="24"/>
                <w:szCs w:val="24"/>
              </w:rPr>
            </w:pPr>
          </w:p>
        </w:tc>
        <w:tc>
          <w:tcPr>
            <w:tcW w:w="437" w:type="pct"/>
            <w:vAlign w:val="center"/>
          </w:tcPr>
          <w:p>
            <w:pPr>
              <w:numPr>
                <w:ilvl w:val="0"/>
                <w:numId w:val="29"/>
              </w:numPr>
              <w:tabs>
                <w:tab w:val="left" w:pos="397"/>
                <w:tab w:val="clear" w:pos="0"/>
              </w:tabs>
              <w:spacing w:line="240" w:lineRule="auto"/>
              <w:ind w:firstLine="0" w:firstLineChars="0"/>
              <w:jc w:val="center"/>
              <w:textAlignment w:val="center"/>
              <w:rPr>
                <w:rFonts w:ascii="宋体" w:hAnsi="宋体" w:cs="宋体"/>
                <w:color w:val="000000"/>
                <w:kern w:val="0"/>
                <w:sz w:val="24"/>
                <w:szCs w:val="24"/>
                <w:lang w:bidi="ar"/>
              </w:rPr>
            </w:pPr>
          </w:p>
        </w:tc>
        <w:tc>
          <w:tcPr>
            <w:tcW w:w="3756" w:type="pct"/>
            <w:vAlign w:val="center"/>
          </w:tcPr>
          <w:p>
            <w:pPr>
              <w:widowControl/>
              <w:spacing w:line="240" w:lineRule="auto"/>
              <w:ind w:firstLine="0" w:firstLineChars="0"/>
              <w:jc w:val="both"/>
              <w:textAlignment w:val="center"/>
              <w:rPr>
                <w:rFonts w:ascii="宋体" w:hAnsi="宋体" w:cs="宋体"/>
                <w:sz w:val="24"/>
                <w:szCs w:val="24"/>
              </w:rPr>
            </w:pPr>
            <w:r>
              <w:fldChar w:fldCharType="begin"/>
            </w:r>
            <w:r>
              <w:instrText xml:space="preserve"> HYPERLINK \l "_Toc2242 " </w:instrText>
            </w:r>
            <w:r>
              <w:fldChar w:fldCharType="separate"/>
            </w:r>
            <w:r>
              <w:rPr>
                <w:rStyle w:val="35"/>
                <w:rFonts w:cs="Times New Roman"/>
                <w:color w:val="auto"/>
                <w:sz w:val="24"/>
                <w:szCs w:val="24"/>
                <w:u w:val="none"/>
              </w:rPr>
              <w:t xml:space="preserve">云南大姚祥华工业制造股份公司操作规程落实制度 </w:t>
            </w:r>
            <w:r>
              <w:rPr>
                <w:rStyle w:val="35"/>
                <w:rFonts w:cs="Times New Roman"/>
                <w:color w:val="auto"/>
                <w:sz w:val="24"/>
                <w:szCs w:val="24"/>
                <w:u w:val="none"/>
              </w:rPr>
              <w:fldChar w:fldCharType="end"/>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exact"/>
          <w:tblHeader/>
          <w:jc w:val="center"/>
        </w:trPr>
        <w:tc>
          <w:tcPr>
            <w:tcW w:w="805" w:type="pct"/>
            <w:vMerge w:val="continue"/>
            <w:vAlign w:val="center"/>
          </w:tcPr>
          <w:p>
            <w:pPr>
              <w:spacing w:line="240" w:lineRule="auto"/>
              <w:ind w:firstLine="0" w:firstLineChars="0"/>
              <w:jc w:val="center"/>
              <w:rPr>
                <w:rFonts w:ascii="宋体" w:hAnsi="宋体" w:cs="宋体"/>
                <w:sz w:val="24"/>
                <w:szCs w:val="24"/>
              </w:rPr>
            </w:pPr>
          </w:p>
        </w:tc>
        <w:tc>
          <w:tcPr>
            <w:tcW w:w="437" w:type="pct"/>
            <w:vAlign w:val="center"/>
          </w:tcPr>
          <w:p>
            <w:pPr>
              <w:numPr>
                <w:ilvl w:val="0"/>
                <w:numId w:val="29"/>
              </w:numPr>
              <w:tabs>
                <w:tab w:val="left" w:pos="397"/>
                <w:tab w:val="clear" w:pos="0"/>
              </w:tabs>
              <w:spacing w:line="240" w:lineRule="auto"/>
              <w:ind w:firstLine="0" w:firstLineChars="0"/>
              <w:jc w:val="center"/>
              <w:textAlignment w:val="center"/>
              <w:rPr>
                <w:rFonts w:ascii="宋体" w:hAnsi="宋体" w:cs="宋体"/>
                <w:color w:val="000000"/>
                <w:kern w:val="0"/>
                <w:sz w:val="24"/>
                <w:szCs w:val="24"/>
                <w:lang w:bidi="ar"/>
              </w:rPr>
            </w:pPr>
          </w:p>
        </w:tc>
        <w:tc>
          <w:tcPr>
            <w:tcW w:w="3756" w:type="pct"/>
            <w:vAlign w:val="center"/>
          </w:tcPr>
          <w:p>
            <w:pPr>
              <w:widowControl/>
              <w:spacing w:line="240" w:lineRule="auto"/>
              <w:ind w:firstLine="0" w:firstLineChars="0"/>
              <w:jc w:val="both"/>
              <w:textAlignment w:val="center"/>
              <w:rPr>
                <w:rFonts w:ascii="宋体" w:hAnsi="宋体" w:cs="宋体"/>
                <w:sz w:val="24"/>
                <w:szCs w:val="24"/>
              </w:rPr>
            </w:pPr>
            <w:r>
              <w:fldChar w:fldCharType="begin"/>
            </w:r>
            <w:r>
              <w:instrText xml:space="preserve"> HYPERLINK \l "_Toc17612 " </w:instrText>
            </w:r>
            <w:r>
              <w:fldChar w:fldCharType="separate"/>
            </w:r>
            <w:r>
              <w:rPr>
                <w:rStyle w:val="35"/>
                <w:rFonts w:cs="Times New Roman"/>
                <w:color w:val="auto"/>
                <w:sz w:val="24"/>
                <w:szCs w:val="24"/>
                <w:u w:val="none"/>
              </w:rPr>
              <w:t xml:space="preserve">云南大姚祥华工业制造股份公司特种作业人员管理制度 </w:t>
            </w:r>
            <w:r>
              <w:rPr>
                <w:rStyle w:val="35"/>
                <w:rFonts w:cs="Times New Roman"/>
                <w:color w:val="auto"/>
                <w:sz w:val="24"/>
                <w:szCs w:val="24"/>
                <w:u w:val="none"/>
              </w:rPr>
              <w:fldChar w:fldCharType="end"/>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exact"/>
          <w:tblHeader/>
          <w:jc w:val="center"/>
        </w:trPr>
        <w:tc>
          <w:tcPr>
            <w:tcW w:w="805" w:type="pct"/>
            <w:vMerge w:val="continue"/>
            <w:vAlign w:val="center"/>
          </w:tcPr>
          <w:p>
            <w:pPr>
              <w:spacing w:line="240" w:lineRule="auto"/>
              <w:ind w:firstLine="0" w:firstLineChars="0"/>
              <w:jc w:val="center"/>
              <w:rPr>
                <w:rFonts w:ascii="宋体" w:hAnsi="宋体" w:cs="宋体"/>
                <w:sz w:val="24"/>
                <w:szCs w:val="24"/>
              </w:rPr>
            </w:pPr>
          </w:p>
        </w:tc>
        <w:tc>
          <w:tcPr>
            <w:tcW w:w="437" w:type="pct"/>
            <w:vAlign w:val="center"/>
          </w:tcPr>
          <w:p>
            <w:pPr>
              <w:numPr>
                <w:ilvl w:val="0"/>
                <w:numId w:val="29"/>
              </w:numPr>
              <w:tabs>
                <w:tab w:val="left" w:pos="397"/>
                <w:tab w:val="clear" w:pos="0"/>
              </w:tabs>
              <w:spacing w:line="240" w:lineRule="auto"/>
              <w:ind w:firstLine="0" w:firstLineChars="0"/>
              <w:jc w:val="center"/>
              <w:textAlignment w:val="center"/>
              <w:rPr>
                <w:rFonts w:ascii="宋体" w:hAnsi="宋体" w:cs="宋体"/>
                <w:color w:val="000000"/>
                <w:kern w:val="0"/>
                <w:sz w:val="24"/>
                <w:szCs w:val="24"/>
                <w:lang w:bidi="ar"/>
              </w:rPr>
            </w:pPr>
          </w:p>
        </w:tc>
        <w:tc>
          <w:tcPr>
            <w:tcW w:w="3756" w:type="pct"/>
            <w:vAlign w:val="center"/>
          </w:tcPr>
          <w:p>
            <w:pPr>
              <w:widowControl/>
              <w:spacing w:line="240" w:lineRule="auto"/>
              <w:ind w:firstLine="0" w:firstLineChars="0"/>
              <w:jc w:val="both"/>
              <w:textAlignment w:val="center"/>
            </w:pPr>
            <w:r>
              <w:rPr>
                <w:rStyle w:val="35"/>
                <w:rFonts w:cs="Times New Roman"/>
                <w:color w:val="auto"/>
                <w:sz w:val="24"/>
                <w:szCs w:val="24"/>
                <w:u w:val="none"/>
              </w:rPr>
              <w:t>云南大姚祥华工业制造股份公司</w:t>
            </w:r>
            <w:r>
              <w:rPr>
                <w:rStyle w:val="35"/>
                <w:rFonts w:hint="eastAsia" w:cs="Times New Roman"/>
                <w:color w:val="auto"/>
                <w:sz w:val="24"/>
                <w:szCs w:val="24"/>
                <w:u w:val="none"/>
                <w:lang w:val="en-US" w:eastAsia="zh-CN"/>
              </w:rPr>
              <w:t>特种设备安全管理制度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exact"/>
          <w:tblHeader/>
          <w:jc w:val="center"/>
        </w:trPr>
        <w:tc>
          <w:tcPr>
            <w:tcW w:w="805" w:type="pct"/>
            <w:vMerge w:val="continue"/>
            <w:vAlign w:val="center"/>
          </w:tcPr>
          <w:p>
            <w:pPr>
              <w:spacing w:line="240" w:lineRule="auto"/>
              <w:ind w:firstLine="0" w:firstLineChars="0"/>
              <w:jc w:val="center"/>
              <w:rPr>
                <w:rFonts w:ascii="宋体" w:hAnsi="宋体" w:cs="宋体"/>
                <w:sz w:val="24"/>
                <w:szCs w:val="24"/>
              </w:rPr>
            </w:pPr>
          </w:p>
        </w:tc>
        <w:tc>
          <w:tcPr>
            <w:tcW w:w="437" w:type="pct"/>
            <w:vAlign w:val="center"/>
          </w:tcPr>
          <w:p>
            <w:pPr>
              <w:numPr>
                <w:ilvl w:val="0"/>
                <w:numId w:val="29"/>
              </w:numPr>
              <w:tabs>
                <w:tab w:val="left" w:pos="397"/>
                <w:tab w:val="clear" w:pos="0"/>
              </w:tabs>
              <w:spacing w:line="240" w:lineRule="auto"/>
              <w:ind w:firstLine="0" w:firstLineChars="0"/>
              <w:jc w:val="center"/>
              <w:textAlignment w:val="center"/>
              <w:rPr>
                <w:rFonts w:ascii="宋体" w:hAnsi="宋体" w:cs="宋体"/>
                <w:color w:val="000000"/>
                <w:kern w:val="0"/>
                <w:sz w:val="24"/>
                <w:szCs w:val="24"/>
                <w:lang w:bidi="ar"/>
              </w:rPr>
            </w:pPr>
          </w:p>
        </w:tc>
        <w:tc>
          <w:tcPr>
            <w:tcW w:w="3756" w:type="pct"/>
            <w:vAlign w:val="center"/>
          </w:tcPr>
          <w:p>
            <w:pPr>
              <w:widowControl/>
              <w:spacing w:line="240" w:lineRule="auto"/>
              <w:ind w:firstLine="0" w:firstLineChars="0"/>
              <w:jc w:val="both"/>
              <w:textAlignment w:val="center"/>
              <w:rPr>
                <w:rFonts w:ascii="宋体" w:hAnsi="宋体" w:cs="宋体"/>
                <w:sz w:val="24"/>
                <w:szCs w:val="24"/>
              </w:rPr>
            </w:pPr>
            <w:r>
              <w:fldChar w:fldCharType="begin"/>
            </w:r>
            <w:r>
              <w:instrText xml:space="preserve"> HYPERLINK \l "_Toc18770 " </w:instrText>
            </w:r>
            <w:r>
              <w:fldChar w:fldCharType="separate"/>
            </w:r>
            <w:r>
              <w:rPr>
                <w:rStyle w:val="35"/>
                <w:rFonts w:cs="Times New Roman"/>
                <w:color w:val="auto"/>
                <w:sz w:val="24"/>
                <w:szCs w:val="24"/>
                <w:u w:val="none"/>
              </w:rPr>
              <w:t xml:space="preserve">云南大姚祥华工业制造股份公司设备和设施安全管理制度 </w:t>
            </w:r>
            <w:r>
              <w:rPr>
                <w:rStyle w:val="35"/>
                <w:rFonts w:cs="Times New Roman"/>
                <w:color w:val="auto"/>
                <w:sz w:val="24"/>
                <w:szCs w:val="24"/>
                <w:u w:val="none"/>
              </w:rPr>
              <w:fldChar w:fldCharType="end"/>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6" w:hRule="exact"/>
          <w:tblHeader/>
          <w:jc w:val="center"/>
        </w:trPr>
        <w:tc>
          <w:tcPr>
            <w:tcW w:w="805" w:type="pct"/>
            <w:vMerge w:val="continue"/>
            <w:vAlign w:val="center"/>
          </w:tcPr>
          <w:p>
            <w:pPr>
              <w:spacing w:line="240" w:lineRule="auto"/>
              <w:ind w:firstLine="0" w:firstLineChars="0"/>
              <w:jc w:val="center"/>
              <w:rPr>
                <w:rFonts w:ascii="宋体" w:hAnsi="宋体" w:cs="宋体"/>
                <w:sz w:val="24"/>
                <w:szCs w:val="24"/>
              </w:rPr>
            </w:pPr>
          </w:p>
        </w:tc>
        <w:tc>
          <w:tcPr>
            <w:tcW w:w="437" w:type="pct"/>
            <w:vAlign w:val="center"/>
          </w:tcPr>
          <w:p>
            <w:pPr>
              <w:numPr>
                <w:ilvl w:val="0"/>
                <w:numId w:val="29"/>
              </w:numPr>
              <w:tabs>
                <w:tab w:val="left" w:pos="397"/>
                <w:tab w:val="clear" w:pos="0"/>
              </w:tabs>
              <w:spacing w:line="240" w:lineRule="auto"/>
              <w:ind w:firstLine="0" w:firstLineChars="0"/>
              <w:jc w:val="center"/>
              <w:textAlignment w:val="center"/>
              <w:rPr>
                <w:rFonts w:ascii="宋体" w:hAnsi="宋体" w:cs="宋体"/>
                <w:color w:val="000000"/>
                <w:kern w:val="0"/>
                <w:sz w:val="24"/>
                <w:szCs w:val="24"/>
                <w:lang w:bidi="ar"/>
              </w:rPr>
            </w:pPr>
          </w:p>
        </w:tc>
        <w:tc>
          <w:tcPr>
            <w:tcW w:w="3756" w:type="pct"/>
            <w:vAlign w:val="center"/>
          </w:tcPr>
          <w:p>
            <w:pPr>
              <w:widowControl/>
              <w:spacing w:line="240" w:lineRule="auto"/>
              <w:ind w:firstLine="0" w:firstLineChars="0"/>
              <w:jc w:val="both"/>
              <w:textAlignment w:val="center"/>
              <w:rPr>
                <w:rFonts w:ascii="宋体" w:hAnsi="宋体" w:cs="宋体"/>
                <w:sz w:val="24"/>
                <w:szCs w:val="24"/>
              </w:rPr>
            </w:pPr>
            <w:r>
              <w:fldChar w:fldCharType="begin"/>
            </w:r>
            <w:r>
              <w:instrText xml:space="preserve"> HYPERLINK \l "_Toc9344 " </w:instrText>
            </w:r>
            <w:r>
              <w:fldChar w:fldCharType="separate"/>
            </w:r>
            <w:r>
              <w:rPr>
                <w:rStyle w:val="35"/>
                <w:rFonts w:cs="Times New Roman"/>
                <w:color w:val="auto"/>
                <w:sz w:val="24"/>
                <w:szCs w:val="24"/>
                <w:u w:val="none"/>
              </w:rPr>
              <w:t xml:space="preserve">云南大姚祥华工业制造股份公司风险分级管控制度 </w:t>
            </w:r>
            <w:r>
              <w:rPr>
                <w:rStyle w:val="35"/>
                <w:rFonts w:cs="Times New Roman"/>
                <w:color w:val="auto"/>
                <w:sz w:val="24"/>
                <w:szCs w:val="24"/>
                <w:u w:val="none"/>
              </w:rPr>
              <w:fldChar w:fldCharType="end"/>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95" w:hRule="exact"/>
          <w:tblHeader/>
          <w:jc w:val="center"/>
        </w:trPr>
        <w:tc>
          <w:tcPr>
            <w:tcW w:w="805" w:type="pct"/>
            <w:vMerge w:val="continue"/>
            <w:vAlign w:val="center"/>
          </w:tcPr>
          <w:p>
            <w:pPr>
              <w:spacing w:line="240" w:lineRule="auto"/>
              <w:ind w:firstLine="0" w:firstLineChars="0"/>
              <w:jc w:val="center"/>
              <w:rPr>
                <w:rFonts w:ascii="宋体" w:hAnsi="宋体" w:cs="宋体"/>
                <w:sz w:val="24"/>
                <w:szCs w:val="24"/>
              </w:rPr>
            </w:pPr>
          </w:p>
        </w:tc>
        <w:tc>
          <w:tcPr>
            <w:tcW w:w="437" w:type="pct"/>
            <w:vAlign w:val="center"/>
          </w:tcPr>
          <w:p>
            <w:pPr>
              <w:numPr>
                <w:ilvl w:val="0"/>
                <w:numId w:val="29"/>
              </w:numPr>
              <w:tabs>
                <w:tab w:val="left" w:pos="397"/>
                <w:tab w:val="clear" w:pos="0"/>
              </w:tabs>
              <w:spacing w:line="240" w:lineRule="auto"/>
              <w:ind w:firstLine="0" w:firstLineChars="0"/>
              <w:jc w:val="center"/>
              <w:textAlignment w:val="center"/>
              <w:rPr>
                <w:rFonts w:ascii="宋体" w:hAnsi="宋体" w:cs="宋体"/>
                <w:color w:val="000000"/>
                <w:kern w:val="0"/>
                <w:sz w:val="24"/>
                <w:szCs w:val="24"/>
                <w:lang w:bidi="ar"/>
              </w:rPr>
            </w:pPr>
          </w:p>
        </w:tc>
        <w:tc>
          <w:tcPr>
            <w:tcW w:w="3756" w:type="pct"/>
            <w:vAlign w:val="center"/>
          </w:tcPr>
          <w:p>
            <w:pPr>
              <w:widowControl/>
              <w:spacing w:line="240" w:lineRule="auto"/>
              <w:ind w:firstLine="0" w:firstLineChars="0"/>
              <w:jc w:val="both"/>
              <w:textAlignment w:val="center"/>
              <w:rPr>
                <w:rFonts w:ascii="宋体" w:hAnsi="宋体" w:cs="宋体"/>
                <w:sz w:val="24"/>
                <w:szCs w:val="24"/>
              </w:rPr>
            </w:pPr>
            <w:r>
              <w:fldChar w:fldCharType="begin"/>
            </w:r>
            <w:r>
              <w:instrText xml:space="preserve"> HYPERLINK \l "_Toc24738 " </w:instrText>
            </w:r>
            <w:r>
              <w:fldChar w:fldCharType="separate"/>
            </w:r>
            <w:r>
              <w:rPr>
                <w:rStyle w:val="35"/>
                <w:rFonts w:cs="Times New Roman"/>
                <w:color w:val="auto"/>
                <w:sz w:val="24"/>
                <w:szCs w:val="24"/>
                <w:u w:val="none"/>
              </w:rPr>
              <w:t xml:space="preserve">云南大姚祥华工业制造股份公司隐患排查治理管理制度 </w:t>
            </w:r>
            <w:r>
              <w:rPr>
                <w:rStyle w:val="35"/>
                <w:rFonts w:cs="Times New Roman"/>
                <w:color w:val="auto"/>
                <w:sz w:val="24"/>
                <w:szCs w:val="24"/>
                <w:u w:val="none"/>
              </w:rPr>
              <w:fldChar w:fldCharType="end"/>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77" w:hRule="exact"/>
          <w:tblHeader/>
          <w:jc w:val="center"/>
        </w:trPr>
        <w:tc>
          <w:tcPr>
            <w:tcW w:w="805" w:type="pct"/>
            <w:vMerge w:val="continue"/>
            <w:vAlign w:val="center"/>
          </w:tcPr>
          <w:p>
            <w:pPr>
              <w:widowControl/>
              <w:spacing w:line="240" w:lineRule="auto"/>
              <w:ind w:firstLine="0" w:firstLineChars="0"/>
              <w:jc w:val="both"/>
              <w:textAlignment w:val="center"/>
              <w:rPr>
                <w:rStyle w:val="35"/>
                <w:rFonts w:cs="Times New Roman"/>
                <w:color w:val="auto"/>
                <w:sz w:val="24"/>
                <w:szCs w:val="24"/>
                <w:u w:val="none"/>
              </w:rPr>
            </w:pPr>
          </w:p>
        </w:tc>
        <w:tc>
          <w:tcPr>
            <w:tcW w:w="437" w:type="pct"/>
            <w:vAlign w:val="center"/>
          </w:tcPr>
          <w:p>
            <w:pPr>
              <w:numPr>
                <w:ilvl w:val="0"/>
                <w:numId w:val="29"/>
              </w:numPr>
              <w:tabs>
                <w:tab w:val="left" w:pos="397"/>
                <w:tab w:val="clear" w:pos="0"/>
              </w:tabs>
              <w:spacing w:line="240" w:lineRule="auto"/>
              <w:ind w:firstLine="0" w:firstLineChars="0"/>
              <w:jc w:val="center"/>
              <w:textAlignment w:val="center"/>
              <w:rPr>
                <w:rFonts w:ascii="宋体" w:hAnsi="宋体" w:cs="宋体"/>
                <w:color w:val="000000"/>
                <w:kern w:val="0"/>
                <w:sz w:val="24"/>
                <w:szCs w:val="24"/>
                <w:lang w:bidi="ar"/>
              </w:rPr>
            </w:pPr>
          </w:p>
        </w:tc>
        <w:tc>
          <w:tcPr>
            <w:tcW w:w="3756" w:type="pct"/>
            <w:vAlign w:val="center"/>
          </w:tcPr>
          <w:p>
            <w:pPr>
              <w:widowControl/>
              <w:spacing w:line="240" w:lineRule="auto"/>
              <w:ind w:firstLine="0" w:firstLineChars="0"/>
              <w:jc w:val="both"/>
              <w:textAlignment w:val="center"/>
              <w:rPr>
                <w:rStyle w:val="35"/>
                <w:rFonts w:cs="Times New Roman"/>
                <w:color w:val="auto"/>
                <w:sz w:val="24"/>
                <w:szCs w:val="24"/>
                <w:u w:val="none"/>
              </w:rPr>
            </w:pPr>
            <w:r>
              <w:fldChar w:fldCharType="begin"/>
            </w:r>
            <w:r>
              <w:instrText xml:space="preserve"> HYPERLINK \l "_Toc27495 " </w:instrText>
            </w:r>
            <w:r>
              <w:fldChar w:fldCharType="separate"/>
            </w:r>
            <w:r>
              <w:rPr>
                <w:rStyle w:val="35"/>
                <w:rFonts w:cs="Times New Roman"/>
                <w:color w:val="auto"/>
                <w:sz w:val="24"/>
                <w:szCs w:val="24"/>
                <w:u w:val="none"/>
              </w:rPr>
              <w:t xml:space="preserve">云南大姚祥华工业制造股份公司安全生产应急管理制度 </w:t>
            </w:r>
            <w:r>
              <w:rPr>
                <w:rStyle w:val="35"/>
                <w:rFonts w:cs="Times New Roman"/>
                <w:color w:val="auto"/>
                <w:sz w:val="24"/>
                <w:szCs w:val="24"/>
                <w:u w:val="none"/>
              </w:rPr>
              <w:fldChar w:fldCharType="end"/>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05" w:hRule="exact"/>
          <w:tblHeader/>
          <w:jc w:val="center"/>
        </w:trPr>
        <w:tc>
          <w:tcPr>
            <w:tcW w:w="805" w:type="pct"/>
            <w:vMerge w:val="continue"/>
            <w:vAlign w:val="center"/>
          </w:tcPr>
          <w:p>
            <w:pPr>
              <w:widowControl/>
              <w:spacing w:line="240" w:lineRule="auto"/>
              <w:ind w:firstLine="0" w:firstLineChars="0"/>
              <w:jc w:val="both"/>
              <w:textAlignment w:val="center"/>
              <w:rPr>
                <w:rStyle w:val="35"/>
                <w:rFonts w:cs="Times New Roman"/>
                <w:color w:val="auto"/>
                <w:sz w:val="24"/>
                <w:szCs w:val="24"/>
                <w:u w:val="none"/>
              </w:rPr>
            </w:pPr>
          </w:p>
        </w:tc>
        <w:tc>
          <w:tcPr>
            <w:tcW w:w="437" w:type="pct"/>
            <w:vAlign w:val="center"/>
          </w:tcPr>
          <w:p>
            <w:pPr>
              <w:numPr>
                <w:ilvl w:val="0"/>
                <w:numId w:val="29"/>
              </w:numPr>
              <w:tabs>
                <w:tab w:val="left" w:pos="397"/>
                <w:tab w:val="clear" w:pos="0"/>
              </w:tabs>
              <w:spacing w:line="240" w:lineRule="auto"/>
              <w:ind w:firstLine="0" w:firstLineChars="0"/>
              <w:jc w:val="center"/>
              <w:textAlignment w:val="center"/>
              <w:rPr>
                <w:rFonts w:ascii="宋体" w:hAnsi="宋体" w:cs="宋体"/>
                <w:color w:val="000000"/>
                <w:kern w:val="0"/>
                <w:sz w:val="24"/>
                <w:szCs w:val="24"/>
                <w:lang w:bidi="ar"/>
              </w:rPr>
            </w:pPr>
          </w:p>
        </w:tc>
        <w:tc>
          <w:tcPr>
            <w:tcW w:w="3756" w:type="pct"/>
            <w:vAlign w:val="center"/>
          </w:tcPr>
          <w:p>
            <w:pPr>
              <w:widowControl/>
              <w:spacing w:line="240" w:lineRule="auto"/>
              <w:ind w:firstLine="0" w:firstLineChars="0"/>
              <w:jc w:val="both"/>
              <w:textAlignment w:val="center"/>
              <w:rPr>
                <w:rStyle w:val="35"/>
                <w:rFonts w:cs="Times New Roman"/>
                <w:color w:val="auto"/>
                <w:sz w:val="24"/>
                <w:szCs w:val="24"/>
                <w:u w:val="none"/>
              </w:rPr>
            </w:pPr>
            <w:r>
              <w:fldChar w:fldCharType="begin"/>
            </w:r>
            <w:r>
              <w:instrText xml:space="preserve"> HYPERLINK \l "_Toc21768 " </w:instrText>
            </w:r>
            <w:r>
              <w:fldChar w:fldCharType="separate"/>
            </w:r>
            <w:r>
              <w:rPr>
                <w:rStyle w:val="35"/>
                <w:rFonts w:cs="Times New Roman"/>
                <w:color w:val="auto"/>
                <w:sz w:val="24"/>
                <w:szCs w:val="24"/>
                <w:u w:val="none"/>
              </w:rPr>
              <w:t>云南大姚祥华工业制造股份公司</w:t>
            </w:r>
            <w:r>
              <w:rPr>
                <w:rStyle w:val="35"/>
                <w:rFonts w:hint="eastAsia" w:cs="Times New Roman"/>
                <w:color w:val="auto"/>
                <w:sz w:val="24"/>
                <w:szCs w:val="24"/>
                <w:u w:val="none"/>
              </w:rPr>
              <w:t>生产安全事故</w:t>
            </w:r>
            <w:r>
              <w:rPr>
                <w:rStyle w:val="35"/>
                <w:rFonts w:cs="Times New Roman"/>
                <w:color w:val="auto"/>
                <w:sz w:val="24"/>
                <w:szCs w:val="24"/>
                <w:u w:val="none"/>
              </w:rPr>
              <w:t>报告及</w:t>
            </w:r>
            <w:r>
              <w:rPr>
                <w:rStyle w:val="35"/>
                <w:rFonts w:hint="eastAsia" w:cs="Times New Roman"/>
                <w:color w:val="auto"/>
                <w:sz w:val="24"/>
                <w:szCs w:val="24"/>
                <w:u w:val="none"/>
              </w:rPr>
              <w:t>调查</w:t>
            </w:r>
            <w:r>
              <w:rPr>
                <w:rStyle w:val="35"/>
                <w:rFonts w:cs="Times New Roman"/>
                <w:color w:val="auto"/>
                <w:sz w:val="24"/>
                <w:szCs w:val="24"/>
                <w:u w:val="none"/>
              </w:rPr>
              <w:t>处理制度</w:t>
            </w:r>
            <w:r>
              <w:rPr>
                <w:rStyle w:val="35"/>
                <w:rFonts w:cs="Times New Roman"/>
                <w:color w:val="auto"/>
                <w:sz w:val="24"/>
                <w:szCs w:val="24"/>
                <w:u w:val="none"/>
              </w:rPr>
              <w:fldChar w:fldCharType="end"/>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91" w:hRule="exact"/>
          <w:tblHeader/>
          <w:jc w:val="center"/>
        </w:trPr>
        <w:tc>
          <w:tcPr>
            <w:tcW w:w="805" w:type="pct"/>
            <w:vMerge w:val="continue"/>
            <w:vAlign w:val="center"/>
          </w:tcPr>
          <w:p>
            <w:pPr>
              <w:widowControl/>
              <w:spacing w:line="240" w:lineRule="auto"/>
              <w:ind w:firstLine="0" w:firstLineChars="0"/>
              <w:jc w:val="both"/>
              <w:textAlignment w:val="center"/>
              <w:rPr>
                <w:rStyle w:val="35"/>
                <w:rFonts w:cs="Times New Roman"/>
                <w:color w:val="auto"/>
                <w:sz w:val="24"/>
                <w:szCs w:val="24"/>
                <w:u w:val="none"/>
              </w:rPr>
            </w:pPr>
          </w:p>
        </w:tc>
        <w:tc>
          <w:tcPr>
            <w:tcW w:w="437" w:type="pct"/>
            <w:vAlign w:val="center"/>
          </w:tcPr>
          <w:p>
            <w:pPr>
              <w:numPr>
                <w:ilvl w:val="0"/>
                <w:numId w:val="29"/>
              </w:numPr>
              <w:tabs>
                <w:tab w:val="left" w:pos="397"/>
                <w:tab w:val="clear" w:pos="0"/>
              </w:tabs>
              <w:spacing w:line="240" w:lineRule="auto"/>
              <w:ind w:firstLine="0" w:firstLineChars="0"/>
              <w:jc w:val="center"/>
              <w:textAlignment w:val="center"/>
              <w:rPr>
                <w:rFonts w:ascii="宋体" w:hAnsi="宋体" w:cs="宋体"/>
                <w:color w:val="000000"/>
                <w:kern w:val="0"/>
                <w:sz w:val="24"/>
                <w:szCs w:val="24"/>
                <w:lang w:bidi="ar"/>
              </w:rPr>
            </w:pPr>
          </w:p>
        </w:tc>
        <w:tc>
          <w:tcPr>
            <w:tcW w:w="3756" w:type="pct"/>
            <w:vAlign w:val="center"/>
          </w:tcPr>
          <w:p>
            <w:pPr>
              <w:widowControl/>
              <w:spacing w:line="240" w:lineRule="auto"/>
              <w:ind w:firstLine="0" w:firstLineChars="0"/>
              <w:jc w:val="both"/>
              <w:textAlignment w:val="center"/>
              <w:rPr>
                <w:rStyle w:val="35"/>
                <w:rFonts w:cs="Times New Roman"/>
                <w:color w:val="auto"/>
                <w:sz w:val="24"/>
                <w:szCs w:val="24"/>
                <w:u w:val="none"/>
              </w:rPr>
            </w:pPr>
            <w:r>
              <w:rPr>
                <w:rStyle w:val="35"/>
                <w:rFonts w:cs="Times New Roman"/>
                <w:color w:val="auto"/>
                <w:sz w:val="24"/>
                <w:szCs w:val="24"/>
                <w:u w:val="none"/>
              </w:rPr>
              <w:t>云南大姚祥华工业制造股份公司粉尘清扫制度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91" w:hRule="exact"/>
          <w:tblHeader/>
          <w:jc w:val="center"/>
        </w:trPr>
        <w:tc>
          <w:tcPr>
            <w:tcW w:w="805" w:type="pct"/>
            <w:vMerge w:val="continue"/>
            <w:vAlign w:val="center"/>
          </w:tcPr>
          <w:p>
            <w:pPr>
              <w:widowControl/>
              <w:spacing w:line="240" w:lineRule="auto"/>
              <w:ind w:firstLine="0" w:firstLineChars="0"/>
              <w:jc w:val="both"/>
              <w:textAlignment w:val="center"/>
              <w:rPr>
                <w:rStyle w:val="35"/>
                <w:rFonts w:cs="Times New Roman"/>
                <w:color w:val="auto"/>
                <w:sz w:val="24"/>
                <w:szCs w:val="24"/>
                <w:u w:val="none"/>
              </w:rPr>
            </w:pPr>
          </w:p>
        </w:tc>
        <w:tc>
          <w:tcPr>
            <w:tcW w:w="437" w:type="pct"/>
            <w:vAlign w:val="center"/>
          </w:tcPr>
          <w:p>
            <w:pPr>
              <w:numPr>
                <w:ilvl w:val="0"/>
                <w:numId w:val="29"/>
              </w:numPr>
              <w:tabs>
                <w:tab w:val="left" w:pos="397"/>
                <w:tab w:val="clear" w:pos="0"/>
              </w:tabs>
              <w:spacing w:line="240" w:lineRule="auto"/>
              <w:ind w:firstLine="0" w:firstLineChars="0"/>
              <w:jc w:val="center"/>
              <w:textAlignment w:val="center"/>
              <w:rPr>
                <w:rFonts w:ascii="宋体" w:hAnsi="宋体" w:cs="宋体"/>
                <w:color w:val="000000"/>
                <w:kern w:val="0"/>
                <w:sz w:val="24"/>
                <w:szCs w:val="24"/>
                <w:lang w:bidi="ar"/>
              </w:rPr>
            </w:pPr>
          </w:p>
        </w:tc>
        <w:tc>
          <w:tcPr>
            <w:tcW w:w="3756" w:type="pct"/>
            <w:vAlign w:val="center"/>
          </w:tcPr>
          <w:p>
            <w:pPr>
              <w:widowControl/>
              <w:spacing w:line="240" w:lineRule="auto"/>
              <w:ind w:firstLine="0" w:firstLineChars="0"/>
              <w:jc w:val="both"/>
              <w:textAlignment w:val="center"/>
              <w:rPr>
                <w:rStyle w:val="35"/>
                <w:rFonts w:cs="Times New Roman"/>
                <w:color w:val="auto"/>
                <w:sz w:val="24"/>
                <w:szCs w:val="24"/>
                <w:u w:val="none"/>
              </w:rPr>
            </w:pPr>
            <w:r>
              <w:rPr>
                <w:rStyle w:val="35"/>
                <w:rFonts w:cs="Times New Roman"/>
                <w:color w:val="auto"/>
                <w:sz w:val="24"/>
                <w:szCs w:val="24"/>
                <w:u w:val="none"/>
              </w:rPr>
              <w:t>云南大姚祥华工业制造股份公司</w:t>
            </w:r>
            <w:r>
              <w:rPr>
                <w:rStyle w:val="35"/>
                <w:rFonts w:hint="eastAsia" w:cs="Times New Roman"/>
                <w:color w:val="auto"/>
                <w:sz w:val="24"/>
                <w:szCs w:val="24"/>
                <w:u w:val="none"/>
                <w:lang w:val="en-US" w:eastAsia="zh-CN"/>
              </w:rPr>
              <w:t>中频炉安全管理制度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91" w:hRule="exact"/>
          <w:tblHeader/>
          <w:jc w:val="center"/>
        </w:trPr>
        <w:tc>
          <w:tcPr>
            <w:tcW w:w="805" w:type="pct"/>
            <w:vMerge w:val="continue"/>
            <w:vAlign w:val="center"/>
          </w:tcPr>
          <w:p>
            <w:pPr>
              <w:widowControl/>
              <w:spacing w:line="240" w:lineRule="auto"/>
              <w:ind w:firstLine="0" w:firstLineChars="0"/>
              <w:jc w:val="both"/>
              <w:textAlignment w:val="center"/>
              <w:rPr>
                <w:rStyle w:val="35"/>
                <w:rFonts w:cs="Times New Roman"/>
                <w:color w:val="auto"/>
                <w:sz w:val="24"/>
                <w:szCs w:val="24"/>
                <w:u w:val="none"/>
              </w:rPr>
            </w:pPr>
          </w:p>
        </w:tc>
        <w:tc>
          <w:tcPr>
            <w:tcW w:w="437" w:type="pct"/>
            <w:vAlign w:val="center"/>
          </w:tcPr>
          <w:p>
            <w:pPr>
              <w:numPr>
                <w:ilvl w:val="0"/>
                <w:numId w:val="29"/>
              </w:numPr>
              <w:tabs>
                <w:tab w:val="left" w:pos="397"/>
                <w:tab w:val="clear" w:pos="0"/>
              </w:tabs>
              <w:spacing w:line="240" w:lineRule="auto"/>
              <w:ind w:firstLine="0" w:firstLineChars="0"/>
              <w:jc w:val="center"/>
              <w:textAlignment w:val="center"/>
              <w:rPr>
                <w:rFonts w:ascii="宋体" w:hAnsi="宋体" w:cs="宋体"/>
                <w:color w:val="000000"/>
                <w:kern w:val="0"/>
                <w:sz w:val="24"/>
                <w:szCs w:val="24"/>
                <w:lang w:bidi="ar"/>
              </w:rPr>
            </w:pPr>
          </w:p>
        </w:tc>
        <w:tc>
          <w:tcPr>
            <w:tcW w:w="3756" w:type="pct"/>
            <w:vAlign w:val="center"/>
          </w:tcPr>
          <w:p>
            <w:pPr>
              <w:widowControl/>
              <w:spacing w:line="240" w:lineRule="auto"/>
              <w:ind w:firstLine="0" w:firstLineChars="0"/>
              <w:jc w:val="both"/>
              <w:textAlignment w:val="center"/>
              <w:rPr>
                <w:rStyle w:val="35"/>
                <w:rFonts w:cs="Times New Roman"/>
                <w:color w:val="auto"/>
                <w:sz w:val="24"/>
                <w:szCs w:val="24"/>
                <w:u w:val="none"/>
              </w:rPr>
            </w:pPr>
            <w:r>
              <w:rPr>
                <w:rStyle w:val="35"/>
                <w:rFonts w:cs="Times New Roman"/>
                <w:color w:val="auto"/>
                <w:sz w:val="24"/>
                <w:szCs w:val="24"/>
                <w:u w:val="none"/>
              </w:rPr>
              <w:t>云南大姚祥华工业制造股份公司</w:t>
            </w:r>
            <w:r>
              <w:rPr>
                <w:rStyle w:val="35"/>
                <w:rFonts w:hint="eastAsia" w:cs="Times New Roman"/>
                <w:color w:val="auto"/>
                <w:sz w:val="24"/>
                <w:szCs w:val="24"/>
                <w:u w:val="none"/>
                <w:lang w:val="en-US" w:eastAsia="zh-CN"/>
              </w:rPr>
              <w:t>有限空间安全管理制度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exact"/>
          <w:tblHeader/>
          <w:jc w:val="center"/>
        </w:trPr>
        <w:tc>
          <w:tcPr>
            <w:tcW w:w="805" w:type="pct"/>
            <w:vMerge w:val="restart"/>
            <w:vAlign w:val="center"/>
          </w:tcPr>
          <w:p>
            <w:pPr>
              <w:widowControl/>
              <w:spacing w:line="240" w:lineRule="auto"/>
              <w:ind w:firstLine="0" w:firstLineChars="0"/>
              <w:jc w:val="center"/>
              <w:textAlignment w:val="center"/>
              <w:rPr>
                <w:rStyle w:val="35"/>
                <w:rFonts w:cs="Times New Roman"/>
                <w:color w:val="auto"/>
                <w:sz w:val="24"/>
                <w:szCs w:val="24"/>
                <w:u w:val="none"/>
              </w:rPr>
            </w:pPr>
            <w:r>
              <w:rPr>
                <w:rStyle w:val="35"/>
                <w:rFonts w:hint="eastAsia" w:cs="Times New Roman"/>
                <w:color w:val="auto"/>
                <w:sz w:val="24"/>
                <w:szCs w:val="24"/>
                <w:u w:val="none"/>
              </w:rPr>
              <w:t>安全操作规程</w:t>
            </w:r>
          </w:p>
        </w:tc>
        <w:tc>
          <w:tcPr>
            <w:tcW w:w="437" w:type="pct"/>
            <w:vAlign w:val="center"/>
          </w:tcPr>
          <w:p>
            <w:pPr>
              <w:numPr>
                <w:ilvl w:val="0"/>
                <w:numId w:val="30"/>
              </w:numPr>
              <w:tabs>
                <w:tab w:val="left" w:pos="397"/>
                <w:tab w:val="clear" w:pos="0"/>
              </w:tabs>
              <w:spacing w:line="240" w:lineRule="auto"/>
              <w:ind w:firstLine="0" w:firstLineChars="0"/>
              <w:jc w:val="center"/>
              <w:textAlignment w:val="center"/>
              <w:rPr>
                <w:rFonts w:ascii="宋体" w:hAnsi="宋体" w:cs="宋体"/>
                <w:color w:val="000000"/>
                <w:kern w:val="0"/>
                <w:sz w:val="24"/>
                <w:szCs w:val="24"/>
                <w:lang w:bidi="ar"/>
              </w:rPr>
            </w:pPr>
          </w:p>
        </w:tc>
        <w:tc>
          <w:tcPr>
            <w:tcW w:w="3756" w:type="pct"/>
            <w:vAlign w:val="center"/>
          </w:tcPr>
          <w:p>
            <w:pPr>
              <w:widowControl/>
              <w:spacing w:line="240" w:lineRule="auto"/>
              <w:ind w:firstLine="0" w:firstLineChars="0"/>
              <w:jc w:val="both"/>
              <w:textAlignment w:val="center"/>
              <w:rPr>
                <w:rStyle w:val="35"/>
                <w:rFonts w:cs="Times New Roman"/>
                <w:color w:val="auto"/>
                <w:sz w:val="24"/>
                <w:szCs w:val="24"/>
                <w:u w:val="none"/>
              </w:rPr>
            </w:pPr>
            <w:r>
              <w:fldChar w:fldCharType="begin"/>
            </w:r>
            <w:r>
              <w:instrText xml:space="preserve"> HYPERLINK \l "_Toc23827 " </w:instrText>
            </w:r>
            <w:r>
              <w:fldChar w:fldCharType="separate"/>
            </w:r>
            <w:r>
              <w:rPr>
                <w:rStyle w:val="35"/>
                <w:rFonts w:cs="Times New Roman"/>
                <w:color w:val="auto"/>
                <w:sz w:val="24"/>
                <w:szCs w:val="24"/>
                <w:u w:val="none"/>
              </w:rPr>
              <w:t xml:space="preserve">中频炉安全操作规程 </w:t>
            </w:r>
            <w:r>
              <w:rPr>
                <w:rStyle w:val="35"/>
                <w:rFonts w:cs="Times New Roman"/>
                <w:color w:val="auto"/>
                <w:sz w:val="24"/>
                <w:szCs w:val="24"/>
                <w:u w:val="none"/>
              </w:rPr>
              <w:fldChar w:fldCharType="end"/>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exact"/>
          <w:tblHeader/>
          <w:jc w:val="center"/>
        </w:trPr>
        <w:tc>
          <w:tcPr>
            <w:tcW w:w="805" w:type="pct"/>
            <w:vMerge w:val="continue"/>
            <w:vAlign w:val="center"/>
          </w:tcPr>
          <w:p>
            <w:pPr>
              <w:widowControl/>
              <w:spacing w:line="240" w:lineRule="auto"/>
              <w:ind w:firstLine="0" w:firstLineChars="0"/>
              <w:jc w:val="both"/>
              <w:textAlignment w:val="center"/>
              <w:rPr>
                <w:rStyle w:val="35"/>
                <w:rFonts w:cs="Times New Roman"/>
                <w:color w:val="auto"/>
                <w:sz w:val="24"/>
                <w:szCs w:val="24"/>
                <w:u w:val="none"/>
              </w:rPr>
            </w:pPr>
          </w:p>
        </w:tc>
        <w:tc>
          <w:tcPr>
            <w:tcW w:w="437" w:type="pct"/>
            <w:vAlign w:val="center"/>
          </w:tcPr>
          <w:p>
            <w:pPr>
              <w:numPr>
                <w:ilvl w:val="0"/>
                <w:numId w:val="30"/>
              </w:numPr>
              <w:tabs>
                <w:tab w:val="left" w:pos="397"/>
                <w:tab w:val="clear" w:pos="0"/>
              </w:tabs>
              <w:spacing w:line="240" w:lineRule="auto"/>
              <w:ind w:firstLine="0" w:firstLineChars="0"/>
              <w:jc w:val="center"/>
              <w:textAlignment w:val="center"/>
              <w:rPr>
                <w:rFonts w:ascii="宋体" w:hAnsi="宋体" w:cs="宋体"/>
                <w:color w:val="000000"/>
                <w:kern w:val="0"/>
                <w:sz w:val="24"/>
                <w:szCs w:val="24"/>
                <w:lang w:bidi="ar"/>
              </w:rPr>
            </w:pPr>
          </w:p>
        </w:tc>
        <w:tc>
          <w:tcPr>
            <w:tcW w:w="3756" w:type="pct"/>
            <w:vAlign w:val="center"/>
          </w:tcPr>
          <w:p>
            <w:pPr>
              <w:widowControl/>
              <w:spacing w:line="240" w:lineRule="auto"/>
              <w:ind w:firstLine="0" w:firstLineChars="0"/>
              <w:jc w:val="both"/>
              <w:textAlignment w:val="center"/>
              <w:rPr>
                <w:rStyle w:val="35"/>
                <w:rFonts w:cs="Times New Roman"/>
                <w:color w:val="auto"/>
                <w:sz w:val="24"/>
                <w:szCs w:val="24"/>
                <w:u w:val="none"/>
              </w:rPr>
            </w:pPr>
            <w:r>
              <w:fldChar w:fldCharType="begin"/>
            </w:r>
            <w:r>
              <w:instrText xml:space="preserve"> HYPERLINK \l "_Toc3430 " </w:instrText>
            </w:r>
            <w:r>
              <w:fldChar w:fldCharType="separate"/>
            </w:r>
            <w:r>
              <w:rPr>
                <w:rStyle w:val="35"/>
                <w:rFonts w:hint="eastAsia" w:cs="Times New Roman"/>
                <w:color w:val="auto"/>
                <w:sz w:val="24"/>
                <w:szCs w:val="24"/>
                <w:u w:val="none"/>
              </w:rPr>
              <w:t xml:space="preserve">中频炉风险管控方案 </w:t>
            </w:r>
            <w:r>
              <w:rPr>
                <w:rStyle w:val="35"/>
                <w:rFonts w:hint="eastAsia" w:cs="Times New Roman"/>
                <w:color w:val="auto"/>
                <w:sz w:val="24"/>
                <w:szCs w:val="24"/>
                <w:u w:val="none"/>
              </w:rPr>
              <w:fldChar w:fldCharType="end"/>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exact"/>
          <w:tblHeader/>
          <w:jc w:val="center"/>
        </w:trPr>
        <w:tc>
          <w:tcPr>
            <w:tcW w:w="805" w:type="pct"/>
            <w:vMerge w:val="continue"/>
            <w:vAlign w:val="center"/>
          </w:tcPr>
          <w:p>
            <w:pPr>
              <w:widowControl/>
              <w:spacing w:line="240" w:lineRule="auto"/>
              <w:ind w:firstLine="0" w:firstLineChars="0"/>
              <w:jc w:val="both"/>
              <w:textAlignment w:val="center"/>
              <w:rPr>
                <w:rStyle w:val="35"/>
                <w:rFonts w:cs="Times New Roman"/>
                <w:color w:val="auto"/>
                <w:sz w:val="24"/>
                <w:szCs w:val="24"/>
                <w:u w:val="none"/>
              </w:rPr>
            </w:pPr>
          </w:p>
        </w:tc>
        <w:tc>
          <w:tcPr>
            <w:tcW w:w="437" w:type="pct"/>
            <w:vAlign w:val="center"/>
          </w:tcPr>
          <w:p>
            <w:pPr>
              <w:numPr>
                <w:ilvl w:val="0"/>
                <w:numId w:val="30"/>
              </w:numPr>
              <w:tabs>
                <w:tab w:val="left" w:pos="397"/>
                <w:tab w:val="clear" w:pos="0"/>
              </w:tabs>
              <w:spacing w:line="240" w:lineRule="auto"/>
              <w:ind w:firstLine="0" w:firstLineChars="0"/>
              <w:jc w:val="center"/>
              <w:textAlignment w:val="center"/>
              <w:rPr>
                <w:rFonts w:ascii="宋体" w:hAnsi="宋体" w:cs="宋体"/>
                <w:color w:val="000000"/>
                <w:kern w:val="0"/>
                <w:sz w:val="24"/>
                <w:szCs w:val="24"/>
                <w:lang w:bidi="ar"/>
              </w:rPr>
            </w:pPr>
          </w:p>
        </w:tc>
        <w:tc>
          <w:tcPr>
            <w:tcW w:w="3756" w:type="pct"/>
            <w:vAlign w:val="center"/>
          </w:tcPr>
          <w:p>
            <w:pPr>
              <w:widowControl/>
              <w:spacing w:line="240" w:lineRule="auto"/>
              <w:ind w:firstLine="0" w:firstLineChars="0"/>
              <w:jc w:val="both"/>
              <w:textAlignment w:val="center"/>
              <w:rPr>
                <w:rStyle w:val="35"/>
                <w:rFonts w:cs="Times New Roman"/>
                <w:color w:val="auto"/>
                <w:sz w:val="24"/>
                <w:szCs w:val="24"/>
                <w:u w:val="none"/>
              </w:rPr>
            </w:pPr>
            <w:r>
              <w:fldChar w:fldCharType="begin"/>
            </w:r>
            <w:r>
              <w:instrText xml:space="preserve"> HYPERLINK \l "_Toc7541 " </w:instrText>
            </w:r>
            <w:r>
              <w:fldChar w:fldCharType="separate"/>
            </w:r>
            <w:r>
              <w:rPr>
                <w:rStyle w:val="35"/>
                <w:rFonts w:cs="Times New Roman"/>
                <w:color w:val="auto"/>
                <w:sz w:val="24"/>
                <w:szCs w:val="24"/>
                <w:u w:val="none"/>
              </w:rPr>
              <w:t xml:space="preserve">空压机安全操作规程 </w:t>
            </w:r>
            <w:r>
              <w:rPr>
                <w:rStyle w:val="35"/>
                <w:rFonts w:cs="Times New Roman"/>
                <w:color w:val="auto"/>
                <w:sz w:val="24"/>
                <w:szCs w:val="24"/>
                <w:u w:val="none"/>
              </w:rPr>
              <w:fldChar w:fldCharType="end"/>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exact"/>
          <w:tblHeader/>
          <w:jc w:val="center"/>
        </w:trPr>
        <w:tc>
          <w:tcPr>
            <w:tcW w:w="805" w:type="pct"/>
            <w:vMerge w:val="continue"/>
            <w:vAlign w:val="center"/>
          </w:tcPr>
          <w:p>
            <w:pPr>
              <w:widowControl/>
              <w:spacing w:line="240" w:lineRule="auto"/>
              <w:ind w:firstLine="0" w:firstLineChars="0"/>
              <w:jc w:val="both"/>
              <w:textAlignment w:val="center"/>
              <w:rPr>
                <w:rStyle w:val="35"/>
                <w:rFonts w:cs="Times New Roman"/>
                <w:color w:val="auto"/>
                <w:sz w:val="24"/>
                <w:szCs w:val="24"/>
                <w:u w:val="none"/>
              </w:rPr>
            </w:pPr>
          </w:p>
        </w:tc>
        <w:tc>
          <w:tcPr>
            <w:tcW w:w="437" w:type="pct"/>
            <w:vAlign w:val="center"/>
          </w:tcPr>
          <w:p>
            <w:pPr>
              <w:numPr>
                <w:ilvl w:val="0"/>
                <w:numId w:val="30"/>
              </w:numPr>
              <w:tabs>
                <w:tab w:val="left" w:pos="397"/>
                <w:tab w:val="clear" w:pos="0"/>
              </w:tabs>
              <w:spacing w:line="240" w:lineRule="auto"/>
              <w:ind w:firstLine="0" w:firstLineChars="0"/>
              <w:jc w:val="center"/>
              <w:textAlignment w:val="center"/>
              <w:rPr>
                <w:rFonts w:ascii="宋体" w:hAnsi="宋体" w:cs="宋体"/>
                <w:color w:val="000000"/>
                <w:kern w:val="0"/>
                <w:sz w:val="24"/>
                <w:szCs w:val="24"/>
                <w:lang w:bidi="ar"/>
              </w:rPr>
            </w:pPr>
          </w:p>
        </w:tc>
        <w:tc>
          <w:tcPr>
            <w:tcW w:w="3756" w:type="pct"/>
            <w:vAlign w:val="center"/>
          </w:tcPr>
          <w:p>
            <w:pPr>
              <w:widowControl/>
              <w:spacing w:line="240" w:lineRule="auto"/>
              <w:ind w:firstLine="0" w:firstLineChars="0"/>
              <w:jc w:val="both"/>
              <w:textAlignment w:val="center"/>
              <w:rPr>
                <w:rStyle w:val="35"/>
                <w:rFonts w:cs="Times New Roman"/>
                <w:color w:val="auto"/>
                <w:sz w:val="24"/>
                <w:szCs w:val="24"/>
                <w:u w:val="none"/>
              </w:rPr>
            </w:pPr>
            <w:r>
              <w:fldChar w:fldCharType="begin"/>
            </w:r>
            <w:r>
              <w:instrText xml:space="preserve"> HYPERLINK \l "_Toc8800 " </w:instrText>
            </w:r>
            <w:r>
              <w:fldChar w:fldCharType="separate"/>
            </w:r>
            <w:r>
              <w:rPr>
                <w:rStyle w:val="35"/>
                <w:rFonts w:hint="eastAsia" w:cs="Times New Roman"/>
                <w:color w:val="auto"/>
                <w:sz w:val="24"/>
                <w:szCs w:val="24"/>
                <w:u w:val="none"/>
              </w:rPr>
              <w:t xml:space="preserve">行车安全操作规程 </w:t>
            </w:r>
            <w:r>
              <w:rPr>
                <w:rStyle w:val="35"/>
                <w:rFonts w:hint="eastAsia" w:cs="Times New Roman"/>
                <w:color w:val="auto"/>
                <w:sz w:val="24"/>
                <w:szCs w:val="24"/>
                <w:u w:val="none"/>
              </w:rPr>
              <w:fldChar w:fldCharType="end"/>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9" w:hRule="exact"/>
          <w:tblHeader/>
          <w:jc w:val="center"/>
        </w:trPr>
        <w:tc>
          <w:tcPr>
            <w:tcW w:w="805" w:type="pct"/>
            <w:vMerge w:val="continue"/>
            <w:vAlign w:val="center"/>
          </w:tcPr>
          <w:p>
            <w:pPr>
              <w:widowControl/>
              <w:spacing w:line="240" w:lineRule="auto"/>
              <w:ind w:firstLine="0" w:firstLineChars="0"/>
              <w:jc w:val="both"/>
              <w:textAlignment w:val="center"/>
              <w:rPr>
                <w:rStyle w:val="35"/>
                <w:rFonts w:cs="Times New Roman"/>
                <w:color w:val="auto"/>
                <w:sz w:val="24"/>
                <w:szCs w:val="24"/>
                <w:u w:val="none"/>
              </w:rPr>
            </w:pPr>
          </w:p>
        </w:tc>
        <w:tc>
          <w:tcPr>
            <w:tcW w:w="437" w:type="pct"/>
            <w:vAlign w:val="center"/>
          </w:tcPr>
          <w:p>
            <w:pPr>
              <w:numPr>
                <w:ilvl w:val="0"/>
                <w:numId w:val="30"/>
              </w:numPr>
              <w:tabs>
                <w:tab w:val="left" w:pos="397"/>
                <w:tab w:val="clear" w:pos="0"/>
              </w:tabs>
              <w:spacing w:line="240" w:lineRule="auto"/>
              <w:ind w:firstLine="0" w:firstLineChars="0"/>
              <w:jc w:val="center"/>
              <w:textAlignment w:val="center"/>
              <w:rPr>
                <w:rFonts w:ascii="宋体" w:hAnsi="宋体" w:cs="宋体"/>
                <w:color w:val="000000"/>
                <w:kern w:val="0"/>
                <w:sz w:val="24"/>
                <w:szCs w:val="24"/>
                <w:lang w:bidi="ar"/>
              </w:rPr>
            </w:pPr>
          </w:p>
        </w:tc>
        <w:tc>
          <w:tcPr>
            <w:tcW w:w="3756" w:type="pct"/>
            <w:vAlign w:val="center"/>
          </w:tcPr>
          <w:p>
            <w:pPr>
              <w:widowControl/>
              <w:spacing w:line="240" w:lineRule="auto"/>
              <w:ind w:firstLine="0" w:firstLineChars="0"/>
              <w:jc w:val="both"/>
              <w:textAlignment w:val="center"/>
              <w:rPr>
                <w:rStyle w:val="35"/>
                <w:rFonts w:cs="Times New Roman"/>
                <w:color w:val="auto"/>
                <w:sz w:val="24"/>
                <w:szCs w:val="24"/>
                <w:u w:val="none"/>
              </w:rPr>
            </w:pPr>
            <w:r>
              <w:fldChar w:fldCharType="begin"/>
            </w:r>
            <w:r>
              <w:instrText xml:space="preserve"> HYPERLINK \l "_Toc27594 " </w:instrText>
            </w:r>
            <w:r>
              <w:fldChar w:fldCharType="separate"/>
            </w:r>
            <w:r>
              <w:rPr>
                <w:rStyle w:val="35"/>
                <w:rFonts w:cs="Times New Roman"/>
                <w:color w:val="auto"/>
                <w:sz w:val="24"/>
                <w:szCs w:val="24"/>
                <w:u w:val="none"/>
              </w:rPr>
              <w:t xml:space="preserve">压力容器（储气罐）安全操作规程 </w:t>
            </w:r>
            <w:r>
              <w:rPr>
                <w:rStyle w:val="35"/>
                <w:rFonts w:cs="Times New Roman"/>
                <w:color w:val="auto"/>
                <w:sz w:val="24"/>
                <w:szCs w:val="24"/>
                <w:u w:val="none"/>
              </w:rPr>
              <w:fldChar w:fldCharType="end"/>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exact"/>
          <w:tblHeader/>
          <w:jc w:val="center"/>
        </w:trPr>
        <w:tc>
          <w:tcPr>
            <w:tcW w:w="805" w:type="pct"/>
            <w:vMerge w:val="continue"/>
            <w:vAlign w:val="center"/>
          </w:tcPr>
          <w:p>
            <w:pPr>
              <w:widowControl/>
              <w:spacing w:line="240" w:lineRule="auto"/>
              <w:ind w:firstLine="0" w:firstLineChars="0"/>
              <w:jc w:val="both"/>
              <w:textAlignment w:val="center"/>
              <w:rPr>
                <w:rStyle w:val="35"/>
                <w:rFonts w:cs="Times New Roman"/>
                <w:color w:val="auto"/>
                <w:sz w:val="24"/>
                <w:szCs w:val="24"/>
                <w:u w:val="none"/>
              </w:rPr>
            </w:pPr>
          </w:p>
        </w:tc>
        <w:tc>
          <w:tcPr>
            <w:tcW w:w="437" w:type="pct"/>
            <w:vAlign w:val="center"/>
          </w:tcPr>
          <w:p>
            <w:pPr>
              <w:numPr>
                <w:ilvl w:val="0"/>
                <w:numId w:val="30"/>
              </w:numPr>
              <w:tabs>
                <w:tab w:val="left" w:pos="397"/>
                <w:tab w:val="clear" w:pos="0"/>
              </w:tabs>
              <w:spacing w:line="240" w:lineRule="auto"/>
              <w:ind w:firstLine="0" w:firstLineChars="0"/>
              <w:jc w:val="center"/>
              <w:textAlignment w:val="center"/>
              <w:rPr>
                <w:rFonts w:ascii="宋体" w:hAnsi="宋体" w:cs="宋体"/>
                <w:color w:val="000000"/>
                <w:kern w:val="0"/>
                <w:sz w:val="24"/>
                <w:szCs w:val="24"/>
                <w:lang w:bidi="ar"/>
              </w:rPr>
            </w:pPr>
          </w:p>
        </w:tc>
        <w:tc>
          <w:tcPr>
            <w:tcW w:w="3756" w:type="pct"/>
            <w:vAlign w:val="center"/>
          </w:tcPr>
          <w:p>
            <w:pPr>
              <w:widowControl/>
              <w:spacing w:line="240" w:lineRule="auto"/>
              <w:ind w:firstLine="0" w:firstLineChars="0"/>
              <w:jc w:val="both"/>
              <w:textAlignment w:val="center"/>
              <w:rPr>
                <w:rStyle w:val="35"/>
                <w:rFonts w:cs="Times New Roman"/>
                <w:color w:val="auto"/>
                <w:sz w:val="24"/>
                <w:szCs w:val="24"/>
                <w:u w:val="none"/>
              </w:rPr>
            </w:pPr>
            <w:r>
              <w:fldChar w:fldCharType="begin"/>
            </w:r>
            <w:r>
              <w:instrText xml:space="preserve"> HYPERLINK \l "_Toc24763 " </w:instrText>
            </w:r>
            <w:r>
              <w:fldChar w:fldCharType="separate"/>
            </w:r>
            <w:r>
              <w:rPr>
                <w:rStyle w:val="35"/>
                <w:rFonts w:cs="Times New Roman"/>
                <w:color w:val="auto"/>
                <w:sz w:val="24"/>
                <w:szCs w:val="24"/>
                <w:u w:val="none"/>
              </w:rPr>
              <w:t xml:space="preserve">叉车安全操作规程 </w:t>
            </w:r>
            <w:r>
              <w:rPr>
                <w:rStyle w:val="35"/>
                <w:rFonts w:cs="Times New Roman"/>
                <w:color w:val="auto"/>
                <w:sz w:val="24"/>
                <w:szCs w:val="24"/>
                <w:u w:val="none"/>
              </w:rPr>
              <w:fldChar w:fldCharType="end"/>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exact"/>
          <w:tblHeader/>
          <w:jc w:val="center"/>
        </w:trPr>
        <w:tc>
          <w:tcPr>
            <w:tcW w:w="805" w:type="pct"/>
            <w:vMerge w:val="continue"/>
            <w:vAlign w:val="center"/>
          </w:tcPr>
          <w:p>
            <w:pPr>
              <w:widowControl/>
              <w:spacing w:line="240" w:lineRule="auto"/>
              <w:ind w:firstLine="0" w:firstLineChars="0"/>
              <w:jc w:val="both"/>
              <w:textAlignment w:val="center"/>
              <w:rPr>
                <w:rStyle w:val="35"/>
                <w:rFonts w:cs="Times New Roman"/>
                <w:color w:val="auto"/>
                <w:sz w:val="24"/>
                <w:szCs w:val="24"/>
                <w:u w:val="none"/>
              </w:rPr>
            </w:pPr>
          </w:p>
        </w:tc>
        <w:tc>
          <w:tcPr>
            <w:tcW w:w="437" w:type="pct"/>
            <w:vAlign w:val="center"/>
          </w:tcPr>
          <w:p>
            <w:pPr>
              <w:numPr>
                <w:ilvl w:val="0"/>
                <w:numId w:val="30"/>
              </w:numPr>
              <w:tabs>
                <w:tab w:val="left" w:pos="397"/>
                <w:tab w:val="clear" w:pos="0"/>
              </w:tabs>
              <w:spacing w:line="240" w:lineRule="auto"/>
              <w:ind w:firstLine="0" w:firstLineChars="0"/>
              <w:jc w:val="center"/>
              <w:textAlignment w:val="center"/>
              <w:rPr>
                <w:rFonts w:ascii="宋体" w:hAnsi="宋体" w:cs="宋体"/>
                <w:color w:val="000000"/>
                <w:kern w:val="0"/>
                <w:sz w:val="24"/>
                <w:szCs w:val="24"/>
                <w:lang w:bidi="ar"/>
              </w:rPr>
            </w:pPr>
          </w:p>
        </w:tc>
        <w:tc>
          <w:tcPr>
            <w:tcW w:w="3756" w:type="pct"/>
            <w:vAlign w:val="center"/>
          </w:tcPr>
          <w:p>
            <w:pPr>
              <w:widowControl/>
              <w:spacing w:line="240" w:lineRule="auto"/>
              <w:ind w:firstLine="0" w:firstLineChars="0"/>
              <w:jc w:val="both"/>
              <w:textAlignment w:val="center"/>
              <w:rPr>
                <w:rStyle w:val="35"/>
                <w:rFonts w:cs="Times New Roman"/>
                <w:color w:val="auto"/>
                <w:sz w:val="24"/>
                <w:szCs w:val="24"/>
                <w:u w:val="none"/>
              </w:rPr>
            </w:pPr>
            <w:r>
              <w:fldChar w:fldCharType="begin"/>
            </w:r>
            <w:r>
              <w:instrText xml:space="preserve"> HYPERLINK \l "_Toc16711 " </w:instrText>
            </w:r>
            <w:r>
              <w:fldChar w:fldCharType="separate"/>
            </w:r>
            <w:r>
              <w:rPr>
                <w:rStyle w:val="35"/>
                <w:rFonts w:cs="Times New Roman"/>
                <w:color w:val="auto"/>
                <w:sz w:val="24"/>
                <w:szCs w:val="24"/>
                <w:u w:val="none"/>
              </w:rPr>
              <w:t xml:space="preserve">电焊（气焊）工安全操作规程 </w:t>
            </w:r>
            <w:r>
              <w:rPr>
                <w:rStyle w:val="35"/>
                <w:rFonts w:cs="Times New Roman"/>
                <w:color w:val="auto"/>
                <w:sz w:val="24"/>
                <w:szCs w:val="24"/>
                <w:u w:val="none"/>
              </w:rPr>
              <w:fldChar w:fldCharType="end"/>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exact"/>
          <w:tblHeader/>
          <w:jc w:val="center"/>
        </w:trPr>
        <w:tc>
          <w:tcPr>
            <w:tcW w:w="805" w:type="pct"/>
            <w:vMerge w:val="continue"/>
            <w:vAlign w:val="center"/>
          </w:tcPr>
          <w:p>
            <w:pPr>
              <w:widowControl/>
              <w:spacing w:line="240" w:lineRule="auto"/>
              <w:ind w:firstLine="0" w:firstLineChars="0"/>
              <w:jc w:val="both"/>
              <w:textAlignment w:val="center"/>
              <w:rPr>
                <w:rStyle w:val="35"/>
                <w:rFonts w:cs="Times New Roman"/>
                <w:color w:val="auto"/>
                <w:sz w:val="24"/>
                <w:szCs w:val="24"/>
                <w:u w:val="none"/>
              </w:rPr>
            </w:pPr>
          </w:p>
        </w:tc>
        <w:tc>
          <w:tcPr>
            <w:tcW w:w="437" w:type="pct"/>
            <w:vAlign w:val="center"/>
          </w:tcPr>
          <w:p>
            <w:pPr>
              <w:numPr>
                <w:ilvl w:val="0"/>
                <w:numId w:val="30"/>
              </w:numPr>
              <w:tabs>
                <w:tab w:val="left" w:pos="397"/>
                <w:tab w:val="clear" w:pos="0"/>
              </w:tabs>
              <w:spacing w:line="240" w:lineRule="auto"/>
              <w:ind w:firstLine="0" w:firstLineChars="0"/>
              <w:jc w:val="center"/>
              <w:textAlignment w:val="center"/>
              <w:rPr>
                <w:rFonts w:ascii="宋体" w:hAnsi="宋体" w:cs="宋体"/>
                <w:color w:val="000000"/>
                <w:kern w:val="0"/>
                <w:sz w:val="24"/>
                <w:szCs w:val="24"/>
                <w:lang w:bidi="ar"/>
              </w:rPr>
            </w:pPr>
          </w:p>
        </w:tc>
        <w:tc>
          <w:tcPr>
            <w:tcW w:w="3756" w:type="pct"/>
            <w:vAlign w:val="center"/>
          </w:tcPr>
          <w:p>
            <w:pPr>
              <w:widowControl/>
              <w:spacing w:line="240" w:lineRule="auto"/>
              <w:ind w:firstLine="0" w:firstLineChars="0"/>
              <w:jc w:val="both"/>
              <w:textAlignment w:val="center"/>
              <w:rPr>
                <w:rStyle w:val="35"/>
                <w:rFonts w:cs="Times New Roman"/>
                <w:color w:val="auto"/>
                <w:sz w:val="24"/>
                <w:szCs w:val="24"/>
                <w:u w:val="none"/>
              </w:rPr>
            </w:pPr>
            <w:r>
              <w:fldChar w:fldCharType="begin"/>
            </w:r>
            <w:r>
              <w:instrText xml:space="preserve"> HYPERLINK \l "_Toc2228 " </w:instrText>
            </w:r>
            <w:r>
              <w:fldChar w:fldCharType="separate"/>
            </w:r>
            <w:r>
              <w:rPr>
                <w:rStyle w:val="35"/>
                <w:rFonts w:hint="eastAsia" w:cs="Times New Roman"/>
                <w:color w:val="auto"/>
                <w:sz w:val="24"/>
                <w:szCs w:val="24"/>
                <w:u w:val="none"/>
              </w:rPr>
              <w:t xml:space="preserve">吊索具安全操作规程 </w:t>
            </w:r>
            <w:r>
              <w:rPr>
                <w:rStyle w:val="35"/>
                <w:rFonts w:hint="eastAsia" w:cs="Times New Roman"/>
                <w:color w:val="auto"/>
                <w:sz w:val="24"/>
                <w:szCs w:val="24"/>
                <w:u w:val="none"/>
              </w:rPr>
              <w:fldChar w:fldCharType="end"/>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exact"/>
          <w:tblHeader/>
          <w:jc w:val="center"/>
        </w:trPr>
        <w:tc>
          <w:tcPr>
            <w:tcW w:w="805" w:type="pct"/>
            <w:vMerge w:val="continue"/>
            <w:vAlign w:val="center"/>
          </w:tcPr>
          <w:p>
            <w:pPr>
              <w:widowControl/>
              <w:spacing w:line="240" w:lineRule="auto"/>
              <w:ind w:firstLine="0" w:firstLineChars="0"/>
              <w:jc w:val="both"/>
              <w:textAlignment w:val="center"/>
              <w:rPr>
                <w:rStyle w:val="35"/>
                <w:rFonts w:cs="Times New Roman"/>
                <w:color w:val="auto"/>
                <w:sz w:val="24"/>
                <w:szCs w:val="24"/>
                <w:u w:val="none"/>
              </w:rPr>
            </w:pPr>
          </w:p>
        </w:tc>
        <w:tc>
          <w:tcPr>
            <w:tcW w:w="437" w:type="pct"/>
            <w:vAlign w:val="center"/>
          </w:tcPr>
          <w:p>
            <w:pPr>
              <w:numPr>
                <w:ilvl w:val="0"/>
                <w:numId w:val="30"/>
              </w:numPr>
              <w:tabs>
                <w:tab w:val="left" w:pos="397"/>
                <w:tab w:val="clear" w:pos="0"/>
              </w:tabs>
              <w:spacing w:line="240" w:lineRule="auto"/>
              <w:ind w:firstLine="0" w:firstLineChars="0"/>
              <w:jc w:val="center"/>
              <w:textAlignment w:val="center"/>
              <w:rPr>
                <w:rFonts w:ascii="宋体" w:hAnsi="宋体" w:cs="宋体"/>
                <w:color w:val="000000"/>
                <w:kern w:val="0"/>
                <w:sz w:val="24"/>
                <w:szCs w:val="24"/>
                <w:lang w:bidi="ar"/>
              </w:rPr>
            </w:pPr>
          </w:p>
        </w:tc>
        <w:tc>
          <w:tcPr>
            <w:tcW w:w="3756" w:type="pct"/>
            <w:vAlign w:val="center"/>
          </w:tcPr>
          <w:p>
            <w:pPr>
              <w:widowControl/>
              <w:spacing w:line="240" w:lineRule="auto"/>
              <w:ind w:firstLine="0" w:firstLineChars="0"/>
              <w:jc w:val="both"/>
              <w:textAlignment w:val="center"/>
              <w:rPr>
                <w:rStyle w:val="35"/>
                <w:rFonts w:cs="Times New Roman"/>
                <w:color w:val="auto"/>
                <w:sz w:val="24"/>
                <w:szCs w:val="24"/>
                <w:u w:val="none"/>
              </w:rPr>
            </w:pPr>
            <w:r>
              <w:fldChar w:fldCharType="begin"/>
            </w:r>
            <w:r>
              <w:instrText xml:space="preserve"> HYPERLINK \l "_Toc16816 " </w:instrText>
            </w:r>
            <w:r>
              <w:fldChar w:fldCharType="separate"/>
            </w:r>
            <w:r>
              <w:rPr>
                <w:rStyle w:val="35"/>
                <w:rFonts w:hint="eastAsia" w:cs="Times New Roman"/>
                <w:color w:val="auto"/>
                <w:sz w:val="24"/>
                <w:szCs w:val="24"/>
                <w:u w:val="none"/>
              </w:rPr>
              <w:t xml:space="preserve">车床安全操作规程 </w:t>
            </w:r>
            <w:r>
              <w:rPr>
                <w:rStyle w:val="35"/>
                <w:rFonts w:hint="eastAsia" w:cs="Times New Roman"/>
                <w:color w:val="auto"/>
                <w:sz w:val="24"/>
                <w:szCs w:val="24"/>
                <w:u w:val="none"/>
              </w:rPr>
              <w:fldChar w:fldCharType="end"/>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exact"/>
          <w:tblHeader/>
          <w:jc w:val="center"/>
        </w:trPr>
        <w:tc>
          <w:tcPr>
            <w:tcW w:w="805" w:type="pct"/>
            <w:vMerge w:val="continue"/>
            <w:vAlign w:val="center"/>
          </w:tcPr>
          <w:p>
            <w:pPr>
              <w:widowControl/>
              <w:spacing w:line="240" w:lineRule="auto"/>
              <w:ind w:firstLine="0" w:firstLineChars="0"/>
              <w:jc w:val="both"/>
              <w:textAlignment w:val="center"/>
              <w:rPr>
                <w:rStyle w:val="35"/>
                <w:rFonts w:cs="Times New Roman"/>
                <w:color w:val="auto"/>
                <w:sz w:val="24"/>
                <w:szCs w:val="24"/>
                <w:u w:val="none"/>
              </w:rPr>
            </w:pPr>
          </w:p>
        </w:tc>
        <w:tc>
          <w:tcPr>
            <w:tcW w:w="437" w:type="pct"/>
            <w:vAlign w:val="center"/>
          </w:tcPr>
          <w:p>
            <w:pPr>
              <w:numPr>
                <w:ilvl w:val="0"/>
                <w:numId w:val="30"/>
              </w:numPr>
              <w:tabs>
                <w:tab w:val="left" w:pos="397"/>
                <w:tab w:val="clear" w:pos="0"/>
              </w:tabs>
              <w:spacing w:line="240" w:lineRule="auto"/>
              <w:ind w:firstLine="0" w:firstLineChars="0"/>
              <w:jc w:val="center"/>
              <w:textAlignment w:val="center"/>
              <w:rPr>
                <w:rFonts w:ascii="宋体" w:hAnsi="宋体" w:cs="宋体"/>
                <w:color w:val="000000"/>
                <w:kern w:val="0"/>
                <w:sz w:val="24"/>
                <w:szCs w:val="24"/>
                <w:lang w:bidi="ar"/>
              </w:rPr>
            </w:pPr>
          </w:p>
        </w:tc>
        <w:tc>
          <w:tcPr>
            <w:tcW w:w="3756" w:type="pct"/>
            <w:vAlign w:val="center"/>
          </w:tcPr>
          <w:p>
            <w:pPr>
              <w:widowControl/>
              <w:spacing w:line="240" w:lineRule="auto"/>
              <w:ind w:firstLine="0" w:firstLineChars="0"/>
              <w:jc w:val="both"/>
              <w:textAlignment w:val="center"/>
              <w:rPr>
                <w:rStyle w:val="35"/>
                <w:rFonts w:cs="Times New Roman"/>
                <w:color w:val="auto"/>
                <w:sz w:val="24"/>
                <w:szCs w:val="24"/>
                <w:u w:val="none"/>
              </w:rPr>
            </w:pPr>
            <w:r>
              <w:fldChar w:fldCharType="begin"/>
            </w:r>
            <w:r>
              <w:instrText xml:space="preserve"> HYPERLINK \l "_Toc18858 " </w:instrText>
            </w:r>
            <w:r>
              <w:fldChar w:fldCharType="separate"/>
            </w:r>
            <w:r>
              <w:rPr>
                <w:rStyle w:val="35"/>
                <w:rFonts w:cs="Times New Roman"/>
                <w:color w:val="auto"/>
                <w:sz w:val="24"/>
                <w:szCs w:val="24"/>
                <w:u w:val="none"/>
              </w:rPr>
              <w:t xml:space="preserve">端面铣安全操作规程 </w:t>
            </w:r>
            <w:r>
              <w:rPr>
                <w:rStyle w:val="35"/>
                <w:rFonts w:cs="Times New Roman"/>
                <w:color w:val="auto"/>
                <w:sz w:val="24"/>
                <w:szCs w:val="24"/>
                <w:u w:val="none"/>
              </w:rPr>
              <w:fldChar w:fldCharType="end"/>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exact"/>
          <w:tblHeader/>
          <w:jc w:val="center"/>
        </w:trPr>
        <w:tc>
          <w:tcPr>
            <w:tcW w:w="805" w:type="pct"/>
            <w:vMerge w:val="continue"/>
            <w:vAlign w:val="center"/>
          </w:tcPr>
          <w:p>
            <w:pPr>
              <w:widowControl/>
              <w:spacing w:line="240" w:lineRule="auto"/>
              <w:ind w:firstLine="0" w:firstLineChars="0"/>
              <w:jc w:val="both"/>
              <w:textAlignment w:val="center"/>
              <w:rPr>
                <w:rStyle w:val="35"/>
                <w:rFonts w:cs="Times New Roman"/>
                <w:color w:val="auto"/>
                <w:sz w:val="24"/>
                <w:szCs w:val="24"/>
                <w:u w:val="none"/>
              </w:rPr>
            </w:pPr>
          </w:p>
        </w:tc>
        <w:tc>
          <w:tcPr>
            <w:tcW w:w="437" w:type="pct"/>
            <w:vAlign w:val="center"/>
          </w:tcPr>
          <w:p>
            <w:pPr>
              <w:numPr>
                <w:ilvl w:val="0"/>
                <w:numId w:val="30"/>
              </w:numPr>
              <w:tabs>
                <w:tab w:val="left" w:pos="397"/>
                <w:tab w:val="clear" w:pos="0"/>
              </w:tabs>
              <w:spacing w:line="240" w:lineRule="auto"/>
              <w:ind w:firstLine="0" w:firstLineChars="0"/>
              <w:jc w:val="center"/>
              <w:textAlignment w:val="center"/>
              <w:rPr>
                <w:rFonts w:ascii="宋体" w:hAnsi="宋体" w:cs="宋体"/>
                <w:color w:val="000000"/>
                <w:kern w:val="0"/>
                <w:sz w:val="24"/>
                <w:szCs w:val="24"/>
                <w:lang w:bidi="ar"/>
              </w:rPr>
            </w:pPr>
          </w:p>
        </w:tc>
        <w:tc>
          <w:tcPr>
            <w:tcW w:w="3756" w:type="pct"/>
            <w:vAlign w:val="center"/>
          </w:tcPr>
          <w:p>
            <w:pPr>
              <w:widowControl/>
              <w:spacing w:line="240" w:lineRule="auto"/>
              <w:ind w:firstLine="0" w:firstLineChars="0"/>
              <w:jc w:val="both"/>
              <w:textAlignment w:val="center"/>
              <w:rPr>
                <w:rStyle w:val="35"/>
                <w:rFonts w:cs="Times New Roman"/>
                <w:color w:val="auto"/>
                <w:sz w:val="24"/>
                <w:szCs w:val="24"/>
                <w:u w:val="none"/>
              </w:rPr>
            </w:pPr>
            <w:r>
              <w:fldChar w:fldCharType="begin"/>
            </w:r>
            <w:r>
              <w:instrText xml:space="preserve"> HYPERLINK \l "_Toc14046 " </w:instrText>
            </w:r>
            <w:r>
              <w:fldChar w:fldCharType="separate"/>
            </w:r>
            <w:r>
              <w:rPr>
                <w:rStyle w:val="35"/>
                <w:rFonts w:hint="eastAsia" w:cs="Times New Roman"/>
                <w:color w:val="auto"/>
                <w:sz w:val="24"/>
                <w:szCs w:val="24"/>
                <w:u w:val="none"/>
              </w:rPr>
              <w:t xml:space="preserve">磨床安全技术操作维护规程. </w:t>
            </w:r>
            <w:r>
              <w:rPr>
                <w:rStyle w:val="35"/>
                <w:rFonts w:hint="eastAsia" w:cs="Times New Roman"/>
                <w:color w:val="auto"/>
                <w:sz w:val="24"/>
                <w:szCs w:val="24"/>
                <w:u w:val="none"/>
              </w:rPr>
              <w:fldChar w:fldCharType="end"/>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exact"/>
          <w:tblHeader/>
          <w:jc w:val="center"/>
        </w:trPr>
        <w:tc>
          <w:tcPr>
            <w:tcW w:w="805" w:type="pct"/>
            <w:vMerge w:val="continue"/>
            <w:vAlign w:val="center"/>
          </w:tcPr>
          <w:p>
            <w:pPr>
              <w:widowControl/>
              <w:spacing w:line="240" w:lineRule="auto"/>
              <w:ind w:firstLine="0" w:firstLineChars="0"/>
              <w:jc w:val="both"/>
              <w:textAlignment w:val="center"/>
              <w:rPr>
                <w:rStyle w:val="35"/>
                <w:rFonts w:cs="Times New Roman"/>
                <w:color w:val="auto"/>
                <w:sz w:val="24"/>
                <w:szCs w:val="24"/>
                <w:u w:val="none"/>
              </w:rPr>
            </w:pPr>
          </w:p>
        </w:tc>
        <w:tc>
          <w:tcPr>
            <w:tcW w:w="437" w:type="pct"/>
            <w:vAlign w:val="center"/>
          </w:tcPr>
          <w:p>
            <w:pPr>
              <w:numPr>
                <w:ilvl w:val="0"/>
                <w:numId w:val="30"/>
              </w:numPr>
              <w:tabs>
                <w:tab w:val="left" w:pos="397"/>
                <w:tab w:val="clear" w:pos="0"/>
              </w:tabs>
              <w:spacing w:line="240" w:lineRule="auto"/>
              <w:ind w:firstLine="0" w:firstLineChars="0"/>
              <w:jc w:val="center"/>
              <w:textAlignment w:val="center"/>
              <w:rPr>
                <w:rFonts w:ascii="宋体" w:hAnsi="宋体" w:cs="宋体"/>
                <w:color w:val="000000"/>
                <w:kern w:val="0"/>
                <w:sz w:val="24"/>
                <w:szCs w:val="24"/>
                <w:lang w:bidi="ar"/>
              </w:rPr>
            </w:pPr>
          </w:p>
        </w:tc>
        <w:tc>
          <w:tcPr>
            <w:tcW w:w="3756" w:type="pct"/>
            <w:vAlign w:val="center"/>
          </w:tcPr>
          <w:p>
            <w:pPr>
              <w:widowControl/>
              <w:spacing w:line="240" w:lineRule="auto"/>
              <w:ind w:firstLine="0" w:firstLineChars="0"/>
              <w:jc w:val="both"/>
              <w:textAlignment w:val="center"/>
              <w:rPr>
                <w:rStyle w:val="35"/>
                <w:rFonts w:cs="Times New Roman"/>
                <w:color w:val="auto"/>
                <w:sz w:val="24"/>
                <w:szCs w:val="24"/>
                <w:u w:val="none"/>
              </w:rPr>
            </w:pPr>
            <w:r>
              <w:fldChar w:fldCharType="begin"/>
            </w:r>
            <w:r>
              <w:instrText xml:space="preserve"> HYPERLINK \l "_Toc17926 " </w:instrText>
            </w:r>
            <w:r>
              <w:fldChar w:fldCharType="separate"/>
            </w:r>
            <w:r>
              <w:rPr>
                <w:rStyle w:val="35"/>
                <w:rFonts w:hint="eastAsia" w:cs="Times New Roman"/>
                <w:color w:val="auto"/>
                <w:sz w:val="24"/>
                <w:szCs w:val="24"/>
                <w:u w:val="none"/>
              </w:rPr>
              <w:t xml:space="preserve">砂轮机安全操作规程 </w:t>
            </w:r>
            <w:r>
              <w:rPr>
                <w:rStyle w:val="35"/>
                <w:rFonts w:hint="eastAsia" w:cs="Times New Roman"/>
                <w:color w:val="auto"/>
                <w:sz w:val="24"/>
                <w:szCs w:val="24"/>
                <w:u w:val="none"/>
              </w:rPr>
              <w:fldChar w:fldCharType="end"/>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exact"/>
          <w:tblHeader/>
          <w:jc w:val="center"/>
        </w:trPr>
        <w:tc>
          <w:tcPr>
            <w:tcW w:w="805" w:type="pct"/>
            <w:vMerge w:val="continue"/>
            <w:vAlign w:val="center"/>
          </w:tcPr>
          <w:p>
            <w:pPr>
              <w:widowControl/>
              <w:spacing w:line="240" w:lineRule="auto"/>
              <w:ind w:firstLine="0" w:firstLineChars="0"/>
              <w:jc w:val="both"/>
              <w:textAlignment w:val="center"/>
              <w:rPr>
                <w:rStyle w:val="35"/>
                <w:rFonts w:cs="Times New Roman"/>
                <w:color w:val="auto"/>
                <w:sz w:val="24"/>
                <w:szCs w:val="24"/>
                <w:u w:val="none"/>
              </w:rPr>
            </w:pPr>
          </w:p>
        </w:tc>
        <w:tc>
          <w:tcPr>
            <w:tcW w:w="437" w:type="pct"/>
            <w:vAlign w:val="center"/>
          </w:tcPr>
          <w:p>
            <w:pPr>
              <w:numPr>
                <w:ilvl w:val="0"/>
                <w:numId w:val="30"/>
              </w:numPr>
              <w:tabs>
                <w:tab w:val="left" w:pos="397"/>
                <w:tab w:val="clear" w:pos="0"/>
              </w:tabs>
              <w:spacing w:line="240" w:lineRule="auto"/>
              <w:ind w:firstLine="0" w:firstLineChars="0"/>
              <w:jc w:val="center"/>
              <w:textAlignment w:val="center"/>
              <w:rPr>
                <w:rFonts w:ascii="宋体" w:hAnsi="宋体" w:cs="宋体"/>
                <w:color w:val="000000"/>
                <w:kern w:val="0"/>
                <w:sz w:val="24"/>
                <w:szCs w:val="24"/>
                <w:lang w:bidi="ar"/>
              </w:rPr>
            </w:pPr>
          </w:p>
        </w:tc>
        <w:tc>
          <w:tcPr>
            <w:tcW w:w="3756" w:type="pct"/>
            <w:vAlign w:val="center"/>
          </w:tcPr>
          <w:p>
            <w:pPr>
              <w:widowControl/>
              <w:spacing w:line="240" w:lineRule="auto"/>
              <w:ind w:firstLine="0" w:firstLineChars="0"/>
              <w:jc w:val="both"/>
              <w:textAlignment w:val="center"/>
              <w:rPr>
                <w:rStyle w:val="35"/>
                <w:rFonts w:cs="Times New Roman"/>
                <w:color w:val="auto"/>
                <w:sz w:val="24"/>
                <w:szCs w:val="24"/>
                <w:u w:val="none"/>
              </w:rPr>
            </w:pPr>
            <w:r>
              <w:fldChar w:fldCharType="begin"/>
            </w:r>
            <w:r>
              <w:instrText xml:space="preserve"> HYPERLINK \l "_Toc8625 " </w:instrText>
            </w:r>
            <w:r>
              <w:fldChar w:fldCharType="separate"/>
            </w:r>
            <w:r>
              <w:rPr>
                <w:rStyle w:val="35"/>
                <w:rFonts w:hint="eastAsia" w:cs="Times New Roman"/>
                <w:color w:val="auto"/>
                <w:sz w:val="24"/>
                <w:szCs w:val="24"/>
                <w:u w:val="none"/>
              </w:rPr>
              <w:t xml:space="preserve">射芯机安全操作规程 </w:t>
            </w:r>
            <w:r>
              <w:rPr>
                <w:rStyle w:val="35"/>
                <w:rFonts w:hint="eastAsia" w:cs="Times New Roman"/>
                <w:color w:val="auto"/>
                <w:sz w:val="24"/>
                <w:szCs w:val="24"/>
                <w:u w:val="none"/>
              </w:rPr>
              <w:fldChar w:fldCharType="end"/>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exact"/>
          <w:tblHeader/>
          <w:jc w:val="center"/>
        </w:trPr>
        <w:tc>
          <w:tcPr>
            <w:tcW w:w="805" w:type="pct"/>
            <w:vMerge w:val="continue"/>
            <w:vAlign w:val="center"/>
          </w:tcPr>
          <w:p>
            <w:pPr>
              <w:widowControl/>
              <w:spacing w:line="240" w:lineRule="auto"/>
              <w:ind w:firstLine="0" w:firstLineChars="0"/>
              <w:jc w:val="both"/>
              <w:textAlignment w:val="center"/>
              <w:rPr>
                <w:rStyle w:val="35"/>
                <w:rFonts w:cs="Times New Roman"/>
                <w:color w:val="auto"/>
                <w:sz w:val="24"/>
                <w:szCs w:val="24"/>
                <w:u w:val="none"/>
              </w:rPr>
            </w:pPr>
          </w:p>
        </w:tc>
        <w:tc>
          <w:tcPr>
            <w:tcW w:w="437" w:type="pct"/>
            <w:vAlign w:val="center"/>
          </w:tcPr>
          <w:p>
            <w:pPr>
              <w:numPr>
                <w:ilvl w:val="0"/>
                <w:numId w:val="30"/>
              </w:numPr>
              <w:tabs>
                <w:tab w:val="left" w:pos="397"/>
                <w:tab w:val="clear" w:pos="0"/>
              </w:tabs>
              <w:spacing w:line="240" w:lineRule="auto"/>
              <w:ind w:firstLine="0" w:firstLineChars="0"/>
              <w:jc w:val="center"/>
              <w:textAlignment w:val="center"/>
              <w:rPr>
                <w:rFonts w:ascii="宋体" w:hAnsi="宋体" w:cs="宋体"/>
                <w:color w:val="000000"/>
                <w:kern w:val="0"/>
                <w:sz w:val="24"/>
                <w:szCs w:val="24"/>
                <w:lang w:bidi="ar"/>
              </w:rPr>
            </w:pPr>
          </w:p>
        </w:tc>
        <w:tc>
          <w:tcPr>
            <w:tcW w:w="3756" w:type="pct"/>
            <w:vAlign w:val="center"/>
          </w:tcPr>
          <w:p>
            <w:pPr>
              <w:widowControl/>
              <w:spacing w:line="240" w:lineRule="auto"/>
              <w:ind w:firstLine="0" w:firstLineChars="0"/>
              <w:jc w:val="both"/>
              <w:textAlignment w:val="center"/>
              <w:rPr>
                <w:rStyle w:val="35"/>
                <w:rFonts w:cs="Times New Roman"/>
                <w:color w:val="auto"/>
                <w:sz w:val="24"/>
                <w:szCs w:val="24"/>
                <w:u w:val="none"/>
              </w:rPr>
            </w:pPr>
            <w:r>
              <w:fldChar w:fldCharType="begin"/>
            </w:r>
            <w:r>
              <w:instrText xml:space="preserve"> HYPERLINK \l "_Toc2809 " </w:instrText>
            </w:r>
            <w:r>
              <w:fldChar w:fldCharType="separate"/>
            </w:r>
            <w:r>
              <w:rPr>
                <w:rStyle w:val="35"/>
                <w:rFonts w:hint="eastAsia" w:cs="Times New Roman"/>
                <w:color w:val="auto"/>
                <w:sz w:val="24"/>
                <w:szCs w:val="24"/>
                <w:u w:val="none"/>
              </w:rPr>
              <w:t xml:space="preserve">数控车安全操作规程 </w:t>
            </w:r>
            <w:r>
              <w:rPr>
                <w:rStyle w:val="35"/>
                <w:rFonts w:hint="eastAsia" w:cs="Times New Roman"/>
                <w:color w:val="auto"/>
                <w:sz w:val="24"/>
                <w:szCs w:val="24"/>
                <w:u w:val="none"/>
              </w:rPr>
              <w:fldChar w:fldCharType="end"/>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exact"/>
          <w:tblHeader/>
          <w:jc w:val="center"/>
        </w:trPr>
        <w:tc>
          <w:tcPr>
            <w:tcW w:w="805" w:type="pct"/>
            <w:vMerge w:val="continue"/>
            <w:vAlign w:val="center"/>
          </w:tcPr>
          <w:p>
            <w:pPr>
              <w:widowControl/>
              <w:spacing w:line="240" w:lineRule="auto"/>
              <w:ind w:firstLine="0" w:firstLineChars="0"/>
              <w:jc w:val="both"/>
              <w:textAlignment w:val="center"/>
              <w:rPr>
                <w:rStyle w:val="35"/>
                <w:rFonts w:cs="Times New Roman"/>
                <w:color w:val="auto"/>
                <w:sz w:val="24"/>
                <w:szCs w:val="24"/>
                <w:u w:val="none"/>
              </w:rPr>
            </w:pPr>
          </w:p>
        </w:tc>
        <w:tc>
          <w:tcPr>
            <w:tcW w:w="437" w:type="pct"/>
            <w:vAlign w:val="center"/>
          </w:tcPr>
          <w:p>
            <w:pPr>
              <w:numPr>
                <w:ilvl w:val="0"/>
                <w:numId w:val="30"/>
              </w:numPr>
              <w:tabs>
                <w:tab w:val="left" w:pos="397"/>
                <w:tab w:val="clear" w:pos="0"/>
              </w:tabs>
              <w:spacing w:line="240" w:lineRule="auto"/>
              <w:ind w:firstLine="0" w:firstLineChars="0"/>
              <w:jc w:val="center"/>
              <w:textAlignment w:val="center"/>
              <w:rPr>
                <w:rFonts w:ascii="宋体" w:hAnsi="宋体" w:cs="宋体"/>
                <w:color w:val="000000"/>
                <w:kern w:val="0"/>
                <w:sz w:val="24"/>
                <w:szCs w:val="24"/>
                <w:lang w:bidi="ar"/>
              </w:rPr>
            </w:pPr>
          </w:p>
        </w:tc>
        <w:tc>
          <w:tcPr>
            <w:tcW w:w="3756" w:type="pct"/>
            <w:vAlign w:val="center"/>
          </w:tcPr>
          <w:p>
            <w:pPr>
              <w:widowControl/>
              <w:spacing w:line="240" w:lineRule="auto"/>
              <w:ind w:firstLine="0" w:firstLineChars="0"/>
              <w:jc w:val="both"/>
              <w:textAlignment w:val="center"/>
              <w:rPr>
                <w:rStyle w:val="35"/>
                <w:rFonts w:cs="Times New Roman"/>
                <w:color w:val="auto"/>
                <w:sz w:val="24"/>
                <w:szCs w:val="24"/>
                <w:u w:val="none"/>
              </w:rPr>
            </w:pPr>
            <w:r>
              <w:fldChar w:fldCharType="begin"/>
            </w:r>
            <w:r>
              <w:instrText xml:space="preserve"> HYPERLINK \l "_Toc21301 " </w:instrText>
            </w:r>
            <w:r>
              <w:fldChar w:fldCharType="separate"/>
            </w:r>
            <w:r>
              <w:rPr>
                <w:rStyle w:val="35"/>
                <w:rFonts w:hint="eastAsia" w:cs="Times New Roman"/>
                <w:color w:val="auto"/>
                <w:sz w:val="24"/>
                <w:szCs w:val="24"/>
                <w:u w:val="none"/>
              </w:rPr>
              <w:t xml:space="preserve">台式钻床安全操作规程 </w:t>
            </w:r>
            <w:r>
              <w:rPr>
                <w:rStyle w:val="35"/>
                <w:rFonts w:hint="eastAsia" w:cs="Times New Roman"/>
                <w:color w:val="auto"/>
                <w:sz w:val="24"/>
                <w:szCs w:val="24"/>
                <w:u w:val="none"/>
              </w:rPr>
              <w:fldChar w:fldCharType="end"/>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exact"/>
          <w:tblHeader/>
          <w:jc w:val="center"/>
        </w:trPr>
        <w:tc>
          <w:tcPr>
            <w:tcW w:w="805" w:type="pct"/>
            <w:vMerge w:val="continue"/>
            <w:vAlign w:val="center"/>
          </w:tcPr>
          <w:p>
            <w:pPr>
              <w:widowControl/>
              <w:spacing w:line="240" w:lineRule="auto"/>
              <w:ind w:firstLine="0" w:firstLineChars="0"/>
              <w:jc w:val="both"/>
              <w:textAlignment w:val="center"/>
              <w:rPr>
                <w:rStyle w:val="35"/>
                <w:rFonts w:cs="Times New Roman"/>
                <w:color w:val="auto"/>
                <w:sz w:val="24"/>
                <w:szCs w:val="24"/>
                <w:u w:val="none"/>
              </w:rPr>
            </w:pPr>
          </w:p>
        </w:tc>
        <w:tc>
          <w:tcPr>
            <w:tcW w:w="437" w:type="pct"/>
            <w:vAlign w:val="center"/>
          </w:tcPr>
          <w:p>
            <w:pPr>
              <w:numPr>
                <w:ilvl w:val="0"/>
                <w:numId w:val="30"/>
              </w:numPr>
              <w:tabs>
                <w:tab w:val="left" w:pos="397"/>
                <w:tab w:val="clear" w:pos="0"/>
              </w:tabs>
              <w:spacing w:line="240" w:lineRule="auto"/>
              <w:ind w:firstLine="0" w:firstLineChars="0"/>
              <w:jc w:val="center"/>
              <w:textAlignment w:val="center"/>
              <w:rPr>
                <w:rFonts w:ascii="宋体" w:hAnsi="宋体" w:cs="宋体"/>
                <w:color w:val="000000"/>
                <w:kern w:val="0"/>
                <w:sz w:val="24"/>
                <w:szCs w:val="24"/>
                <w:lang w:bidi="ar"/>
              </w:rPr>
            </w:pPr>
          </w:p>
        </w:tc>
        <w:tc>
          <w:tcPr>
            <w:tcW w:w="3756" w:type="pct"/>
            <w:vAlign w:val="center"/>
          </w:tcPr>
          <w:p>
            <w:pPr>
              <w:widowControl/>
              <w:spacing w:line="240" w:lineRule="auto"/>
              <w:ind w:firstLine="0" w:firstLineChars="0"/>
              <w:jc w:val="both"/>
              <w:textAlignment w:val="center"/>
              <w:rPr>
                <w:rStyle w:val="35"/>
                <w:rFonts w:cs="Times New Roman"/>
                <w:color w:val="auto"/>
                <w:sz w:val="24"/>
                <w:szCs w:val="24"/>
                <w:u w:val="none"/>
              </w:rPr>
            </w:pPr>
            <w:r>
              <w:fldChar w:fldCharType="begin"/>
            </w:r>
            <w:r>
              <w:instrText xml:space="preserve"> HYPERLINK \l "_Toc17271 " </w:instrText>
            </w:r>
            <w:r>
              <w:fldChar w:fldCharType="separate"/>
            </w:r>
            <w:r>
              <w:rPr>
                <w:rStyle w:val="35"/>
                <w:rFonts w:hint="eastAsia" w:cs="Times New Roman"/>
                <w:color w:val="auto"/>
                <w:sz w:val="24"/>
                <w:szCs w:val="24"/>
                <w:u w:val="none"/>
              </w:rPr>
              <w:t xml:space="preserve">铣床安全操作规程 </w:t>
            </w:r>
            <w:r>
              <w:rPr>
                <w:rStyle w:val="35"/>
                <w:rFonts w:hint="eastAsia" w:cs="Times New Roman"/>
                <w:color w:val="auto"/>
                <w:sz w:val="24"/>
                <w:szCs w:val="24"/>
                <w:u w:val="none"/>
              </w:rPr>
              <w:fldChar w:fldCharType="end"/>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exact"/>
          <w:tblHeader/>
          <w:jc w:val="center"/>
        </w:trPr>
        <w:tc>
          <w:tcPr>
            <w:tcW w:w="805" w:type="pct"/>
            <w:vMerge w:val="continue"/>
            <w:vAlign w:val="center"/>
          </w:tcPr>
          <w:p>
            <w:pPr>
              <w:widowControl/>
              <w:spacing w:line="240" w:lineRule="auto"/>
              <w:ind w:firstLine="0" w:firstLineChars="0"/>
              <w:jc w:val="both"/>
              <w:textAlignment w:val="center"/>
              <w:rPr>
                <w:rStyle w:val="35"/>
                <w:rFonts w:cs="Times New Roman"/>
                <w:color w:val="auto"/>
                <w:sz w:val="24"/>
                <w:szCs w:val="24"/>
                <w:u w:val="none"/>
              </w:rPr>
            </w:pPr>
          </w:p>
        </w:tc>
        <w:tc>
          <w:tcPr>
            <w:tcW w:w="437" w:type="pct"/>
            <w:vAlign w:val="center"/>
          </w:tcPr>
          <w:p>
            <w:pPr>
              <w:numPr>
                <w:ilvl w:val="0"/>
                <w:numId w:val="30"/>
              </w:numPr>
              <w:tabs>
                <w:tab w:val="left" w:pos="397"/>
                <w:tab w:val="clear" w:pos="0"/>
              </w:tabs>
              <w:spacing w:line="240" w:lineRule="auto"/>
              <w:ind w:firstLine="0" w:firstLineChars="0"/>
              <w:jc w:val="center"/>
              <w:textAlignment w:val="center"/>
              <w:rPr>
                <w:rFonts w:ascii="宋体" w:hAnsi="宋体" w:cs="宋体"/>
                <w:color w:val="000000"/>
                <w:kern w:val="0"/>
                <w:sz w:val="24"/>
                <w:szCs w:val="24"/>
                <w:lang w:bidi="ar"/>
              </w:rPr>
            </w:pPr>
          </w:p>
        </w:tc>
        <w:tc>
          <w:tcPr>
            <w:tcW w:w="3756" w:type="pct"/>
            <w:vAlign w:val="center"/>
          </w:tcPr>
          <w:p>
            <w:pPr>
              <w:widowControl/>
              <w:spacing w:line="240" w:lineRule="auto"/>
              <w:ind w:firstLine="0" w:firstLineChars="0"/>
              <w:jc w:val="both"/>
              <w:textAlignment w:val="center"/>
              <w:rPr>
                <w:rStyle w:val="35"/>
                <w:rFonts w:cs="Times New Roman"/>
                <w:color w:val="auto"/>
                <w:sz w:val="24"/>
                <w:szCs w:val="24"/>
                <w:u w:val="none"/>
              </w:rPr>
            </w:pPr>
            <w:r>
              <w:fldChar w:fldCharType="begin"/>
            </w:r>
            <w:r>
              <w:instrText xml:space="preserve"> HYPERLINK \l "_Toc22592 " </w:instrText>
            </w:r>
            <w:r>
              <w:fldChar w:fldCharType="separate"/>
            </w:r>
            <w:r>
              <w:rPr>
                <w:rStyle w:val="35"/>
                <w:rFonts w:cs="Times New Roman"/>
                <w:color w:val="auto"/>
                <w:sz w:val="24"/>
                <w:szCs w:val="24"/>
                <w:u w:val="none"/>
              </w:rPr>
              <w:t xml:space="preserve">自动磨刀机床安全操作规程 </w:t>
            </w:r>
            <w:r>
              <w:rPr>
                <w:rStyle w:val="35"/>
                <w:rFonts w:cs="Times New Roman"/>
                <w:color w:val="auto"/>
                <w:sz w:val="24"/>
                <w:szCs w:val="24"/>
                <w:u w:val="none"/>
              </w:rPr>
              <w:fldChar w:fldCharType="end"/>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exact"/>
          <w:tblHeader/>
          <w:jc w:val="center"/>
        </w:trPr>
        <w:tc>
          <w:tcPr>
            <w:tcW w:w="805" w:type="pct"/>
            <w:vMerge w:val="continue"/>
            <w:vAlign w:val="center"/>
          </w:tcPr>
          <w:p>
            <w:pPr>
              <w:widowControl/>
              <w:spacing w:line="240" w:lineRule="auto"/>
              <w:ind w:firstLine="0" w:firstLineChars="0"/>
              <w:jc w:val="both"/>
              <w:textAlignment w:val="center"/>
              <w:rPr>
                <w:rStyle w:val="35"/>
                <w:rFonts w:cs="Times New Roman"/>
                <w:color w:val="auto"/>
                <w:sz w:val="24"/>
                <w:szCs w:val="24"/>
                <w:u w:val="none"/>
              </w:rPr>
            </w:pPr>
          </w:p>
        </w:tc>
        <w:tc>
          <w:tcPr>
            <w:tcW w:w="437" w:type="pct"/>
            <w:vAlign w:val="center"/>
          </w:tcPr>
          <w:p>
            <w:pPr>
              <w:numPr>
                <w:ilvl w:val="0"/>
                <w:numId w:val="30"/>
              </w:numPr>
              <w:tabs>
                <w:tab w:val="left" w:pos="397"/>
                <w:tab w:val="clear" w:pos="0"/>
              </w:tabs>
              <w:spacing w:line="240" w:lineRule="auto"/>
              <w:ind w:firstLine="0" w:firstLineChars="0"/>
              <w:jc w:val="center"/>
              <w:textAlignment w:val="center"/>
              <w:rPr>
                <w:rFonts w:ascii="宋体" w:hAnsi="宋体" w:cs="宋体"/>
                <w:color w:val="000000"/>
                <w:kern w:val="0"/>
                <w:sz w:val="24"/>
                <w:szCs w:val="24"/>
                <w:lang w:bidi="ar"/>
              </w:rPr>
            </w:pPr>
          </w:p>
        </w:tc>
        <w:tc>
          <w:tcPr>
            <w:tcW w:w="3756" w:type="pct"/>
            <w:vAlign w:val="center"/>
          </w:tcPr>
          <w:p>
            <w:pPr>
              <w:widowControl/>
              <w:spacing w:line="240" w:lineRule="auto"/>
              <w:ind w:firstLine="0" w:firstLineChars="0"/>
              <w:jc w:val="both"/>
              <w:textAlignment w:val="center"/>
              <w:rPr>
                <w:rStyle w:val="35"/>
                <w:rFonts w:cs="Times New Roman"/>
                <w:color w:val="auto"/>
                <w:sz w:val="24"/>
                <w:szCs w:val="24"/>
                <w:u w:val="none"/>
              </w:rPr>
            </w:pPr>
            <w:r>
              <w:fldChar w:fldCharType="begin"/>
            </w:r>
            <w:r>
              <w:instrText xml:space="preserve"> HYPERLINK \l "_Toc26598 " </w:instrText>
            </w:r>
            <w:r>
              <w:fldChar w:fldCharType="separate"/>
            </w:r>
            <w:r>
              <w:rPr>
                <w:rStyle w:val="35"/>
                <w:rFonts w:cs="Times New Roman"/>
                <w:color w:val="auto"/>
                <w:sz w:val="24"/>
                <w:szCs w:val="24"/>
                <w:u w:val="none"/>
              </w:rPr>
              <w:t xml:space="preserve">摇臂钻床操作规程 </w:t>
            </w:r>
            <w:r>
              <w:rPr>
                <w:rStyle w:val="35"/>
                <w:rFonts w:cs="Times New Roman"/>
                <w:color w:val="auto"/>
                <w:sz w:val="24"/>
                <w:szCs w:val="24"/>
                <w:u w:val="none"/>
              </w:rPr>
              <w:fldChar w:fldCharType="end"/>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exact"/>
          <w:tblHeader/>
          <w:jc w:val="center"/>
        </w:trPr>
        <w:tc>
          <w:tcPr>
            <w:tcW w:w="805" w:type="pct"/>
            <w:vMerge w:val="continue"/>
            <w:vAlign w:val="center"/>
          </w:tcPr>
          <w:p>
            <w:pPr>
              <w:widowControl/>
              <w:spacing w:line="240" w:lineRule="auto"/>
              <w:ind w:firstLine="0" w:firstLineChars="0"/>
              <w:jc w:val="both"/>
              <w:textAlignment w:val="center"/>
              <w:rPr>
                <w:rStyle w:val="35"/>
                <w:rFonts w:cs="Times New Roman"/>
                <w:color w:val="auto"/>
                <w:sz w:val="24"/>
                <w:szCs w:val="24"/>
                <w:u w:val="none"/>
              </w:rPr>
            </w:pPr>
          </w:p>
        </w:tc>
        <w:tc>
          <w:tcPr>
            <w:tcW w:w="437" w:type="pct"/>
            <w:vAlign w:val="center"/>
          </w:tcPr>
          <w:p>
            <w:pPr>
              <w:numPr>
                <w:ilvl w:val="0"/>
                <w:numId w:val="30"/>
              </w:numPr>
              <w:tabs>
                <w:tab w:val="left" w:pos="397"/>
                <w:tab w:val="clear" w:pos="0"/>
              </w:tabs>
              <w:spacing w:line="240" w:lineRule="auto"/>
              <w:ind w:firstLine="0" w:firstLineChars="0"/>
              <w:jc w:val="center"/>
              <w:textAlignment w:val="center"/>
              <w:rPr>
                <w:rFonts w:ascii="宋体" w:hAnsi="宋体" w:cs="宋体"/>
                <w:color w:val="000000"/>
                <w:kern w:val="0"/>
                <w:sz w:val="24"/>
                <w:szCs w:val="24"/>
                <w:lang w:bidi="ar"/>
              </w:rPr>
            </w:pPr>
          </w:p>
        </w:tc>
        <w:tc>
          <w:tcPr>
            <w:tcW w:w="3756" w:type="pct"/>
            <w:vAlign w:val="center"/>
          </w:tcPr>
          <w:p>
            <w:pPr>
              <w:widowControl/>
              <w:spacing w:line="240" w:lineRule="auto"/>
              <w:ind w:firstLine="0" w:firstLineChars="0"/>
              <w:jc w:val="both"/>
              <w:textAlignment w:val="center"/>
              <w:rPr>
                <w:rStyle w:val="35"/>
                <w:rFonts w:cs="Times New Roman"/>
                <w:color w:val="auto"/>
                <w:sz w:val="24"/>
                <w:szCs w:val="24"/>
                <w:u w:val="none"/>
              </w:rPr>
            </w:pPr>
            <w:r>
              <w:fldChar w:fldCharType="begin"/>
            </w:r>
            <w:r>
              <w:instrText xml:space="preserve"> HYPERLINK \l "_Toc4835 " </w:instrText>
            </w:r>
            <w:r>
              <w:fldChar w:fldCharType="separate"/>
            </w:r>
            <w:r>
              <w:rPr>
                <w:rStyle w:val="35"/>
                <w:rFonts w:hint="eastAsia" w:cs="Times New Roman"/>
                <w:color w:val="auto"/>
                <w:sz w:val="24"/>
                <w:szCs w:val="24"/>
                <w:u w:val="none"/>
              </w:rPr>
              <w:t xml:space="preserve">造型机安全操作规程 </w:t>
            </w:r>
            <w:r>
              <w:rPr>
                <w:rStyle w:val="35"/>
                <w:rFonts w:hint="eastAsia" w:cs="Times New Roman"/>
                <w:color w:val="auto"/>
                <w:sz w:val="24"/>
                <w:szCs w:val="24"/>
                <w:u w:val="none"/>
              </w:rPr>
              <w:fldChar w:fldCharType="end"/>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exact"/>
          <w:tblHeader/>
          <w:jc w:val="center"/>
        </w:trPr>
        <w:tc>
          <w:tcPr>
            <w:tcW w:w="805" w:type="pct"/>
            <w:vMerge w:val="continue"/>
            <w:vAlign w:val="center"/>
          </w:tcPr>
          <w:p>
            <w:pPr>
              <w:widowControl/>
              <w:spacing w:line="240" w:lineRule="auto"/>
              <w:ind w:firstLine="0" w:firstLineChars="0"/>
              <w:jc w:val="both"/>
              <w:textAlignment w:val="center"/>
              <w:rPr>
                <w:rStyle w:val="35"/>
                <w:rFonts w:cs="Times New Roman"/>
                <w:color w:val="auto"/>
                <w:sz w:val="24"/>
                <w:szCs w:val="24"/>
                <w:u w:val="none"/>
              </w:rPr>
            </w:pPr>
          </w:p>
        </w:tc>
        <w:tc>
          <w:tcPr>
            <w:tcW w:w="437" w:type="pct"/>
            <w:vAlign w:val="center"/>
          </w:tcPr>
          <w:p>
            <w:pPr>
              <w:numPr>
                <w:ilvl w:val="0"/>
                <w:numId w:val="30"/>
              </w:numPr>
              <w:tabs>
                <w:tab w:val="left" w:pos="397"/>
                <w:tab w:val="clear" w:pos="0"/>
              </w:tabs>
              <w:spacing w:line="240" w:lineRule="auto"/>
              <w:ind w:firstLine="0" w:firstLineChars="0"/>
              <w:jc w:val="center"/>
              <w:textAlignment w:val="center"/>
              <w:rPr>
                <w:rFonts w:ascii="宋体" w:hAnsi="宋体" w:cs="宋体"/>
                <w:color w:val="000000"/>
                <w:kern w:val="0"/>
                <w:sz w:val="24"/>
                <w:szCs w:val="24"/>
                <w:lang w:bidi="ar"/>
              </w:rPr>
            </w:pPr>
          </w:p>
        </w:tc>
        <w:tc>
          <w:tcPr>
            <w:tcW w:w="3756" w:type="pct"/>
            <w:vAlign w:val="center"/>
          </w:tcPr>
          <w:p>
            <w:pPr>
              <w:widowControl/>
              <w:spacing w:line="240" w:lineRule="auto"/>
              <w:ind w:firstLine="0" w:firstLineChars="0"/>
              <w:jc w:val="both"/>
              <w:textAlignment w:val="center"/>
              <w:rPr>
                <w:rStyle w:val="35"/>
                <w:rFonts w:cs="Times New Roman"/>
                <w:color w:val="auto"/>
                <w:sz w:val="24"/>
                <w:szCs w:val="24"/>
                <w:u w:val="none"/>
              </w:rPr>
            </w:pPr>
            <w:r>
              <w:fldChar w:fldCharType="begin"/>
            </w:r>
            <w:r>
              <w:instrText xml:space="preserve"> HYPERLINK \l "_Toc30799 " </w:instrText>
            </w:r>
            <w:r>
              <w:fldChar w:fldCharType="separate"/>
            </w:r>
            <w:r>
              <w:rPr>
                <w:rStyle w:val="35"/>
                <w:rFonts w:cs="Times New Roman"/>
                <w:color w:val="auto"/>
                <w:sz w:val="24"/>
                <w:szCs w:val="24"/>
                <w:u w:val="none"/>
              </w:rPr>
              <w:t xml:space="preserve">配电室安全操作规程 </w:t>
            </w:r>
            <w:r>
              <w:rPr>
                <w:rStyle w:val="35"/>
                <w:rFonts w:cs="Times New Roman"/>
                <w:color w:val="auto"/>
                <w:sz w:val="24"/>
                <w:szCs w:val="24"/>
                <w:u w:val="none"/>
              </w:rPr>
              <w:fldChar w:fldCharType="end"/>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3" w:hRule="exact"/>
          <w:tblHeader/>
          <w:jc w:val="center"/>
        </w:trPr>
        <w:tc>
          <w:tcPr>
            <w:tcW w:w="805" w:type="pct"/>
            <w:vMerge w:val="continue"/>
            <w:vAlign w:val="center"/>
          </w:tcPr>
          <w:p>
            <w:pPr>
              <w:widowControl/>
              <w:spacing w:line="240" w:lineRule="auto"/>
              <w:ind w:firstLine="0" w:firstLineChars="0"/>
              <w:jc w:val="both"/>
              <w:textAlignment w:val="center"/>
              <w:rPr>
                <w:rStyle w:val="35"/>
                <w:rFonts w:cs="Times New Roman"/>
                <w:color w:val="auto"/>
                <w:sz w:val="24"/>
                <w:szCs w:val="24"/>
                <w:u w:val="none"/>
              </w:rPr>
            </w:pPr>
          </w:p>
        </w:tc>
        <w:tc>
          <w:tcPr>
            <w:tcW w:w="437" w:type="pct"/>
            <w:vAlign w:val="center"/>
          </w:tcPr>
          <w:p>
            <w:pPr>
              <w:numPr>
                <w:ilvl w:val="0"/>
                <w:numId w:val="30"/>
              </w:numPr>
              <w:tabs>
                <w:tab w:val="left" w:pos="397"/>
                <w:tab w:val="clear" w:pos="0"/>
              </w:tabs>
              <w:spacing w:line="240" w:lineRule="auto"/>
              <w:ind w:firstLine="0" w:firstLineChars="0"/>
              <w:jc w:val="center"/>
              <w:textAlignment w:val="center"/>
              <w:rPr>
                <w:rFonts w:ascii="宋体" w:hAnsi="宋体" w:cs="宋体"/>
                <w:color w:val="000000"/>
                <w:kern w:val="0"/>
                <w:sz w:val="24"/>
                <w:szCs w:val="24"/>
                <w:lang w:bidi="ar"/>
              </w:rPr>
            </w:pPr>
          </w:p>
        </w:tc>
        <w:tc>
          <w:tcPr>
            <w:tcW w:w="3756" w:type="pct"/>
            <w:vAlign w:val="center"/>
          </w:tcPr>
          <w:p>
            <w:pPr>
              <w:widowControl/>
              <w:spacing w:line="240" w:lineRule="auto"/>
              <w:ind w:firstLine="0" w:firstLineChars="0"/>
              <w:jc w:val="both"/>
              <w:textAlignment w:val="center"/>
              <w:rPr>
                <w:rStyle w:val="35"/>
                <w:rFonts w:cs="Times New Roman"/>
                <w:color w:val="auto"/>
                <w:sz w:val="24"/>
                <w:szCs w:val="24"/>
                <w:u w:val="none"/>
              </w:rPr>
            </w:pPr>
            <w:r>
              <w:fldChar w:fldCharType="begin"/>
            </w:r>
            <w:r>
              <w:instrText xml:space="preserve"> HYPERLINK \l "_Toc30804 " </w:instrText>
            </w:r>
            <w:r>
              <w:fldChar w:fldCharType="separate"/>
            </w:r>
            <w:r>
              <w:rPr>
                <w:rStyle w:val="35"/>
                <w:rFonts w:cs="Times New Roman"/>
                <w:color w:val="auto"/>
                <w:sz w:val="24"/>
                <w:szCs w:val="24"/>
                <w:u w:val="none"/>
              </w:rPr>
              <w:t xml:space="preserve">配电箱安全操作规程 </w:t>
            </w:r>
            <w:r>
              <w:rPr>
                <w:rStyle w:val="35"/>
                <w:rFonts w:cs="Times New Roman"/>
                <w:color w:val="auto"/>
                <w:sz w:val="24"/>
                <w:szCs w:val="24"/>
                <w:u w:val="none"/>
              </w:rPr>
              <w:fldChar w:fldCharType="end"/>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7" w:hRule="exact"/>
          <w:tblHeader/>
          <w:jc w:val="center"/>
        </w:trPr>
        <w:tc>
          <w:tcPr>
            <w:tcW w:w="805" w:type="pct"/>
            <w:vAlign w:val="center"/>
          </w:tcPr>
          <w:p>
            <w:pPr>
              <w:widowControl/>
              <w:spacing w:line="240" w:lineRule="auto"/>
              <w:ind w:firstLine="0" w:firstLineChars="0"/>
              <w:jc w:val="center"/>
              <w:textAlignment w:val="center"/>
              <w:rPr>
                <w:rStyle w:val="35"/>
                <w:rFonts w:cs="Times New Roman"/>
                <w:color w:val="auto"/>
                <w:sz w:val="24"/>
                <w:szCs w:val="24"/>
                <w:u w:val="none"/>
              </w:rPr>
            </w:pPr>
            <w:r>
              <w:rPr>
                <w:rStyle w:val="35"/>
                <w:rFonts w:hint="eastAsia" w:cs="Times New Roman"/>
                <w:color w:val="auto"/>
                <w:sz w:val="24"/>
                <w:szCs w:val="24"/>
                <w:u w:val="none"/>
              </w:rPr>
              <w:t>生产安全事故应急预案</w:t>
            </w:r>
          </w:p>
        </w:tc>
        <w:tc>
          <w:tcPr>
            <w:tcW w:w="437" w:type="pct"/>
            <w:vAlign w:val="center"/>
          </w:tcPr>
          <w:p>
            <w:pPr>
              <w:numPr>
                <w:ilvl w:val="0"/>
                <w:numId w:val="31"/>
              </w:numPr>
              <w:tabs>
                <w:tab w:val="left" w:pos="397"/>
                <w:tab w:val="clear" w:pos="0"/>
              </w:tabs>
              <w:spacing w:line="240" w:lineRule="auto"/>
              <w:ind w:firstLine="0" w:firstLineChars="0"/>
              <w:jc w:val="center"/>
              <w:textAlignment w:val="center"/>
              <w:rPr>
                <w:rFonts w:ascii="宋体" w:hAnsi="宋体" w:cs="宋体"/>
                <w:color w:val="000000"/>
                <w:kern w:val="0"/>
                <w:sz w:val="24"/>
                <w:szCs w:val="24"/>
                <w:lang w:bidi="ar"/>
              </w:rPr>
            </w:pPr>
          </w:p>
        </w:tc>
        <w:tc>
          <w:tcPr>
            <w:tcW w:w="3756" w:type="pct"/>
            <w:vAlign w:val="center"/>
          </w:tcPr>
          <w:p>
            <w:pPr>
              <w:widowControl/>
              <w:spacing w:line="240" w:lineRule="auto"/>
              <w:ind w:firstLine="0" w:firstLineChars="0"/>
              <w:jc w:val="both"/>
              <w:textAlignment w:val="center"/>
              <w:rPr>
                <w:rStyle w:val="35"/>
                <w:rFonts w:cs="Times New Roman"/>
                <w:color w:val="auto"/>
                <w:sz w:val="24"/>
                <w:szCs w:val="24"/>
                <w:u w:val="none"/>
              </w:rPr>
            </w:pPr>
            <w:r>
              <w:rPr>
                <w:rStyle w:val="35"/>
                <w:rFonts w:cs="Times New Roman"/>
                <w:color w:val="auto"/>
                <w:sz w:val="24"/>
                <w:szCs w:val="24"/>
                <w:u w:val="none"/>
              </w:rPr>
              <w:t>云南大姚祥华工业制造股份公司</w:t>
            </w:r>
            <w:r>
              <w:rPr>
                <w:rStyle w:val="35"/>
                <w:rFonts w:hint="eastAsia" w:cs="Times New Roman"/>
                <w:color w:val="auto"/>
                <w:sz w:val="24"/>
                <w:szCs w:val="24"/>
                <w:u w:val="none"/>
              </w:rPr>
              <w:t>生产安全事故应急预案</w:t>
            </w:r>
          </w:p>
        </w:tc>
      </w:tr>
    </w:tbl>
    <w:p>
      <w:pPr>
        <w:pStyle w:val="7"/>
        <w:spacing w:before="156" w:after="156"/>
      </w:pPr>
      <w:r>
        <w:rPr>
          <w:rStyle w:val="39"/>
          <w:b/>
        </w:rPr>
        <w:t>劳动定员</w:t>
      </w:r>
    </w:p>
    <w:p>
      <w:pPr>
        <w:ind w:firstLine="560"/>
      </w:pPr>
      <w:r>
        <w:t>项目定员为120人，其中，管理人员22人，技术人员10人。公司项目运行时间按300天计，全年生产时间以2400小时计，生产工序为</w:t>
      </w:r>
      <w:r>
        <w:rPr>
          <w:rFonts w:hint="eastAsia"/>
        </w:rPr>
        <w:t>长</w:t>
      </w:r>
      <w:r>
        <w:t>白班，每班八小时工作制。</w:t>
      </w:r>
    </w:p>
    <w:p>
      <w:pPr>
        <w:pStyle w:val="7"/>
        <w:spacing w:before="156" w:after="156"/>
      </w:pPr>
      <w:r>
        <w:rPr>
          <w:rFonts w:hint="eastAsia"/>
        </w:rPr>
        <w:t>安全培训教育</w:t>
      </w:r>
    </w:p>
    <w:p>
      <w:pPr>
        <w:ind w:firstLine="560"/>
      </w:pPr>
      <w:r>
        <w:rPr>
          <w:rFonts w:hint="eastAsia" w:ascii="宋体" w:hAnsi="宋体" w:cs="宋体"/>
          <w:szCs w:val="28"/>
        </w:rPr>
        <w:t>云南大姚祥华工业制造股份公司主要负责人、分管安全生产负责人、安全生产管理人员具备冶金机械方面的安全知识和管理能力，并经培训考核合格，取得相应资格证书。</w:t>
      </w:r>
      <w:r>
        <w:rPr>
          <w:lang w:val="zh-CN"/>
        </w:rPr>
        <w:t>其他</w:t>
      </w:r>
      <w:r>
        <w:rPr>
          <w:rFonts w:hint="eastAsia"/>
        </w:rPr>
        <w:t>从业人员参加本单位</w:t>
      </w:r>
      <w:r>
        <w:rPr>
          <w:lang w:val="zh-CN"/>
        </w:rPr>
        <w:t>内部培训</w:t>
      </w:r>
      <w:r>
        <w:rPr>
          <w:rFonts w:hint="eastAsia"/>
        </w:rPr>
        <w:t>并考试合格</w:t>
      </w:r>
      <w:r>
        <w:rPr>
          <w:rFonts w:hint="eastAsia"/>
          <w:lang w:val="zh-CN"/>
        </w:rPr>
        <w:t>。</w:t>
      </w:r>
      <w:r>
        <w:rPr>
          <w:rFonts w:hint="eastAsia"/>
        </w:rPr>
        <w:t>特种设备作业人员和</w:t>
      </w:r>
      <w:r>
        <w:rPr>
          <w:rFonts w:hint="eastAsia"/>
          <w:lang w:val="zh-CN"/>
        </w:rPr>
        <w:t>特种作业人员</w:t>
      </w:r>
      <w:r>
        <w:rPr>
          <w:rFonts w:hint="eastAsia"/>
        </w:rPr>
        <w:t>经市场监督管理局、应急管理局等相关部门培训考核合格，并取得</w:t>
      </w:r>
      <w:r>
        <w:rPr>
          <w:rFonts w:hint="eastAsia"/>
          <w:lang w:val="zh-CN"/>
        </w:rPr>
        <w:t>特种作业</w:t>
      </w:r>
      <w:r>
        <w:rPr>
          <w:rFonts w:hint="eastAsia"/>
        </w:rPr>
        <w:t>人员证、特种作业</w:t>
      </w:r>
      <w:r>
        <w:rPr>
          <w:rFonts w:hint="eastAsia"/>
          <w:lang w:val="zh-CN"/>
        </w:rPr>
        <w:t>操作证</w:t>
      </w:r>
      <w:r>
        <w:rPr>
          <w:rFonts w:hint="eastAsia"/>
        </w:rPr>
        <w:t>。主要负责人和安全管理员和特种作业人员持证</w:t>
      </w:r>
      <w:r>
        <w:rPr>
          <w:lang w:val="zh-CN"/>
        </w:rPr>
        <w:t>情况见</w:t>
      </w:r>
      <w:r>
        <w:rPr>
          <w:rFonts w:hint="eastAsia"/>
        </w:rPr>
        <w:t>下表</w:t>
      </w:r>
      <w:r>
        <w:rPr>
          <w:lang w:val="zh-CN"/>
        </w:rPr>
        <w:t>。</w:t>
      </w:r>
    </w:p>
    <w:p>
      <w:pPr>
        <w:pStyle w:val="14"/>
        <w:spacing w:before="156" w:after="156"/>
        <w:ind w:firstLine="482" w:firstLineChars="200"/>
      </w:pPr>
      <w:r>
        <w:t xml:space="preserve">表 </w:t>
      </w:r>
      <w:r>
        <w:fldChar w:fldCharType="begin"/>
      </w:r>
      <w:r>
        <w:instrText xml:space="preserve"> STYLEREF 2 \s </w:instrText>
      </w:r>
      <w:r>
        <w:fldChar w:fldCharType="separate"/>
      </w:r>
      <w:r>
        <w:t>2.3</w:t>
      </w:r>
      <w:r>
        <w:fldChar w:fldCharType="end"/>
      </w:r>
      <w:r>
        <w:rPr>
          <w:rFonts w:hint="eastAsia"/>
        </w:rPr>
        <w:t>-</w:t>
      </w:r>
      <w:r>
        <w:fldChar w:fldCharType="begin"/>
      </w:r>
      <w:r>
        <w:instrText xml:space="preserve"> SEQ 表 \* ARABIC \s 2 </w:instrText>
      </w:r>
      <w:r>
        <w:fldChar w:fldCharType="separate"/>
      </w:r>
      <w:r>
        <w:t>13</w:t>
      </w:r>
      <w:r>
        <w:fldChar w:fldCharType="end"/>
      </w:r>
      <w:r>
        <w:rPr>
          <w:rFonts w:hint="eastAsia"/>
        </w:rPr>
        <w:t>主要负责人和安全管理员和特种作业人员持证情况一览表</w:t>
      </w:r>
    </w:p>
    <w:tbl>
      <w:tblPr>
        <w:tblStyle w:val="29"/>
        <w:tblW w:w="4998" w:type="pct"/>
        <w:tblInd w:w="0" w:type="dxa"/>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autofit"/>
        <w:tblCellMar>
          <w:top w:w="0" w:type="dxa"/>
          <w:left w:w="108" w:type="dxa"/>
          <w:bottom w:w="0" w:type="dxa"/>
          <w:right w:w="108" w:type="dxa"/>
        </w:tblCellMar>
      </w:tblPr>
      <w:tblGrid>
        <w:gridCol w:w="936"/>
        <w:gridCol w:w="779"/>
        <w:gridCol w:w="1322"/>
        <w:gridCol w:w="1569"/>
        <w:gridCol w:w="2496"/>
        <w:gridCol w:w="1417"/>
      </w:tblGrid>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549" w:type="pct"/>
            <w:tcBorders>
              <w:bottom w:val="single" w:color="000000" w:sz="4" w:space="0"/>
              <w:right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姓名</w:t>
            </w:r>
          </w:p>
        </w:tc>
        <w:tc>
          <w:tcPr>
            <w:tcW w:w="457" w:type="pct"/>
            <w:tcBorders>
              <w:left w:val="single" w:color="000000" w:sz="4" w:space="0"/>
              <w:bottom w:val="single" w:color="000000" w:sz="4" w:space="0"/>
              <w:right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性别</w:t>
            </w:r>
          </w:p>
        </w:tc>
        <w:tc>
          <w:tcPr>
            <w:tcW w:w="775" w:type="pct"/>
            <w:tcBorders>
              <w:left w:val="single" w:color="000000" w:sz="4" w:space="0"/>
              <w:bottom w:val="single" w:color="000000" w:sz="4" w:space="0"/>
              <w:right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证书名称</w:t>
            </w:r>
          </w:p>
        </w:tc>
        <w:tc>
          <w:tcPr>
            <w:tcW w:w="920" w:type="pct"/>
            <w:tcBorders>
              <w:left w:val="single" w:color="000000" w:sz="4" w:space="0"/>
              <w:bottom w:val="single" w:color="000000" w:sz="4" w:space="0"/>
              <w:right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发证部门</w:t>
            </w:r>
          </w:p>
        </w:tc>
        <w:tc>
          <w:tcPr>
            <w:tcW w:w="1464" w:type="pct"/>
            <w:tcBorders>
              <w:left w:val="single" w:color="000000" w:sz="4" w:space="0"/>
              <w:bottom w:val="single" w:color="000000" w:sz="4" w:space="0"/>
              <w:right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证书编号</w:t>
            </w:r>
          </w:p>
        </w:tc>
        <w:tc>
          <w:tcPr>
            <w:tcW w:w="831" w:type="pct"/>
            <w:tcBorders>
              <w:left w:val="single" w:color="000000" w:sz="4" w:space="0"/>
              <w:bottom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有效期至</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549" w:type="pct"/>
            <w:tcBorders>
              <w:top w:val="single" w:color="000000" w:sz="4" w:space="0"/>
              <w:bottom w:val="single" w:color="000000" w:sz="4" w:space="0"/>
              <w:right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王振洪</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男</w:t>
            </w:r>
          </w:p>
        </w:tc>
        <w:tc>
          <w:tcPr>
            <w:tcW w:w="775"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sz w:val="24"/>
                <w:szCs w:val="24"/>
              </w:rPr>
              <w:t>主要负责人</w:t>
            </w:r>
          </w:p>
        </w:tc>
        <w:tc>
          <w:tcPr>
            <w:tcW w:w="920"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楚雄彝族自治州应急管理局</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53232619820630001X</w:t>
            </w:r>
          </w:p>
        </w:tc>
        <w:tc>
          <w:tcPr>
            <w:tcW w:w="831" w:type="pct"/>
            <w:tcBorders>
              <w:top w:val="single" w:color="000000" w:sz="4" w:space="0"/>
              <w:left w:val="single" w:color="000000" w:sz="4" w:space="0"/>
              <w:bottom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2026-6-15</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549" w:type="pct"/>
            <w:tcBorders>
              <w:top w:val="single" w:color="000000" w:sz="4" w:space="0"/>
              <w:bottom w:val="single" w:color="000000" w:sz="4" w:space="0"/>
              <w:right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普文超</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男</w:t>
            </w:r>
          </w:p>
        </w:tc>
        <w:tc>
          <w:tcPr>
            <w:tcW w:w="775"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安全管理员</w:t>
            </w:r>
          </w:p>
        </w:tc>
        <w:tc>
          <w:tcPr>
            <w:tcW w:w="920"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楚雄彝族自治州应急管理局</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532326199111101610</w:t>
            </w:r>
          </w:p>
        </w:tc>
        <w:tc>
          <w:tcPr>
            <w:tcW w:w="831" w:type="pct"/>
            <w:tcBorders>
              <w:top w:val="single" w:color="000000" w:sz="4" w:space="0"/>
              <w:left w:val="single" w:color="000000" w:sz="4" w:space="0"/>
              <w:bottom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2026-6-15</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549" w:type="pct"/>
            <w:tcBorders>
              <w:top w:val="single" w:color="000000" w:sz="4" w:space="0"/>
              <w:bottom w:val="single" w:color="000000" w:sz="4" w:space="0"/>
              <w:right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夏文明</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男</w:t>
            </w:r>
          </w:p>
        </w:tc>
        <w:tc>
          <w:tcPr>
            <w:tcW w:w="775"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安全管理员</w:t>
            </w:r>
          </w:p>
        </w:tc>
        <w:tc>
          <w:tcPr>
            <w:tcW w:w="920"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楚雄彝族自治州应急管理局</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532326197511123019</w:t>
            </w:r>
          </w:p>
        </w:tc>
        <w:tc>
          <w:tcPr>
            <w:tcW w:w="831" w:type="pct"/>
            <w:tcBorders>
              <w:top w:val="single" w:color="000000" w:sz="4" w:space="0"/>
              <w:left w:val="single" w:color="000000" w:sz="4" w:space="0"/>
              <w:bottom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2026-6-15</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936" w:type="dxa"/>
            <w:tcBorders>
              <w:top w:val="single" w:color="000000" w:sz="4" w:space="0"/>
              <w:bottom w:val="single" w:color="000000" w:sz="4" w:space="0"/>
              <w:right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孙丽梅</w:t>
            </w:r>
          </w:p>
        </w:tc>
        <w:tc>
          <w:tcPr>
            <w:tcW w:w="779"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女</w:t>
            </w:r>
          </w:p>
        </w:tc>
        <w:tc>
          <w:tcPr>
            <w:tcW w:w="13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安全管理员</w:t>
            </w:r>
          </w:p>
        </w:tc>
        <w:tc>
          <w:tcPr>
            <w:tcW w:w="1569"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楚雄彝族自治州应急管理局</w:t>
            </w:r>
          </w:p>
        </w:tc>
        <w:tc>
          <w:tcPr>
            <w:tcW w:w="2496"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532326199512151627</w:t>
            </w:r>
          </w:p>
        </w:tc>
        <w:tc>
          <w:tcPr>
            <w:tcW w:w="1417" w:type="dxa"/>
            <w:tcBorders>
              <w:top w:val="single" w:color="000000" w:sz="4" w:space="0"/>
              <w:left w:val="single" w:color="000000" w:sz="4" w:space="0"/>
              <w:bottom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2023-06-16</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549" w:type="pct"/>
            <w:tcBorders>
              <w:top w:val="single" w:color="000000" w:sz="4" w:space="0"/>
              <w:bottom w:val="single" w:color="000000" w:sz="4" w:space="0"/>
              <w:right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龚学斌</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男</w:t>
            </w:r>
          </w:p>
        </w:tc>
        <w:tc>
          <w:tcPr>
            <w:tcW w:w="775"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N1（叉车司机）</w:t>
            </w:r>
          </w:p>
        </w:tc>
        <w:tc>
          <w:tcPr>
            <w:tcW w:w="920"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楚雄州市场监督管理局</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532326197504190336</w:t>
            </w:r>
          </w:p>
        </w:tc>
        <w:tc>
          <w:tcPr>
            <w:tcW w:w="831" w:type="pct"/>
            <w:tcBorders>
              <w:top w:val="single" w:color="000000" w:sz="4" w:space="0"/>
              <w:left w:val="single" w:color="000000" w:sz="4" w:space="0"/>
              <w:bottom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2025-06</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549" w:type="pct"/>
            <w:tcBorders>
              <w:top w:val="single" w:color="000000" w:sz="4" w:space="0"/>
              <w:bottom w:val="single" w:color="000000" w:sz="4" w:space="0"/>
              <w:right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郑国荣</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男</w:t>
            </w:r>
          </w:p>
        </w:tc>
        <w:tc>
          <w:tcPr>
            <w:tcW w:w="775"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N1（叉车司机）</w:t>
            </w:r>
          </w:p>
        </w:tc>
        <w:tc>
          <w:tcPr>
            <w:tcW w:w="920"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楚雄州市场监督管理局</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532326198201040618</w:t>
            </w:r>
          </w:p>
        </w:tc>
        <w:tc>
          <w:tcPr>
            <w:tcW w:w="831" w:type="pct"/>
            <w:tcBorders>
              <w:top w:val="single" w:color="000000" w:sz="4" w:space="0"/>
              <w:left w:val="single" w:color="000000" w:sz="4" w:space="0"/>
              <w:bottom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2026-03</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549" w:type="pct"/>
            <w:tcBorders>
              <w:top w:val="single" w:color="000000" w:sz="4" w:space="0"/>
              <w:bottom w:val="single" w:color="000000" w:sz="4" w:space="0"/>
              <w:right w:val="single" w:color="000000" w:sz="4" w:space="0"/>
            </w:tcBorders>
            <w:shd w:val="clear" w:color="auto" w:fill="auto"/>
            <w:noWrap/>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李承恩</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男</w:t>
            </w:r>
          </w:p>
        </w:tc>
        <w:tc>
          <w:tcPr>
            <w:tcW w:w="775"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N1（叉车司机）</w:t>
            </w:r>
          </w:p>
        </w:tc>
        <w:tc>
          <w:tcPr>
            <w:tcW w:w="920"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昆明市盘龙区市场监督管理局</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532326197509172014</w:t>
            </w:r>
          </w:p>
        </w:tc>
        <w:tc>
          <w:tcPr>
            <w:tcW w:w="831" w:type="pct"/>
            <w:tcBorders>
              <w:top w:val="single" w:color="000000" w:sz="4" w:space="0"/>
              <w:left w:val="single" w:color="000000" w:sz="4" w:space="0"/>
              <w:bottom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2026-06</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549" w:type="pct"/>
            <w:tcBorders>
              <w:top w:val="single" w:color="000000" w:sz="4" w:space="0"/>
              <w:bottom w:val="single" w:color="000000" w:sz="4" w:space="0"/>
              <w:right w:val="single" w:color="000000" w:sz="4" w:space="0"/>
            </w:tcBorders>
            <w:shd w:val="clear" w:color="auto" w:fill="auto"/>
            <w:noWrap/>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董金云</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男</w:t>
            </w:r>
          </w:p>
        </w:tc>
        <w:tc>
          <w:tcPr>
            <w:tcW w:w="775"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N1（叉车司机）</w:t>
            </w:r>
          </w:p>
        </w:tc>
        <w:tc>
          <w:tcPr>
            <w:tcW w:w="920"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昆明市盘龙区市场监督管理局</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532326198508200639</w:t>
            </w:r>
          </w:p>
        </w:tc>
        <w:tc>
          <w:tcPr>
            <w:tcW w:w="831" w:type="pct"/>
            <w:tcBorders>
              <w:top w:val="single" w:color="000000" w:sz="4" w:space="0"/>
              <w:left w:val="single" w:color="000000" w:sz="4" w:space="0"/>
              <w:bottom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2026-06</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549" w:type="pct"/>
            <w:tcBorders>
              <w:top w:val="single" w:color="000000" w:sz="4" w:space="0"/>
              <w:bottom w:val="single" w:color="000000" w:sz="4" w:space="0"/>
              <w:right w:val="single" w:color="000000" w:sz="4" w:space="0"/>
            </w:tcBorders>
            <w:shd w:val="clear" w:color="auto" w:fill="auto"/>
            <w:noWrap/>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舒敬先</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男</w:t>
            </w:r>
          </w:p>
        </w:tc>
        <w:tc>
          <w:tcPr>
            <w:tcW w:w="775"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N1（叉车司机）</w:t>
            </w:r>
          </w:p>
        </w:tc>
        <w:tc>
          <w:tcPr>
            <w:tcW w:w="920"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昆明市盘龙区市场监督管理局</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532326197904201014</w:t>
            </w:r>
          </w:p>
        </w:tc>
        <w:tc>
          <w:tcPr>
            <w:tcW w:w="831" w:type="pct"/>
            <w:tcBorders>
              <w:top w:val="single" w:color="000000" w:sz="4" w:space="0"/>
              <w:left w:val="single" w:color="000000" w:sz="4" w:space="0"/>
              <w:bottom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2026-06</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549" w:type="pct"/>
            <w:tcBorders>
              <w:top w:val="single" w:color="000000" w:sz="4" w:space="0"/>
              <w:bottom w:val="single" w:color="000000" w:sz="4" w:space="0"/>
              <w:right w:val="single" w:color="000000" w:sz="4" w:space="0"/>
            </w:tcBorders>
            <w:shd w:val="clear" w:color="auto" w:fill="auto"/>
            <w:noWrap/>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毛焕有</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男</w:t>
            </w:r>
          </w:p>
        </w:tc>
        <w:tc>
          <w:tcPr>
            <w:tcW w:w="775"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N1（叉车司机）</w:t>
            </w:r>
          </w:p>
        </w:tc>
        <w:tc>
          <w:tcPr>
            <w:tcW w:w="920"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昆明市盘龙区市场监督管理局</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532326197108050059</w:t>
            </w:r>
          </w:p>
        </w:tc>
        <w:tc>
          <w:tcPr>
            <w:tcW w:w="831" w:type="pct"/>
            <w:tcBorders>
              <w:top w:val="single" w:color="000000" w:sz="4" w:space="0"/>
              <w:left w:val="single" w:color="000000" w:sz="4" w:space="0"/>
              <w:bottom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2026-06</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549" w:type="pct"/>
            <w:tcBorders>
              <w:top w:val="single" w:color="000000" w:sz="4" w:space="0"/>
              <w:bottom w:val="single" w:color="000000" w:sz="4" w:space="0"/>
              <w:right w:val="single" w:color="000000" w:sz="4" w:space="0"/>
            </w:tcBorders>
            <w:shd w:val="clear" w:color="auto" w:fill="auto"/>
            <w:noWrap/>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姜桂芹</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女</w:t>
            </w:r>
          </w:p>
        </w:tc>
        <w:tc>
          <w:tcPr>
            <w:tcW w:w="775"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N1（叉车司机）</w:t>
            </w:r>
          </w:p>
        </w:tc>
        <w:tc>
          <w:tcPr>
            <w:tcW w:w="920"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昆明市盘龙区市场监督管理局</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532326197011123047</w:t>
            </w:r>
          </w:p>
        </w:tc>
        <w:tc>
          <w:tcPr>
            <w:tcW w:w="831" w:type="pct"/>
            <w:tcBorders>
              <w:top w:val="single" w:color="000000" w:sz="4" w:space="0"/>
              <w:left w:val="single" w:color="000000" w:sz="4" w:space="0"/>
              <w:bottom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2026-07</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549" w:type="pct"/>
            <w:tcBorders>
              <w:top w:val="single" w:color="000000" w:sz="4" w:space="0"/>
              <w:bottom w:val="single" w:color="000000" w:sz="4" w:space="0"/>
              <w:right w:val="single" w:color="000000" w:sz="4" w:space="0"/>
            </w:tcBorders>
            <w:shd w:val="clear" w:color="auto" w:fill="auto"/>
            <w:noWrap/>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王思义</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男</w:t>
            </w:r>
          </w:p>
        </w:tc>
        <w:tc>
          <w:tcPr>
            <w:tcW w:w="775"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N1（叉车司机）</w:t>
            </w:r>
          </w:p>
        </w:tc>
        <w:tc>
          <w:tcPr>
            <w:tcW w:w="920"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昆明市盘龙区市场监督管理局</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532326197810201419</w:t>
            </w:r>
          </w:p>
        </w:tc>
        <w:tc>
          <w:tcPr>
            <w:tcW w:w="831" w:type="pct"/>
            <w:tcBorders>
              <w:top w:val="single" w:color="000000" w:sz="4" w:space="0"/>
              <w:left w:val="single" w:color="000000" w:sz="4" w:space="0"/>
              <w:bottom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2026-07</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549" w:type="pct"/>
            <w:tcBorders>
              <w:top w:val="single" w:color="000000" w:sz="4" w:space="0"/>
              <w:bottom w:val="single" w:color="000000" w:sz="4" w:space="0"/>
              <w:right w:val="single" w:color="000000" w:sz="4" w:space="0"/>
            </w:tcBorders>
            <w:shd w:val="clear" w:color="auto" w:fill="auto"/>
            <w:noWrap/>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孙丽梅</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女</w:t>
            </w:r>
          </w:p>
        </w:tc>
        <w:tc>
          <w:tcPr>
            <w:tcW w:w="775"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A（特种设备安全管理）</w:t>
            </w:r>
          </w:p>
        </w:tc>
        <w:tc>
          <w:tcPr>
            <w:tcW w:w="920"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楚雄州市场监督管理局</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532326199512151627</w:t>
            </w:r>
          </w:p>
        </w:tc>
        <w:tc>
          <w:tcPr>
            <w:tcW w:w="831" w:type="pct"/>
            <w:tcBorders>
              <w:top w:val="single" w:color="000000" w:sz="4" w:space="0"/>
              <w:left w:val="single" w:color="000000" w:sz="4" w:space="0"/>
              <w:bottom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2026-05</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549" w:type="pct"/>
            <w:tcBorders>
              <w:top w:val="single" w:color="000000" w:sz="4" w:space="0"/>
              <w:bottom w:val="single" w:color="000000" w:sz="4" w:space="0"/>
              <w:right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华秀于</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男</w:t>
            </w:r>
          </w:p>
        </w:tc>
        <w:tc>
          <w:tcPr>
            <w:tcW w:w="775"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Q2（限桥式、门式起重机）</w:t>
            </w:r>
          </w:p>
        </w:tc>
        <w:tc>
          <w:tcPr>
            <w:tcW w:w="920"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楚雄州市场监督管理局</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532326196804113039</w:t>
            </w:r>
          </w:p>
        </w:tc>
        <w:tc>
          <w:tcPr>
            <w:tcW w:w="831" w:type="pct"/>
            <w:tcBorders>
              <w:top w:val="single" w:color="000000" w:sz="4" w:space="0"/>
              <w:left w:val="single" w:color="000000" w:sz="4" w:space="0"/>
              <w:bottom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2024-04</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549" w:type="pct"/>
            <w:tcBorders>
              <w:top w:val="single" w:color="000000" w:sz="4" w:space="0"/>
              <w:bottom w:val="single" w:color="000000" w:sz="4" w:space="0"/>
              <w:right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梁利平</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男</w:t>
            </w:r>
          </w:p>
        </w:tc>
        <w:tc>
          <w:tcPr>
            <w:tcW w:w="775"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Q2（限桥式、门式起重机）</w:t>
            </w:r>
          </w:p>
        </w:tc>
        <w:tc>
          <w:tcPr>
            <w:tcW w:w="920"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楚雄州市场监督管理局</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532326198901280612</w:t>
            </w:r>
          </w:p>
        </w:tc>
        <w:tc>
          <w:tcPr>
            <w:tcW w:w="831" w:type="pct"/>
            <w:tcBorders>
              <w:top w:val="single" w:color="000000" w:sz="4" w:space="0"/>
              <w:left w:val="single" w:color="000000" w:sz="4" w:space="0"/>
              <w:bottom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2024-04</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549" w:type="pct"/>
            <w:tcBorders>
              <w:top w:val="single" w:color="000000" w:sz="4" w:space="0"/>
              <w:bottom w:val="single" w:color="000000" w:sz="4" w:space="0"/>
              <w:right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鹿守新</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男</w:t>
            </w:r>
          </w:p>
        </w:tc>
        <w:tc>
          <w:tcPr>
            <w:tcW w:w="775"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Q2（限桥式、门式起重机）</w:t>
            </w:r>
          </w:p>
        </w:tc>
        <w:tc>
          <w:tcPr>
            <w:tcW w:w="920"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楚雄州市场监督管理局</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532326196809250032</w:t>
            </w:r>
          </w:p>
        </w:tc>
        <w:tc>
          <w:tcPr>
            <w:tcW w:w="831" w:type="pct"/>
            <w:tcBorders>
              <w:top w:val="single" w:color="000000" w:sz="4" w:space="0"/>
              <w:left w:val="single" w:color="000000" w:sz="4" w:space="0"/>
              <w:bottom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2024-04</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549" w:type="pct"/>
            <w:tcBorders>
              <w:top w:val="single" w:color="000000" w:sz="4" w:space="0"/>
              <w:bottom w:val="single" w:color="000000" w:sz="4" w:space="0"/>
              <w:right w:val="single" w:color="000000" w:sz="4" w:space="0"/>
            </w:tcBorders>
            <w:shd w:val="clear" w:color="auto" w:fill="auto"/>
            <w:noWrap/>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李开安</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男</w:t>
            </w:r>
          </w:p>
        </w:tc>
        <w:tc>
          <w:tcPr>
            <w:tcW w:w="775"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焊接与热切割作业</w:t>
            </w:r>
          </w:p>
        </w:tc>
        <w:tc>
          <w:tcPr>
            <w:tcW w:w="920"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昆明市应急管理局</w:t>
            </w:r>
          </w:p>
        </w:tc>
        <w:tc>
          <w:tcPr>
            <w:tcW w:w="14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T532326198204131013</w:t>
            </w:r>
          </w:p>
        </w:tc>
        <w:tc>
          <w:tcPr>
            <w:tcW w:w="831" w:type="pct"/>
            <w:tcBorders>
              <w:top w:val="single" w:color="000000" w:sz="4" w:space="0"/>
              <w:left w:val="single" w:color="000000" w:sz="4" w:space="0"/>
              <w:bottom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2028-08</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549" w:type="pct"/>
            <w:tcBorders>
              <w:top w:val="single" w:color="000000" w:sz="4" w:space="0"/>
              <w:bottom w:val="single" w:color="000000" w:sz="4" w:space="0"/>
              <w:right w:val="single" w:color="000000" w:sz="4" w:space="0"/>
            </w:tcBorders>
            <w:shd w:val="clear" w:color="auto" w:fill="auto"/>
            <w:noWrap/>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张正江</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男</w:t>
            </w:r>
          </w:p>
        </w:tc>
        <w:tc>
          <w:tcPr>
            <w:tcW w:w="775"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焊接与热切割作业</w:t>
            </w:r>
          </w:p>
        </w:tc>
        <w:tc>
          <w:tcPr>
            <w:tcW w:w="920"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昆明市应急管理局</w:t>
            </w:r>
          </w:p>
        </w:tc>
        <w:tc>
          <w:tcPr>
            <w:tcW w:w="14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T532326198704071416</w:t>
            </w:r>
          </w:p>
        </w:tc>
        <w:tc>
          <w:tcPr>
            <w:tcW w:w="831" w:type="pct"/>
            <w:tcBorders>
              <w:top w:val="single" w:color="000000" w:sz="4" w:space="0"/>
              <w:left w:val="single" w:color="000000" w:sz="4" w:space="0"/>
              <w:bottom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2028-08</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549" w:type="pct"/>
            <w:tcBorders>
              <w:top w:val="single" w:color="000000" w:sz="4" w:space="0"/>
              <w:right w:val="single" w:color="000000" w:sz="4" w:space="0"/>
            </w:tcBorders>
            <w:shd w:val="clear" w:color="auto" w:fill="auto"/>
            <w:noWrap/>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王  波</w:t>
            </w:r>
          </w:p>
        </w:tc>
        <w:tc>
          <w:tcPr>
            <w:tcW w:w="457" w:type="pct"/>
            <w:tcBorders>
              <w:top w:val="single" w:color="000000" w:sz="4" w:space="0"/>
              <w:left w:val="single" w:color="000000" w:sz="4" w:space="0"/>
              <w:right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男</w:t>
            </w:r>
          </w:p>
        </w:tc>
        <w:tc>
          <w:tcPr>
            <w:tcW w:w="775" w:type="pct"/>
            <w:tcBorders>
              <w:top w:val="single" w:color="000000" w:sz="4" w:space="0"/>
              <w:left w:val="single" w:color="000000" w:sz="4" w:space="0"/>
              <w:right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焊接与热切割作业</w:t>
            </w:r>
          </w:p>
        </w:tc>
        <w:tc>
          <w:tcPr>
            <w:tcW w:w="920" w:type="pct"/>
            <w:tcBorders>
              <w:top w:val="single" w:color="000000" w:sz="4" w:space="0"/>
              <w:left w:val="single" w:color="000000" w:sz="4" w:space="0"/>
              <w:right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昆明市应急管理局</w:t>
            </w:r>
          </w:p>
        </w:tc>
        <w:tc>
          <w:tcPr>
            <w:tcW w:w="1464" w:type="pct"/>
            <w:tcBorders>
              <w:top w:val="single" w:color="000000" w:sz="4" w:space="0"/>
              <w:left w:val="single" w:color="000000" w:sz="4" w:space="0"/>
              <w:right w:val="single" w:color="000000" w:sz="4" w:space="0"/>
            </w:tcBorders>
            <w:shd w:val="clear" w:color="auto" w:fill="auto"/>
            <w:noWrap/>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T532326198201101214</w:t>
            </w:r>
          </w:p>
        </w:tc>
        <w:tc>
          <w:tcPr>
            <w:tcW w:w="831" w:type="pct"/>
            <w:tcBorders>
              <w:top w:val="single" w:color="000000" w:sz="4" w:space="0"/>
              <w:left w:val="single" w:color="000000" w:sz="4" w:space="0"/>
            </w:tcBorders>
            <w:shd w:val="clear" w:color="auto" w:fill="auto"/>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2028-08</w:t>
            </w:r>
          </w:p>
        </w:tc>
      </w:tr>
    </w:tbl>
    <w:p>
      <w:pPr>
        <w:pStyle w:val="7"/>
        <w:spacing w:before="156" w:after="156"/>
      </w:pPr>
      <w:r>
        <w:rPr>
          <w:rFonts w:hint="eastAsia"/>
        </w:rPr>
        <w:t>工伤保险和安全生产责任保险</w:t>
      </w:r>
    </w:p>
    <w:p>
      <w:pPr>
        <w:ind w:firstLine="560"/>
      </w:pPr>
      <w:r>
        <w:rPr>
          <w:rFonts w:hint="eastAsia" w:ascii="宋体" w:hAnsi="宋体" w:cs="宋体"/>
          <w:szCs w:val="28"/>
        </w:rPr>
        <w:t>云南大姚祥华工业制造股份公司</w:t>
      </w:r>
      <w:r>
        <w:t>为</w:t>
      </w:r>
      <w:r>
        <w:rPr>
          <w:rFonts w:hint="eastAsia"/>
        </w:rPr>
        <w:t>每位</w:t>
      </w:r>
      <w:r>
        <w:t>员工</w:t>
      </w:r>
      <w:r>
        <w:rPr>
          <w:rFonts w:hint="eastAsia"/>
        </w:rPr>
        <w:t>均</w:t>
      </w:r>
      <w:r>
        <w:t>购买了工伤保险。</w:t>
      </w:r>
      <w:r>
        <w:rPr>
          <w:rFonts w:hint="eastAsia"/>
        </w:rPr>
        <w:t>同时按照《云南省应急管理厅 云南银保监局关于规范推进安全生产责任保险工作的通知》要求为每位员工投保了安全生产责任保险。</w:t>
      </w:r>
    </w:p>
    <w:p>
      <w:pPr>
        <w:pStyle w:val="7"/>
        <w:spacing w:before="156" w:after="156"/>
      </w:pPr>
      <w:r>
        <w:rPr>
          <w:rFonts w:hint="eastAsia"/>
        </w:rPr>
        <w:t>安全投入</w:t>
      </w:r>
    </w:p>
    <w:p>
      <w:pPr>
        <w:ind w:firstLine="560"/>
      </w:pPr>
      <w:r>
        <w:rPr>
          <w:rFonts w:hint="eastAsia"/>
        </w:rPr>
        <w:t>本项目总投资12487.17万元，设计安全设施投资概算110万元，安全设施投资占项目固定资产投资的0.9%；实际安全设施投资118.3万元，安全设施投资占项目固定资产投资的0.95%。安全设施专项投资见表 2.3-14。</w:t>
      </w:r>
    </w:p>
    <w:p>
      <w:pPr>
        <w:spacing w:line="360" w:lineRule="auto"/>
        <w:ind w:firstLine="0" w:firstLineChars="0"/>
        <w:jc w:val="center"/>
        <w:rPr>
          <w:b/>
          <w:bCs/>
          <w:sz w:val="24"/>
          <w:szCs w:val="21"/>
        </w:rPr>
      </w:pPr>
    </w:p>
    <w:p>
      <w:pPr>
        <w:spacing w:line="360" w:lineRule="auto"/>
        <w:ind w:firstLine="0" w:firstLineChars="0"/>
        <w:jc w:val="center"/>
        <w:rPr>
          <w:rFonts w:ascii="宋体" w:hAnsi="宋体" w:cs="宋体"/>
          <w:b/>
          <w:bCs/>
          <w:sz w:val="24"/>
          <w:szCs w:val="24"/>
        </w:rPr>
      </w:pPr>
      <w:r>
        <w:rPr>
          <w:b/>
          <w:bCs/>
          <w:sz w:val="24"/>
          <w:szCs w:val="21"/>
        </w:rPr>
        <w:t xml:space="preserve">表 </w:t>
      </w:r>
      <w:r>
        <w:rPr>
          <w:b/>
          <w:bCs/>
          <w:sz w:val="24"/>
          <w:szCs w:val="21"/>
        </w:rPr>
        <w:fldChar w:fldCharType="begin"/>
      </w:r>
      <w:r>
        <w:rPr>
          <w:b/>
          <w:bCs/>
          <w:sz w:val="24"/>
          <w:szCs w:val="21"/>
        </w:rPr>
        <w:instrText xml:space="preserve"> STYLEREF 2 \s </w:instrText>
      </w:r>
      <w:r>
        <w:rPr>
          <w:b/>
          <w:bCs/>
          <w:sz w:val="24"/>
          <w:szCs w:val="21"/>
        </w:rPr>
        <w:fldChar w:fldCharType="separate"/>
      </w:r>
      <w:r>
        <w:rPr>
          <w:b/>
          <w:bCs/>
          <w:sz w:val="24"/>
          <w:szCs w:val="21"/>
        </w:rPr>
        <w:t>2.3</w:t>
      </w:r>
      <w:r>
        <w:rPr>
          <w:b/>
          <w:bCs/>
          <w:sz w:val="24"/>
          <w:szCs w:val="21"/>
        </w:rPr>
        <w:fldChar w:fldCharType="end"/>
      </w:r>
      <w:r>
        <w:rPr>
          <w:rFonts w:hint="eastAsia"/>
          <w:b/>
          <w:bCs/>
          <w:sz w:val="24"/>
          <w:szCs w:val="21"/>
        </w:rPr>
        <w:t>-</w:t>
      </w:r>
      <w:r>
        <w:rPr>
          <w:b/>
          <w:bCs/>
          <w:sz w:val="24"/>
          <w:szCs w:val="21"/>
        </w:rPr>
        <w:fldChar w:fldCharType="begin"/>
      </w:r>
      <w:r>
        <w:rPr>
          <w:b/>
          <w:bCs/>
          <w:sz w:val="24"/>
          <w:szCs w:val="21"/>
        </w:rPr>
        <w:instrText xml:space="preserve"> SEQ 表 \* ARABIC \s 2 </w:instrText>
      </w:r>
      <w:r>
        <w:rPr>
          <w:b/>
          <w:bCs/>
          <w:sz w:val="24"/>
          <w:szCs w:val="21"/>
        </w:rPr>
        <w:fldChar w:fldCharType="separate"/>
      </w:r>
      <w:r>
        <w:rPr>
          <w:b/>
          <w:bCs/>
          <w:sz w:val="24"/>
          <w:szCs w:val="21"/>
        </w:rPr>
        <w:t>14</w:t>
      </w:r>
      <w:r>
        <w:rPr>
          <w:b/>
          <w:bCs/>
          <w:sz w:val="24"/>
          <w:szCs w:val="21"/>
        </w:rPr>
        <w:fldChar w:fldCharType="end"/>
      </w:r>
      <w:r>
        <w:rPr>
          <w:rFonts w:hint="eastAsia"/>
          <w:b/>
          <w:bCs/>
          <w:sz w:val="24"/>
          <w:szCs w:val="24"/>
        </w:rPr>
        <w:t>安全设施专项投资一览表</w:t>
      </w:r>
    </w:p>
    <w:tbl>
      <w:tblPr>
        <w:tblStyle w:val="29"/>
        <w:tblW w:w="4997"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28" w:type="dxa"/>
          <w:bottom w:w="0" w:type="dxa"/>
          <w:right w:w="28" w:type="dxa"/>
        </w:tblCellMar>
      </w:tblPr>
      <w:tblGrid>
        <w:gridCol w:w="594"/>
        <w:gridCol w:w="1037"/>
        <w:gridCol w:w="960"/>
        <w:gridCol w:w="1179"/>
        <w:gridCol w:w="1046"/>
        <w:gridCol w:w="1146"/>
        <w:gridCol w:w="239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990" w:hRule="atLeast"/>
          <w:jc w:val="center"/>
        </w:trPr>
        <w:tc>
          <w:tcPr>
            <w:tcW w:w="355" w:type="pct"/>
            <w:vAlign w:val="center"/>
          </w:tcPr>
          <w:p>
            <w:pPr>
              <w:pStyle w:val="18"/>
              <w:adjustRightInd w:val="0"/>
              <w:snapToGrid w:val="0"/>
              <w:spacing w:line="240" w:lineRule="auto"/>
              <w:ind w:firstLine="0" w:firstLineChars="0"/>
              <w:jc w:val="center"/>
              <w:rPr>
                <w:rFonts w:ascii="Times New Roman" w:hAnsi="Times New Roman"/>
                <w:b/>
                <w:sz w:val="21"/>
                <w:szCs w:val="21"/>
              </w:rPr>
            </w:pPr>
            <w:r>
              <w:rPr>
                <w:rFonts w:ascii="Times New Roman" w:hAnsi="Times New Roman"/>
                <w:b/>
                <w:sz w:val="21"/>
                <w:szCs w:val="21"/>
              </w:rPr>
              <w:t>序号</w:t>
            </w:r>
          </w:p>
        </w:tc>
        <w:tc>
          <w:tcPr>
            <w:tcW w:w="620" w:type="pct"/>
            <w:vAlign w:val="center"/>
          </w:tcPr>
          <w:p>
            <w:pPr>
              <w:pStyle w:val="18"/>
              <w:adjustRightInd w:val="0"/>
              <w:snapToGrid w:val="0"/>
              <w:spacing w:line="240" w:lineRule="auto"/>
              <w:ind w:firstLine="0" w:firstLineChars="0"/>
              <w:jc w:val="center"/>
              <w:rPr>
                <w:rFonts w:ascii="Times New Roman" w:hAnsi="Times New Roman"/>
                <w:b/>
                <w:sz w:val="21"/>
                <w:szCs w:val="21"/>
              </w:rPr>
            </w:pPr>
            <w:r>
              <w:rPr>
                <w:rFonts w:ascii="Times New Roman" w:hAnsi="Times New Roman"/>
                <w:b/>
                <w:sz w:val="21"/>
                <w:szCs w:val="21"/>
              </w:rPr>
              <w:t>安全设施名称</w:t>
            </w:r>
          </w:p>
        </w:tc>
        <w:tc>
          <w:tcPr>
            <w:tcW w:w="574" w:type="pct"/>
            <w:vAlign w:val="center"/>
          </w:tcPr>
          <w:p>
            <w:pPr>
              <w:pStyle w:val="18"/>
              <w:adjustRightInd w:val="0"/>
              <w:snapToGrid w:val="0"/>
              <w:spacing w:line="240" w:lineRule="auto"/>
              <w:ind w:firstLine="0" w:firstLineChars="0"/>
              <w:jc w:val="center"/>
              <w:rPr>
                <w:rFonts w:ascii="Times New Roman" w:hAnsi="Times New Roman"/>
                <w:b/>
                <w:sz w:val="21"/>
                <w:szCs w:val="21"/>
              </w:rPr>
            </w:pPr>
            <w:r>
              <w:rPr>
                <w:rFonts w:hint="eastAsia" w:ascii="Times New Roman" w:hAnsi="Times New Roman"/>
                <w:b/>
                <w:sz w:val="21"/>
                <w:szCs w:val="21"/>
              </w:rPr>
              <w:t>设计</w:t>
            </w:r>
            <w:r>
              <w:rPr>
                <w:rFonts w:ascii="Times New Roman" w:hAnsi="Times New Roman"/>
                <w:b/>
                <w:sz w:val="21"/>
                <w:szCs w:val="21"/>
              </w:rPr>
              <w:t>安全设施投资（万元）</w:t>
            </w:r>
          </w:p>
        </w:tc>
        <w:tc>
          <w:tcPr>
            <w:tcW w:w="705" w:type="pct"/>
            <w:vAlign w:val="center"/>
          </w:tcPr>
          <w:p>
            <w:pPr>
              <w:pStyle w:val="18"/>
              <w:adjustRightInd w:val="0"/>
              <w:snapToGrid w:val="0"/>
              <w:spacing w:line="240" w:lineRule="auto"/>
              <w:ind w:firstLine="0" w:firstLineChars="0"/>
              <w:jc w:val="center"/>
              <w:rPr>
                <w:rFonts w:ascii="Times New Roman" w:hAnsi="Times New Roman"/>
                <w:b/>
                <w:sz w:val="21"/>
                <w:szCs w:val="21"/>
              </w:rPr>
            </w:pPr>
            <w:r>
              <w:rPr>
                <w:rFonts w:hint="eastAsia"/>
                <w:b/>
                <w:sz w:val="21"/>
                <w:szCs w:val="21"/>
              </w:rPr>
              <w:t>占</w:t>
            </w:r>
            <w:r>
              <w:rPr>
                <w:b/>
                <w:sz w:val="21"/>
                <w:szCs w:val="21"/>
              </w:rPr>
              <w:t>安全设施投资比例</w:t>
            </w:r>
          </w:p>
        </w:tc>
        <w:tc>
          <w:tcPr>
            <w:tcW w:w="625" w:type="pct"/>
            <w:vAlign w:val="center"/>
          </w:tcPr>
          <w:p>
            <w:pPr>
              <w:pStyle w:val="18"/>
              <w:adjustRightInd w:val="0"/>
              <w:snapToGrid w:val="0"/>
              <w:spacing w:line="240" w:lineRule="auto"/>
              <w:ind w:firstLine="0" w:firstLineChars="0"/>
              <w:jc w:val="center"/>
              <w:rPr>
                <w:b/>
                <w:sz w:val="21"/>
                <w:szCs w:val="21"/>
              </w:rPr>
            </w:pPr>
            <w:r>
              <w:rPr>
                <w:rFonts w:hint="eastAsia" w:ascii="Times New Roman" w:hAnsi="Times New Roman"/>
                <w:b/>
                <w:sz w:val="21"/>
                <w:szCs w:val="21"/>
              </w:rPr>
              <w:t>实际</w:t>
            </w:r>
            <w:r>
              <w:rPr>
                <w:rFonts w:ascii="Times New Roman" w:hAnsi="Times New Roman"/>
                <w:b/>
                <w:sz w:val="21"/>
                <w:szCs w:val="21"/>
              </w:rPr>
              <w:t>安全设施投资（万元）</w:t>
            </w:r>
          </w:p>
        </w:tc>
        <w:tc>
          <w:tcPr>
            <w:tcW w:w="685" w:type="pct"/>
            <w:vAlign w:val="center"/>
          </w:tcPr>
          <w:p>
            <w:pPr>
              <w:pStyle w:val="18"/>
              <w:adjustRightInd w:val="0"/>
              <w:snapToGrid w:val="0"/>
              <w:spacing w:line="240" w:lineRule="auto"/>
              <w:ind w:firstLine="0" w:firstLineChars="0"/>
              <w:jc w:val="center"/>
              <w:rPr>
                <w:b/>
                <w:sz w:val="21"/>
                <w:szCs w:val="21"/>
              </w:rPr>
            </w:pPr>
            <w:r>
              <w:rPr>
                <w:rFonts w:hint="eastAsia"/>
                <w:b/>
                <w:sz w:val="21"/>
                <w:szCs w:val="21"/>
              </w:rPr>
              <w:t>占</w:t>
            </w:r>
            <w:r>
              <w:rPr>
                <w:b/>
                <w:sz w:val="21"/>
                <w:szCs w:val="21"/>
              </w:rPr>
              <w:t>安全设施投资比例</w:t>
            </w:r>
          </w:p>
        </w:tc>
        <w:tc>
          <w:tcPr>
            <w:tcW w:w="1432" w:type="pct"/>
            <w:vAlign w:val="center"/>
          </w:tcPr>
          <w:p>
            <w:pPr>
              <w:pStyle w:val="18"/>
              <w:adjustRightInd w:val="0"/>
              <w:snapToGrid w:val="0"/>
              <w:spacing w:line="240" w:lineRule="auto"/>
              <w:ind w:firstLine="0" w:firstLineChars="0"/>
              <w:jc w:val="center"/>
              <w:rPr>
                <w:rFonts w:ascii="Times New Roman" w:hAnsi="Times New Roman"/>
                <w:b/>
                <w:sz w:val="21"/>
                <w:szCs w:val="21"/>
              </w:rPr>
            </w:pPr>
            <w:r>
              <w:rPr>
                <w:rFonts w:ascii="Times New Roman" w:hAnsi="Times New Roman"/>
                <w:b/>
                <w:sz w:val="21"/>
                <w:szCs w:val="21"/>
              </w:rPr>
              <w:t>备注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1291" w:hRule="atLeast"/>
          <w:jc w:val="center"/>
        </w:trPr>
        <w:tc>
          <w:tcPr>
            <w:tcW w:w="355" w:type="pct"/>
            <w:vAlign w:val="center"/>
          </w:tcPr>
          <w:p>
            <w:pPr>
              <w:pStyle w:val="18"/>
              <w:adjustRightInd w:val="0"/>
              <w:snapToGrid w:val="0"/>
              <w:spacing w:line="240" w:lineRule="auto"/>
              <w:ind w:firstLine="0" w:firstLineChars="0"/>
              <w:jc w:val="center"/>
              <w:rPr>
                <w:rFonts w:ascii="Times New Roman" w:hAnsi="Times New Roman"/>
                <w:sz w:val="21"/>
                <w:szCs w:val="21"/>
              </w:rPr>
            </w:pPr>
            <w:r>
              <w:rPr>
                <w:rFonts w:ascii="Times New Roman" w:hAnsi="Times New Roman"/>
                <w:sz w:val="21"/>
                <w:szCs w:val="21"/>
              </w:rPr>
              <w:t>1</w:t>
            </w:r>
          </w:p>
        </w:tc>
        <w:tc>
          <w:tcPr>
            <w:tcW w:w="620" w:type="pct"/>
            <w:vAlign w:val="center"/>
          </w:tcPr>
          <w:p>
            <w:pPr>
              <w:pStyle w:val="18"/>
              <w:adjustRightInd w:val="0"/>
              <w:snapToGrid w:val="0"/>
              <w:spacing w:line="240" w:lineRule="auto"/>
              <w:ind w:firstLine="0" w:firstLineChars="0"/>
              <w:jc w:val="center"/>
              <w:rPr>
                <w:rFonts w:ascii="Times New Roman" w:hAnsi="Times New Roman"/>
                <w:sz w:val="21"/>
                <w:szCs w:val="21"/>
              </w:rPr>
            </w:pPr>
            <w:r>
              <w:rPr>
                <w:rFonts w:ascii="Times New Roman" w:hAnsi="Times New Roman"/>
                <w:sz w:val="21"/>
                <w:szCs w:val="21"/>
              </w:rPr>
              <w:t>主要安全设施</w:t>
            </w:r>
          </w:p>
        </w:tc>
        <w:tc>
          <w:tcPr>
            <w:tcW w:w="574" w:type="pct"/>
            <w:vAlign w:val="center"/>
          </w:tcPr>
          <w:p>
            <w:pPr>
              <w:pStyle w:val="18"/>
              <w:adjustRightInd w:val="0"/>
              <w:snapToGrid w:val="0"/>
              <w:spacing w:line="240" w:lineRule="auto"/>
              <w:ind w:firstLine="0" w:firstLineChars="0"/>
              <w:jc w:val="center"/>
              <w:rPr>
                <w:rFonts w:ascii="Times New Roman" w:hAnsi="Times New Roman"/>
                <w:sz w:val="21"/>
                <w:szCs w:val="21"/>
              </w:rPr>
            </w:pPr>
            <w:r>
              <w:rPr>
                <w:rFonts w:hint="eastAsia" w:ascii="Times New Roman" w:hAnsi="Times New Roman"/>
                <w:sz w:val="21"/>
                <w:szCs w:val="21"/>
              </w:rPr>
              <w:t>20.5</w:t>
            </w:r>
          </w:p>
        </w:tc>
        <w:tc>
          <w:tcPr>
            <w:tcW w:w="705" w:type="pct"/>
            <w:vAlign w:val="center"/>
          </w:tcPr>
          <w:p>
            <w:pPr>
              <w:pStyle w:val="18"/>
              <w:adjustRightInd w:val="0"/>
              <w:snapToGrid w:val="0"/>
              <w:spacing w:line="240" w:lineRule="auto"/>
              <w:ind w:firstLine="0" w:firstLineChars="0"/>
              <w:jc w:val="center"/>
              <w:rPr>
                <w:rFonts w:ascii="Times New Roman" w:hAnsi="Times New Roman"/>
                <w:sz w:val="21"/>
                <w:szCs w:val="21"/>
              </w:rPr>
            </w:pPr>
            <w:r>
              <w:rPr>
                <w:rFonts w:hint="eastAsia" w:ascii="Times New Roman" w:hAnsi="Times New Roman"/>
                <w:sz w:val="21"/>
                <w:szCs w:val="21"/>
              </w:rPr>
              <w:t>18.6%</w:t>
            </w:r>
          </w:p>
        </w:tc>
        <w:tc>
          <w:tcPr>
            <w:tcW w:w="625" w:type="pct"/>
            <w:vAlign w:val="center"/>
          </w:tcPr>
          <w:p>
            <w:pPr>
              <w:pStyle w:val="18"/>
              <w:adjustRightInd w:val="0"/>
              <w:snapToGrid w:val="0"/>
              <w:spacing w:line="240" w:lineRule="auto"/>
              <w:ind w:firstLine="0" w:firstLineChars="0"/>
              <w:jc w:val="center"/>
              <w:rPr>
                <w:rFonts w:ascii="Times New Roman" w:hAnsi="Times New Roman"/>
                <w:sz w:val="21"/>
                <w:szCs w:val="21"/>
              </w:rPr>
            </w:pPr>
            <w:r>
              <w:rPr>
                <w:rFonts w:hint="eastAsia" w:ascii="Times New Roman" w:hAnsi="Times New Roman"/>
                <w:sz w:val="21"/>
                <w:szCs w:val="21"/>
              </w:rPr>
              <w:t>22.7</w:t>
            </w:r>
          </w:p>
        </w:tc>
        <w:tc>
          <w:tcPr>
            <w:tcW w:w="1146" w:type="dxa"/>
            <w:vAlign w:val="center"/>
          </w:tcPr>
          <w:p>
            <w:pPr>
              <w:widowControl/>
              <w:ind w:firstLine="0" w:firstLineChars="0"/>
              <w:jc w:val="center"/>
              <w:textAlignment w:val="center"/>
              <w:rPr>
                <w:rFonts w:cs="Times New Roman"/>
                <w:sz w:val="21"/>
                <w:szCs w:val="21"/>
              </w:rPr>
            </w:pPr>
            <w:r>
              <w:rPr>
                <w:rFonts w:hint="eastAsia" w:cs="Times New Roman"/>
                <w:sz w:val="21"/>
                <w:szCs w:val="21"/>
              </w:rPr>
              <w:t>19.19%</w:t>
            </w:r>
          </w:p>
        </w:tc>
        <w:tc>
          <w:tcPr>
            <w:tcW w:w="1432" w:type="pct"/>
            <w:vAlign w:val="center"/>
          </w:tcPr>
          <w:p>
            <w:pPr>
              <w:pStyle w:val="18"/>
              <w:adjustRightInd w:val="0"/>
              <w:snapToGrid w:val="0"/>
              <w:spacing w:line="240" w:lineRule="auto"/>
              <w:ind w:firstLine="0" w:firstLineChars="0"/>
              <w:rPr>
                <w:rFonts w:ascii="Times New Roman" w:hAnsi="Times New Roman"/>
                <w:sz w:val="21"/>
                <w:szCs w:val="21"/>
              </w:rPr>
            </w:pPr>
            <w:r>
              <w:rPr>
                <w:rFonts w:hint="eastAsia" w:ascii="Times New Roman" w:hAnsi="Times New Roman"/>
                <w:sz w:val="21"/>
                <w:szCs w:val="21"/>
              </w:rPr>
              <w:t>包括：</w:t>
            </w:r>
            <w:r>
              <w:rPr>
                <w:rFonts w:ascii="Times New Roman" w:hAnsi="Times New Roman"/>
                <w:sz w:val="21"/>
                <w:szCs w:val="21"/>
              </w:rPr>
              <w:t>灭火器</w:t>
            </w:r>
            <w:r>
              <w:rPr>
                <w:rFonts w:hint="eastAsia" w:ascii="Times New Roman" w:hAnsi="Times New Roman"/>
                <w:sz w:val="21"/>
                <w:szCs w:val="21"/>
              </w:rPr>
              <w:t>、防火墙、</w:t>
            </w:r>
            <w:r>
              <w:rPr>
                <w:rFonts w:ascii="Times New Roman" w:hAnsi="Times New Roman"/>
                <w:sz w:val="21"/>
                <w:szCs w:val="21"/>
              </w:rPr>
              <w:t>消防管道及消火栓</w:t>
            </w:r>
            <w:r>
              <w:rPr>
                <w:rFonts w:hint="eastAsia" w:ascii="Times New Roman" w:hAnsi="Times New Roman"/>
                <w:sz w:val="21"/>
                <w:szCs w:val="21"/>
              </w:rPr>
              <w:t>、</w:t>
            </w:r>
            <w:r>
              <w:rPr>
                <w:rFonts w:ascii="Times New Roman" w:hAnsi="Times New Roman"/>
                <w:sz w:val="21"/>
                <w:szCs w:val="21"/>
              </w:rPr>
              <w:t>隔热保温设施</w:t>
            </w:r>
            <w:r>
              <w:rPr>
                <w:rFonts w:hint="eastAsia" w:ascii="Times New Roman" w:hAnsi="Times New Roman"/>
                <w:sz w:val="21"/>
                <w:szCs w:val="21"/>
              </w:rPr>
              <w:t>及</w:t>
            </w:r>
            <w:r>
              <w:rPr>
                <w:rFonts w:ascii="Times New Roman" w:hAnsi="Times New Roman"/>
                <w:sz w:val="21"/>
                <w:szCs w:val="21"/>
              </w:rPr>
              <w:t>其它费用</w:t>
            </w:r>
            <w:r>
              <w:rPr>
                <w:rFonts w:hint="eastAsia" w:ascii="Times New Roman" w:hAnsi="Times New Roman"/>
                <w:sz w:val="21"/>
                <w:szCs w:val="21"/>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1533" w:hRule="atLeast"/>
          <w:jc w:val="center"/>
        </w:trPr>
        <w:tc>
          <w:tcPr>
            <w:tcW w:w="355" w:type="pct"/>
            <w:vAlign w:val="center"/>
          </w:tcPr>
          <w:p>
            <w:pPr>
              <w:pStyle w:val="18"/>
              <w:adjustRightInd w:val="0"/>
              <w:snapToGrid w:val="0"/>
              <w:spacing w:line="240" w:lineRule="auto"/>
              <w:ind w:firstLine="0" w:firstLineChars="0"/>
              <w:jc w:val="center"/>
              <w:rPr>
                <w:rFonts w:ascii="Times New Roman" w:hAnsi="Times New Roman"/>
                <w:sz w:val="21"/>
                <w:szCs w:val="21"/>
              </w:rPr>
            </w:pPr>
            <w:r>
              <w:rPr>
                <w:rFonts w:ascii="Times New Roman" w:hAnsi="Times New Roman"/>
                <w:sz w:val="21"/>
                <w:szCs w:val="21"/>
              </w:rPr>
              <w:t>2</w:t>
            </w:r>
          </w:p>
        </w:tc>
        <w:tc>
          <w:tcPr>
            <w:tcW w:w="620" w:type="pct"/>
            <w:vAlign w:val="center"/>
          </w:tcPr>
          <w:p>
            <w:pPr>
              <w:pStyle w:val="18"/>
              <w:adjustRightInd w:val="0"/>
              <w:snapToGrid w:val="0"/>
              <w:spacing w:line="240" w:lineRule="auto"/>
              <w:ind w:firstLine="0" w:firstLineChars="0"/>
              <w:jc w:val="center"/>
              <w:rPr>
                <w:rFonts w:ascii="Times New Roman" w:hAnsi="Times New Roman"/>
                <w:sz w:val="21"/>
                <w:szCs w:val="21"/>
              </w:rPr>
            </w:pPr>
            <w:r>
              <w:rPr>
                <w:rFonts w:ascii="Times New Roman" w:hAnsi="Times New Roman"/>
                <w:sz w:val="21"/>
                <w:szCs w:val="21"/>
              </w:rPr>
              <w:t>监测、检测装备</w:t>
            </w:r>
            <w:r>
              <w:rPr>
                <w:rFonts w:hint="eastAsia" w:ascii="Times New Roman" w:hAnsi="Times New Roman"/>
                <w:sz w:val="21"/>
                <w:szCs w:val="21"/>
              </w:rPr>
              <w:t>、</w:t>
            </w:r>
            <w:r>
              <w:rPr>
                <w:rFonts w:ascii="Times New Roman" w:hAnsi="Times New Roman"/>
                <w:sz w:val="21"/>
                <w:szCs w:val="21"/>
              </w:rPr>
              <w:t>电气安全设施</w:t>
            </w:r>
            <w:r>
              <w:rPr>
                <w:rFonts w:hint="eastAsia" w:ascii="Times New Roman" w:hAnsi="Times New Roman"/>
                <w:sz w:val="21"/>
                <w:szCs w:val="21"/>
              </w:rPr>
              <w:t>、</w:t>
            </w:r>
            <w:r>
              <w:rPr>
                <w:rFonts w:ascii="Times New Roman" w:hAnsi="Times New Roman"/>
                <w:sz w:val="21"/>
                <w:szCs w:val="21"/>
              </w:rPr>
              <w:t>监控安全设施</w:t>
            </w:r>
          </w:p>
        </w:tc>
        <w:tc>
          <w:tcPr>
            <w:tcW w:w="574" w:type="pct"/>
            <w:vAlign w:val="center"/>
          </w:tcPr>
          <w:p>
            <w:pPr>
              <w:pStyle w:val="18"/>
              <w:adjustRightInd w:val="0"/>
              <w:snapToGrid w:val="0"/>
              <w:spacing w:line="240" w:lineRule="auto"/>
              <w:ind w:firstLine="0" w:firstLineChars="0"/>
              <w:jc w:val="center"/>
              <w:rPr>
                <w:rFonts w:ascii="Times New Roman" w:hAnsi="Times New Roman"/>
                <w:sz w:val="21"/>
                <w:szCs w:val="21"/>
              </w:rPr>
            </w:pPr>
            <w:r>
              <w:rPr>
                <w:rFonts w:hint="eastAsia" w:ascii="Times New Roman" w:hAnsi="Times New Roman"/>
                <w:sz w:val="21"/>
                <w:szCs w:val="21"/>
              </w:rPr>
              <w:t>24.5</w:t>
            </w:r>
          </w:p>
        </w:tc>
        <w:tc>
          <w:tcPr>
            <w:tcW w:w="705" w:type="pct"/>
            <w:vAlign w:val="center"/>
          </w:tcPr>
          <w:p>
            <w:pPr>
              <w:pStyle w:val="18"/>
              <w:adjustRightInd w:val="0"/>
              <w:snapToGrid w:val="0"/>
              <w:spacing w:line="240" w:lineRule="auto"/>
              <w:ind w:firstLine="0" w:firstLineChars="0"/>
              <w:jc w:val="center"/>
              <w:rPr>
                <w:rFonts w:ascii="Times New Roman" w:hAnsi="Times New Roman"/>
                <w:sz w:val="21"/>
                <w:szCs w:val="21"/>
              </w:rPr>
            </w:pPr>
            <w:r>
              <w:rPr>
                <w:rFonts w:hint="eastAsia" w:ascii="Times New Roman" w:hAnsi="Times New Roman"/>
                <w:sz w:val="21"/>
                <w:szCs w:val="21"/>
              </w:rPr>
              <w:t>22.3%</w:t>
            </w:r>
          </w:p>
        </w:tc>
        <w:tc>
          <w:tcPr>
            <w:tcW w:w="625" w:type="pct"/>
            <w:vAlign w:val="center"/>
          </w:tcPr>
          <w:p>
            <w:pPr>
              <w:pStyle w:val="18"/>
              <w:adjustRightInd w:val="0"/>
              <w:snapToGrid w:val="0"/>
              <w:spacing w:line="240" w:lineRule="auto"/>
              <w:ind w:firstLine="0" w:firstLineChars="0"/>
              <w:jc w:val="center"/>
              <w:rPr>
                <w:rFonts w:ascii="Times New Roman" w:hAnsi="Times New Roman"/>
                <w:sz w:val="21"/>
                <w:szCs w:val="21"/>
              </w:rPr>
            </w:pPr>
            <w:r>
              <w:rPr>
                <w:rFonts w:hint="eastAsia" w:ascii="Times New Roman" w:hAnsi="Times New Roman"/>
                <w:sz w:val="21"/>
                <w:szCs w:val="21"/>
              </w:rPr>
              <w:t>25</w:t>
            </w:r>
          </w:p>
        </w:tc>
        <w:tc>
          <w:tcPr>
            <w:tcW w:w="1146" w:type="dxa"/>
            <w:vAlign w:val="center"/>
          </w:tcPr>
          <w:p>
            <w:pPr>
              <w:widowControl/>
              <w:ind w:firstLine="0" w:firstLineChars="0"/>
              <w:jc w:val="center"/>
              <w:textAlignment w:val="center"/>
              <w:rPr>
                <w:rFonts w:cs="Times New Roman"/>
                <w:sz w:val="21"/>
                <w:szCs w:val="21"/>
              </w:rPr>
            </w:pPr>
            <w:r>
              <w:rPr>
                <w:rFonts w:hint="eastAsia" w:cs="Times New Roman"/>
                <w:sz w:val="21"/>
                <w:szCs w:val="21"/>
              </w:rPr>
              <w:t>21.13%</w:t>
            </w:r>
          </w:p>
        </w:tc>
        <w:tc>
          <w:tcPr>
            <w:tcW w:w="1432" w:type="pct"/>
            <w:vAlign w:val="center"/>
          </w:tcPr>
          <w:p>
            <w:pPr>
              <w:pStyle w:val="18"/>
              <w:adjustRightInd w:val="0"/>
              <w:snapToGrid w:val="0"/>
              <w:spacing w:line="240" w:lineRule="auto"/>
              <w:ind w:firstLine="0" w:firstLineChars="0"/>
              <w:rPr>
                <w:rFonts w:ascii="Times New Roman" w:hAnsi="Times New Roman"/>
                <w:sz w:val="21"/>
                <w:szCs w:val="21"/>
              </w:rPr>
            </w:pPr>
            <w:r>
              <w:rPr>
                <w:rFonts w:hint="eastAsia" w:ascii="Times New Roman" w:hAnsi="Times New Roman"/>
                <w:sz w:val="21"/>
                <w:szCs w:val="21"/>
              </w:rPr>
              <w:t>包括：</w:t>
            </w:r>
            <w:r>
              <w:rPr>
                <w:rFonts w:ascii="Times New Roman" w:hAnsi="Times New Roman"/>
                <w:sz w:val="21"/>
                <w:szCs w:val="21"/>
              </w:rPr>
              <w:t>温度、压力、液位</w:t>
            </w:r>
            <w:r>
              <w:rPr>
                <w:rFonts w:hint="eastAsia" w:ascii="Times New Roman" w:hAnsi="Times New Roman"/>
                <w:sz w:val="21"/>
                <w:szCs w:val="21"/>
              </w:rPr>
              <w:t>监测</w:t>
            </w:r>
            <w:r>
              <w:rPr>
                <w:rFonts w:ascii="Times New Roman" w:hAnsi="Times New Roman"/>
                <w:sz w:val="21"/>
                <w:szCs w:val="21"/>
              </w:rPr>
              <w:t>报警装置</w:t>
            </w:r>
            <w:r>
              <w:rPr>
                <w:rFonts w:hint="eastAsia" w:ascii="Times New Roman" w:hAnsi="Times New Roman"/>
                <w:sz w:val="21"/>
                <w:szCs w:val="21"/>
              </w:rPr>
              <w:t>；</w:t>
            </w:r>
            <w:r>
              <w:rPr>
                <w:rFonts w:ascii="Times New Roman" w:hAnsi="Times New Roman"/>
                <w:sz w:val="21"/>
                <w:szCs w:val="21"/>
              </w:rPr>
              <w:t>电缆</w:t>
            </w:r>
            <w:r>
              <w:rPr>
                <w:rFonts w:hint="eastAsia" w:ascii="Times New Roman" w:hAnsi="Times New Roman"/>
                <w:sz w:val="21"/>
                <w:szCs w:val="21"/>
              </w:rPr>
              <w:t>、</w:t>
            </w:r>
            <w:r>
              <w:rPr>
                <w:rFonts w:ascii="Times New Roman" w:hAnsi="Times New Roman"/>
                <w:sz w:val="21"/>
                <w:szCs w:val="21"/>
              </w:rPr>
              <w:t>避雷、防静电接地</w:t>
            </w:r>
            <w:r>
              <w:rPr>
                <w:rFonts w:hint="eastAsia" w:ascii="Times New Roman" w:hAnsi="Times New Roman"/>
                <w:sz w:val="21"/>
                <w:szCs w:val="21"/>
              </w:rPr>
              <w:t>、监控电脑及</w:t>
            </w:r>
            <w:r>
              <w:rPr>
                <w:rFonts w:ascii="Times New Roman" w:hAnsi="Times New Roman"/>
                <w:sz w:val="21"/>
                <w:szCs w:val="21"/>
              </w:rPr>
              <w:t>其它费用</w:t>
            </w:r>
            <w:r>
              <w:rPr>
                <w:rFonts w:hint="eastAsia" w:ascii="Times New Roman" w:hAnsi="Times New Roman"/>
                <w:sz w:val="21"/>
                <w:szCs w:val="21"/>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0" w:hRule="atLeast"/>
          <w:jc w:val="center"/>
        </w:trPr>
        <w:tc>
          <w:tcPr>
            <w:tcW w:w="355" w:type="pct"/>
            <w:vAlign w:val="center"/>
          </w:tcPr>
          <w:p>
            <w:pPr>
              <w:pStyle w:val="18"/>
              <w:adjustRightInd w:val="0"/>
              <w:snapToGrid w:val="0"/>
              <w:spacing w:line="240" w:lineRule="auto"/>
              <w:ind w:firstLine="0" w:firstLineChars="0"/>
              <w:jc w:val="center"/>
              <w:rPr>
                <w:rFonts w:ascii="Times New Roman" w:hAnsi="Times New Roman"/>
                <w:sz w:val="21"/>
                <w:szCs w:val="21"/>
              </w:rPr>
            </w:pPr>
            <w:r>
              <w:rPr>
                <w:rFonts w:ascii="Times New Roman" w:hAnsi="Times New Roman"/>
                <w:sz w:val="21"/>
                <w:szCs w:val="21"/>
              </w:rPr>
              <w:t>3</w:t>
            </w:r>
          </w:p>
        </w:tc>
        <w:tc>
          <w:tcPr>
            <w:tcW w:w="620" w:type="pct"/>
            <w:vAlign w:val="center"/>
          </w:tcPr>
          <w:p>
            <w:pPr>
              <w:pStyle w:val="18"/>
              <w:adjustRightInd w:val="0"/>
              <w:snapToGrid w:val="0"/>
              <w:spacing w:line="240" w:lineRule="auto"/>
              <w:ind w:firstLine="0" w:firstLineChars="0"/>
              <w:jc w:val="center"/>
              <w:rPr>
                <w:rFonts w:ascii="Times New Roman" w:hAnsi="Times New Roman"/>
                <w:sz w:val="21"/>
                <w:szCs w:val="21"/>
              </w:rPr>
            </w:pPr>
            <w:r>
              <w:rPr>
                <w:rFonts w:ascii="Times New Roman" w:hAnsi="Times New Roman"/>
                <w:sz w:val="21"/>
                <w:szCs w:val="21"/>
              </w:rPr>
              <w:t>安全教育装备和安全检测费用</w:t>
            </w:r>
          </w:p>
        </w:tc>
        <w:tc>
          <w:tcPr>
            <w:tcW w:w="574" w:type="pct"/>
            <w:vAlign w:val="center"/>
          </w:tcPr>
          <w:p>
            <w:pPr>
              <w:pStyle w:val="18"/>
              <w:adjustRightInd w:val="0"/>
              <w:snapToGrid w:val="0"/>
              <w:spacing w:line="240" w:lineRule="auto"/>
              <w:ind w:firstLine="0" w:firstLineChars="0"/>
              <w:jc w:val="center"/>
              <w:rPr>
                <w:rFonts w:ascii="Times New Roman" w:hAnsi="Times New Roman"/>
                <w:sz w:val="21"/>
                <w:szCs w:val="21"/>
              </w:rPr>
            </w:pPr>
            <w:r>
              <w:rPr>
                <w:rFonts w:hint="eastAsia" w:ascii="Times New Roman" w:hAnsi="Times New Roman"/>
                <w:sz w:val="21"/>
                <w:szCs w:val="21"/>
              </w:rPr>
              <w:t>19.2</w:t>
            </w:r>
          </w:p>
        </w:tc>
        <w:tc>
          <w:tcPr>
            <w:tcW w:w="705" w:type="pct"/>
            <w:vAlign w:val="center"/>
          </w:tcPr>
          <w:p>
            <w:pPr>
              <w:pStyle w:val="18"/>
              <w:adjustRightInd w:val="0"/>
              <w:snapToGrid w:val="0"/>
              <w:spacing w:line="240" w:lineRule="auto"/>
              <w:ind w:firstLine="0" w:firstLineChars="0"/>
              <w:jc w:val="center"/>
              <w:rPr>
                <w:rFonts w:ascii="Times New Roman" w:hAnsi="Times New Roman"/>
                <w:sz w:val="21"/>
                <w:szCs w:val="21"/>
              </w:rPr>
            </w:pPr>
            <w:r>
              <w:rPr>
                <w:rFonts w:hint="eastAsia" w:ascii="Times New Roman" w:hAnsi="Times New Roman"/>
                <w:sz w:val="21"/>
                <w:szCs w:val="21"/>
              </w:rPr>
              <w:t>17.5%</w:t>
            </w:r>
          </w:p>
        </w:tc>
        <w:tc>
          <w:tcPr>
            <w:tcW w:w="625" w:type="pct"/>
            <w:vAlign w:val="center"/>
          </w:tcPr>
          <w:p>
            <w:pPr>
              <w:pStyle w:val="18"/>
              <w:adjustRightInd w:val="0"/>
              <w:snapToGrid w:val="0"/>
              <w:spacing w:line="240" w:lineRule="auto"/>
              <w:ind w:firstLine="0" w:firstLineChars="0"/>
              <w:jc w:val="center"/>
              <w:rPr>
                <w:rFonts w:ascii="Times New Roman" w:hAnsi="Times New Roman"/>
                <w:sz w:val="21"/>
                <w:szCs w:val="21"/>
              </w:rPr>
            </w:pPr>
            <w:r>
              <w:rPr>
                <w:rFonts w:hint="eastAsia" w:ascii="Times New Roman" w:hAnsi="Times New Roman"/>
                <w:sz w:val="21"/>
                <w:szCs w:val="21"/>
              </w:rPr>
              <w:t>20.3</w:t>
            </w:r>
          </w:p>
        </w:tc>
        <w:tc>
          <w:tcPr>
            <w:tcW w:w="1146" w:type="dxa"/>
            <w:vAlign w:val="center"/>
          </w:tcPr>
          <w:p>
            <w:pPr>
              <w:widowControl/>
              <w:ind w:firstLine="0" w:firstLineChars="0"/>
              <w:jc w:val="center"/>
              <w:textAlignment w:val="center"/>
              <w:rPr>
                <w:rFonts w:cs="Times New Roman"/>
                <w:sz w:val="21"/>
                <w:szCs w:val="21"/>
              </w:rPr>
            </w:pPr>
            <w:r>
              <w:rPr>
                <w:rFonts w:hint="eastAsia" w:cs="Times New Roman"/>
                <w:sz w:val="21"/>
                <w:szCs w:val="21"/>
              </w:rPr>
              <w:t>17.16%</w:t>
            </w:r>
          </w:p>
        </w:tc>
        <w:tc>
          <w:tcPr>
            <w:tcW w:w="1432" w:type="pct"/>
            <w:vAlign w:val="center"/>
          </w:tcPr>
          <w:p>
            <w:pPr>
              <w:pStyle w:val="18"/>
              <w:adjustRightInd w:val="0"/>
              <w:snapToGrid w:val="0"/>
              <w:spacing w:line="240" w:lineRule="auto"/>
              <w:ind w:firstLine="0" w:firstLineChars="0"/>
              <w:rPr>
                <w:rFonts w:ascii="Times New Roman" w:hAnsi="Times New Roman"/>
                <w:sz w:val="21"/>
                <w:szCs w:val="21"/>
              </w:rPr>
            </w:pPr>
            <w:r>
              <w:rPr>
                <w:rFonts w:ascii="Times New Roman" w:hAnsi="Times New Roman"/>
                <w:sz w:val="21"/>
                <w:szCs w:val="21"/>
              </w:rPr>
              <w:t>包括：新员工教育培训费用，特种作业人员培训费用、特种设备作业人员培训费用，主要负责人和安全管理人员培训费用；安全设施（特种设备、防雷、防静电、职业卫生）检测费用。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829" w:hRule="atLeast"/>
          <w:jc w:val="center"/>
        </w:trPr>
        <w:tc>
          <w:tcPr>
            <w:tcW w:w="355" w:type="pct"/>
            <w:vAlign w:val="center"/>
          </w:tcPr>
          <w:p>
            <w:pPr>
              <w:pStyle w:val="18"/>
              <w:adjustRightInd w:val="0"/>
              <w:snapToGrid w:val="0"/>
              <w:spacing w:line="240" w:lineRule="auto"/>
              <w:ind w:firstLine="0" w:firstLineChars="0"/>
              <w:jc w:val="center"/>
              <w:rPr>
                <w:rFonts w:ascii="Times New Roman" w:hAnsi="Times New Roman"/>
                <w:sz w:val="21"/>
                <w:szCs w:val="21"/>
              </w:rPr>
            </w:pPr>
            <w:r>
              <w:rPr>
                <w:rFonts w:ascii="Times New Roman" w:hAnsi="Times New Roman"/>
                <w:sz w:val="21"/>
                <w:szCs w:val="21"/>
              </w:rPr>
              <w:t>4</w:t>
            </w:r>
          </w:p>
        </w:tc>
        <w:tc>
          <w:tcPr>
            <w:tcW w:w="620" w:type="pct"/>
            <w:vAlign w:val="center"/>
          </w:tcPr>
          <w:p>
            <w:pPr>
              <w:pStyle w:val="18"/>
              <w:adjustRightInd w:val="0"/>
              <w:snapToGrid w:val="0"/>
              <w:spacing w:line="240" w:lineRule="auto"/>
              <w:ind w:firstLine="0" w:firstLineChars="0"/>
              <w:jc w:val="center"/>
              <w:rPr>
                <w:rFonts w:ascii="Times New Roman" w:hAnsi="Times New Roman"/>
                <w:sz w:val="21"/>
                <w:szCs w:val="21"/>
              </w:rPr>
            </w:pPr>
            <w:r>
              <w:rPr>
                <w:rFonts w:ascii="Times New Roman" w:hAnsi="Times New Roman"/>
                <w:sz w:val="21"/>
                <w:szCs w:val="21"/>
              </w:rPr>
              <w:t>事故应急防护费用</w:t>
            </w:r>
          </w:p>
        </w:tc>
        <w:tc>
          <w:tcPr>
            <w:tcW w:w="574" w:type="pct"/>
            <w:vAlign w:val="center"/>
          </w:tcPr>
          <w:p>
            <w:pPr>
              <w:pStyle w:val="18"/>
              <w:adjustRightInd w:val="0"/>
              <w:snapToGrid w:val="0"/>
              <w:spacing w:line="240" w:lineRule="auto"/>
              <w:ind w:firstLine="0" w:firstLineChars="0"/>
              <w:jc w:val="center"/>
              <w:rPr>
                <w:rFonts w:ascii="Times New Roman" w:hAnsi="Times New Roman"/>
                <w:sz w:val="21"/>
                <w:szCs w:val="21"/>
              </w:rPr>
            </w:pPr>
            <w:r>
              <w:rPr>
                <w:rFonts w:hint="eastAsia" w:ascii="Times New Roman" w:hAnsi="Times New Roman"/>
                <w:sz w:val="21"/>
                <w:szCs w:val="21"/>
              </w:rPr>
              <w:t>5.8</w:t>
            </w:r>
          </w:p>
        </w:tc>
        <w:tc>
          <w:tcPr>
            <w:tcW w:w="705" w:type="pct"/>
            <w:vAlign w:val="center"/>
          </w:tcPr>
          <w:p>
            <w:pPr>
              <w:pStyle w:val="18"/>
              <w:tabs>
                <w:tab w:val="left" w:pos="1410"/>
              </w:tabs>
              <w:adjustRightInd w:val="0"/>
              <w:snapToGrid w:val="0"/>
              <w:spacing w:line="240" w:lineRule="auto"/>
              <w:ind w:firstLine="0" w:firstLineChars="0"/>
              <w:jc w:val="center"/>
              <w:rPr>
                <w:rFonts w:ascii="Times New Roman" w:hAnsi="Times New Roman"/>
                <w:sz w:val="21"/>
                <w:szCs w:val="21"/>
              </w:rPr>
            </w:pPr>
            <w:r>
              <w:rPr>
                <w:rFonts w:hint="eastAsia" w:ascii="Times New Roman" w:hAnsi="Times New Roman"/>
                <w:sz w:val="21"/>
                <w:szCs w:val="21"/>
              </w:rPr>
              <w:t>5.3%</w:t>
            </w:r>
          </w:p>
        </w:tc>
        <w:tc>
          <w:tcPr>
            <w:tcW w:w="625" w:type="pct"/>
            <w:vAlign w:val="center"/>
          </w:tcPr>
          <w:p>
            <w:pPr>
              <w:pStyle w:val="18"/>
              <w:tabs>
                <w:tab w:val="left" w:pos="1410"/>
              </w:tabs>
              <w:adjustRightInd w:val="0"/>
              <w:snapToGrid w:val="0"/>
              <w:spacing w:line="240" w:lineRule="auto"/>
              <w:ind w:firstLine="0" w:firstLineChars="0"/>
              <w:jc w:val="center"/>
              <w:rPr>
                <w:rFonts w:ascii="Times New Roman" w:hAnsi="Times New Roman"/>
                <w:sz w:val="21"/>
                <w:szCs w:val="21"/>
              </w:rPr>
            </w:pPr>
            <w:r>
              <w:rPr>
                <w:rFonts w:hint="eastAsia" w:ascii="Times New Roman" w:hAnsi="Times New Roman"/>
                <w:sz w:val="21"/>
                <w:szCs w:val="21"/>
              </w:rPr>
              <w:t>6.5</w:t>
            </w:r>
          </w:p>
        </w:tc>
        <w:tc>
          <w:tcPr>
            <w:tcW w:w="1146" w:type="dxa"/>
            <w:vAlign w:val="center"/>
          </w:tcPr>
          <w:p>
            <w:pPr>
              <w:widowControl/>
              <w:ind w:firstLine="0" w:firstLineChars="0"/>
              <w:jc w:val="center"/>
              <w:textAlignment w:val="center"/>
              <w:rPr>
                <w:rFonts w:cs="Times New Roman"/>
                <w:sz w:val="21"/>
                <w:szCs w:val="21"/>
              </w:rPr>
            </w:pPr>
            <w:r>
              <w:rPr>
                <w:rFonts w:hint="eastAsia" w:cs="Times New Roman"/>
                <w:sz w:val="21"/>
                <w:szCs w:val="21"/>
              </w:rPr>
              <w:t>5.49%</w:t>
            </w:r>
          </w:p>
        </w:tc>
        <w:tc>
          <w:tcPr>
            <w:tcW w:w="1432" w:type="pct"/>
            <w:vAlign w:val="center"/>
          </w:tcPr>
          <w:p>
            <w:pPr>
              <w:pStyle w:val="18"/>
              <w:tabs>
                <w:tab w:val="left" w:pos="1410"/>
              </w:tabs>
              <w:adjustRightInd w:val="0"/>
              <w:snapToGrid w:val="0"/>
              <w:spacing w:line="240" w:lineRule="auto"/>
              <w:ind w:firstLine="0" w:firstLineChars="0"/>
              <w:rPr>
                <w:rFonts w:ascii="Times New Roman" w:hAnsi="Times New Roman"/>
                <w:sz w:val="21"/>
                <w:szCs w:val="21"/>
              </w:rPr>
            </w:pPr>
            <w:r>
              <w:rPr>
                <w:rFonts w:hint="eastAsia" w:ascii="Times New Roman" w:hAnsi="Times New Roman"/>
                <w:sz w:val="21"/>
                <w:szCs w:val="21"/>
              </w:rPr>
              <w:t>包括：</w:t>
            </w:r>
            <w:r>
              <w:rPr>
                <w:rFonts w:ascii="Times New Roman" w:hAnsi="Times New Roman"/>
                <w:sz w:val="21"/>
                <w:szCs w:val="21"/>
              </w:rPr>
              <w:t>应急救援（消防、医疗、环保）</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1003" w:hRule="atLeast"/>
          <w:jc w:val="center"/>
        </w:trPr>
        <w:tc>
          <w:tcPr>
            <w:tcW w:w="355" w:type="pct"/>
            <w:vAlign w:val="center"/>
          </w:tcPr>
          <w:p>
            <w:pPr>
              <w:pStyle w:val="18"/>
              <w:adjustRightInd w:val="0"/>
              <w:snapToGrid w:val="0"/>
              <w:spacing w:line="240" w:lineRule="auto"/>
              <w:ind w:firstLine="0" w:firstLineChars="0"/>
              <w:jc w:val="center"/>
              <w:rPr>
                <w:rFonts w:ascii="Times New Roman" w:hAnsi="Times New Roman"/>
                <w:sz w:val="21"/>
                <w:szCs w:val="21"/>
              </w:rPr>
            </w:pPr>
            <w:r>
              <w:rPr>
                <w:rFonts w:hint="eastAsia" w:ascii="Times New Roman" w:hAnsi="Times New Roman"/>
                <w:sz w:val="21"/>
                <w:szCs w:val="21"/>
              </w:rPr>
              <w:t>5</w:t>
            </w:r>
          </w:p>
        </w:tc>
        <w:tc>
          <w:tcPr>
            <w:tcW w:w="620" w:type="pct"/>
            <w:vAlign w:val="center"/>
          </w:tcPr>
          <w:p>
            <w:pPr>
              <w:pStyle w:val="18"/>
              <w:adjustRightInd w:val="0"/>
              <w:snapToGrid w:val="0"/>
              <w:spacing w:line="240" w:lineRule="auto"/>
              <w:ind w:firstLine="0" w:firstLineChars="0"/>
              <w:jc w:val="center"/>
              <w:rPr>
                <w:rFonts w:ascii="Times New Roman" w:hAnsi="Times New Roman"/>
                <w:sz w:val="21"/>
                <w:szCs w:val="21"/>
              </w:rPr>
            </w:pPr>
            <w:r>
              <w:rPr>
                <w:rFonts w:hint="eastAsia" w:ascii="Times New Roman" w:hAnsi="Times New Roman"/>
                <w:sz w:val="21"/>
                <w:szCs w:val="21"/>
              </w:rPr>
              <w:t>职业卫生防护费用</w:t>
            </w:r>
          </w:p>
        </w:tc>
        <w:tc>
          <w:tcPr>
            <w:tcW w:w="574" w:type="pct"/>
            <w:vAlign w:val="center"/>
          </w:tcPr>
          <w:p>
            <w:pPr>
              <w:pStyle w:val="18"/>
              <w:adjustRightInd w:val="0"/>
              <w:snapToGrid w:val="0"/>
              <w:spacing w:line="240" w:lineRule="auto"/>
              <w:ind w:firstLine="0" w:firstLineChars="0"/>
              <w:jc w:val="center"/>
              <w:rPr>
                <w:rFonts w:ascii="Times New Roman" w:hAnsi="Times New Roman"/>
                <w:sz w:val="21"/>
                <w:szCs w:val="21"/>
              </w:rPr>
            </w:pPr>
            <w:r>
              <w:rPr>
                <w:rFonts w:hint="eastAsia" w:ascii="Times New Roman" w:hAnsi="Times New Roman"/>
                <w:sz w:val="21"/>
                <w:szCs w:val="21"/>
              </w:rPr>
              <w:t>10</w:t>
            </w:r>
          </w:p>
        </w:tc>
        <w:tc>
          <w:tcPr>
            <w:tcW w:w="705" w:type="pct"/>
            <w:vAlign w:val="center"/>
          </w:tcPr>
          <w:p>
            <w:pPr>
              <w:pStyle w:val="18"/>
              <w:tabs>
                <w:tab w:val="left" w:pos="1410"/>
              </w:tabs>
              <w:adjustRightInd w:val="0"/>
              <w:snapToGrid w:val="0"/>
              <w:spacing w:line="240" w:lineRule="auto"/>
              <w:ind w:firstLine="0" w:firstLineChars="0"/>
              <w:jc w:val="center"/>
              <w:rPr>
                <w:rFonts w:ascii="Times New Roman" w:hAnsi="Times New Roman"/>
                <w:sz w:val="21"/>
                <w:szCs w:val="21"/>
              </w:rPr>
            </w:pPr>
            <w:r>
              <w:rPr>
                <w:rFonts w:hint="eastAsia" w:ascii="Times New Roman" w:hAnsi="Times New Roman"/>
                <w:sz w:val="21"/>
                <w:szCs w:val="21"/>
              </w:rPr>
              <w:t>9%</w:t>
            </w:r>
          </w:p>
        </w:tc>
        <w:tc>
          <w:tcPr>
            <w:tcW w:w="625" w:type="pct"/>
            <w:vAlign w:val="center"/>
          </w:tcPr>
          <w:p>
            <w:pPr>
              <w:pStyle w:val="18"/>
              <w:tabs>
                <w:tab w:val="left" w:pos="1410"/>
              </w:tabs>
              <w:adjustRightInd w:val="0"/>
              <w:snapToGrid w:val="0"/>
              <w:spacing w:line="240" w:lineRule="auto"/>
              <w:ind w:firstLine="0" w:firstLineChars="0"/>
              <w:jc w:val="center"/>
              <w:rPr>
                <w:rFonts w:ascii="Times New Roman" w:hAnsi="Times New Roman"/>
                <w:sz w:val="21"/>
                <w:szCs w:val="21"/>
              </w:rPr>
            </w:pPr>
            <w:r>
              <w:rPr>
                <w:rFonts w:hint="eastAsia" w:ascii="Times New Roman" w:hAnsi="Times New Roman"/>
                <w:sz w:val="21"/>
                <w:szCs w:val="21"/>
              </w:rPr>
              <w:t>11.8</w:t>
            </w:r>
          </w:p>
        </w:tc>
        <w:tc>
          <w:tcPr>
            <w:tcW w:w="1146" w:type="dxa"/>
            <w:vAlign w:val="center"/>
          </w:tcPr>
          <w:p>
            <w:pPr>
              <w:widowControl/>
              <w:ind w:firstLine="0" w:firstLineChars="0"/>
              <w:jc w:val="center"/>
              <w:textAlignment w:val="center"/>
              <w:rPr>
                <w:rFonts w:cs="Times New Roman"/>
                <w:sz w:val="21"/>
                <w:szCs w:val="21"/>
              </w:rPr>
            </w:pPr>
            <w:r>
              <w:rPr>
                <w:rFonts w:hint="eastAsia" w:cs="Times New Roman"/>
                <w:sz w:val="21"/>
                <w:szCs w:val="21"/>
              </w:rPr>
              <w:t>9.97%</w:t>
            </w:r>
          </w:p>
        </w:tc>
        <w:tc>
          <w:tcPr>
            <w:tcW w:w="1432" w:type="pct"/>
            <w:vAlign w:val="center"/>
          </w:tcPr>
          <w:p>
            <w:pPr>
              <w:pStyle w:val="18"/>
              <w:tabs>
                <w:tab w:val="left" w:pos="1410"/>
              </w:tabs>
              <w:adjustRightInd w:val="0"/>
              <w:snapToGrid w:val="0"/>
              <w:spacing w:line="240" w:lineRule="auto"/>
              <w:ind w:firstLine="0" w:firstLineChars="0"/>
              <w:rPr>
                <w:rFonts w:ascii="Times New Roman" w:hAnsi="Times New Roman"/>
                <w:sz w:val="21"/>
                <w:szCs w:val="21"/>
              </w:rPr>
            </w:pPr>
            <w:r>
              <w:rPr>
                <w:rFonts w:hint="eastAsia" w:ascii="Times New Roman" w:hAnsi="Times New Roman"/>
                <w:sz w:val="21"/>
                <w:szCs w:val="21"/>
              </w:rPr>
              <w:t>包括：防护帽、防护服、防护手套、防护眼镜、防护口（面）罩、防护耳塞（罩）。</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1809" w:hRule="atLeast"/>
          <w:jc w:val="center"/>
        </w:trPr>
        <w:tc>
          <w:tcPr>
            <w:tcW w:w="355" w:type="pct"/>
            <w:vAlign w:val="center"/>
          </w:tcPr>
          <w:p>
            <w:pPr>
              <w:pStyle w:val="18"/>
              <w:adjustRightInd w:val="0"/>
              <w:snapToGrid w:val="0"/>
              <w:spacing w:line="240" w:lineRule="auto"/>
              <w:ind w:firstLine="0" w:firstLineChars="0"/>
              <w:jc w:val="center"/>
              <w:rPr>
                <w:rFonts w:ascii="Times New Roman" w:hAnsi="Times New Roman"/>
                <w:sz w:val="21"/>
                <w:szCs w:val="21"/>
              </w:rPr>
            </w:pPr>
            <w:r>
              <w:rPr>
                <w:rFonts w:hint="eastAsia" w:ascii="Times New Roman" w:hAnsi="Times New Roman"/>
                <w:sz w:val="21"/>
                <w:szCs w:val="21"/>
              </w:rPr>
              <w:t>6</w:t>
            </w:r>
          </w:p>
        </w:tc>
        <w:tc>
          <w:tcPr>
            <w:tcW w:w="620" w:type="pct"/>
            <w:vAlign w:val="center"/>
          </w:tcPr>
          <w:p>
            <w:pPr>
              <w:pStyle w:val="18"/>
              <w:adjustRightInd w:val="0"/>
              <w:snapToGrid w:val="0"/>
              <w:spacing w:line="240" w:lineRule="auto"/>
              <w:ind w:firstLine="0" w:firstLineChars="0"/>
              <w:jc w:val="center"/>
              <w:rPr>
                <w:rFonts w:ascii="Times New Roman" w:hAnsi="Times New Roman"/>
                <w:sz w:val="21"/>
                <w:szCs w:val="21"/>
              </w:rPr>
            </w:pPr>
            <w:r>
              <w:rPr>
                <w:rFonts w:ascii="Times New Roman" w:hAnsi="Times New Roman"/>
                <w:sz w:val="21"/>
                <w:szCs w:val="21"/>
              </w:rPr>
              <w:t>其它安全设施费用</w:t>
            </w:r>
          </w:p>
        </w:tc>
        <w:tc>
          <w:tcPr>
            <w:tcW w:w="574" w:type="pct"/>
            <w:vAlign w:val="center"/>
          </w:tcPr>
          <w:p>
            <w:pPr>
              <w:pStyle w:val="18"/>
              <w:adjustRightInd w:val="0"/>
              <w:snapToGrid w:val="0"/>
              <w:spacing w:line="240" w:lineRule="auto"/>
              <w:ind w:firstLine="0" w:firstLineChars="0"/>
              <w:jc w:val="center"/>
              <w:rPr>
                <w:rFonts w:ascii="Times New Roman" w:hAnsi="Times New Roman"/>
                <w:sz w:val="21"/>
                <w:szCs w:val="21"/>
              </w:rPr>
            </w:pPr>
            <w:r>
              <w:rPr>
                <w:rFonts w:hint="eastAsia" w:ascii="Times New Roman" w:hAnsi="Times New Roman"/>
                <w:sz w:val="21"/>
                <w:szCs w:val="21"/>
              </w:rPr>
              <w:t>30</w:t>
            </w:r>
          </w:p>
        </w:tc>
        <w:tc>
          <w:tcPr>
            <w:tcW w:w="705" w:type="pct"/>
            <w:vAlign w:val="center"/>
          </w:tcPr>
          <w:p>
            <w:pPr>
              <w:pStyle w:val="18"/>
              <w:adjustRightInd w:val="0"/>
              <w:snapToGrid w:val="0"/>
              <w:spacing w:line="240" w:lineRule="auto"/>
              <w:ind w:firstLine="0" w:firstLineChars="0"/>
              <w:jc w:val="center"/>
              <w:rPr>
                <w:rFonts w:ascii="Times New Roman" w:hAnsi="Times New Roman"/>
                <w:sz w:val="21"/>
                <w:szCs w:val="21"/>
              </w:rPr>
            </w:pPr>
            <w:r>
              <w:rPr>
                <w:rFonts w:hint="eastAsia" w:ascii="Times New Roman" w:hAnsi="Times New Roman"/>
                <w:sz w:val="21"/>
                <w:szCs w:val="21"/>
              </w:rPr>
              <w:t>27.3%</w:t>
            </w:r>
          </w:p>
        </w:tc>
        <w:tc>
          <w:tcPr>
            <w:tcW w:w="625" w:type="pct"/>
            <w:vAlign w:val="center"/>
          </w:tcPr>
          <w:p>
            <w:pPr>
              <w:pStyle w:val="18"/>
              <w:adjustRightInd w:val="0"/>
              <w:snapToGrid w:val="0"/>
              <w:spacing w:line="240" w:lineRule="auto"/>
              <w:ind w:firstLine="0" w:firstLineChars="0"/>
              <w:jc w:val="center"/>
              <w:rPr>
                <w:rFonts w:ascii="Times New Roman" w:hAnsi="Times New Roman"/>
                <w:sz w:val="21"/>
                <w:szCs w:val="21"/>
              </w:rPr>
            </w:pPr>
            <w:r>
              <w:rPr>
                <w:rFonts w:hint="eastAsia" w:ascii="Times New Roman" w:hAnsi="Times New Roman"/>
                <w:sz w:val="21"/>
                <w:szCs w:val="21"/>
              </w:rPr>
              <w:t>32</w:t>
            </w:r>
          </w:p>
        </w:tc>
        <w:tc>
          <w:tcPr>
            <w:tcW w:w="1146" w:type="dxa"/>
            <w:vAlign w:val="center"/>
          </w:tcPr>
          <w:p>
            <w:pPr>
              <w:widowControl/>
              <w:ind w:firstLine="0" w:firstLineChars="0"/>
              <w:jc w:val="center"/>
              <w:textAlignment w:val="center"/>
              <w:rPr>
                <w:rFonts w:cs="Times New Roman"/>
                <w:sz w:val="21"/>
                <w:szCs w:val="21"/>
              </w:rPr>
            </w:pPr>
            <w:r>
              <w:rPr>
                <w:rFonts w:hint="eastAsia" w:cs="Times New Roman"/>
                <w:sz w:val="21"/>
                <w:szCs w:val="21"/>
              </w:rPr>
              <w:t>27.05%</w:t>
            </w:r>
          </w:p>
        </w:tc>
        <w:tc>
          <w:tcPr>
            <w:tcW w:w="1432" w:type="pct"/>
            <w:vAlign w:val="center"/>
          </w:tcPr>
          <w:p>
            <w:pPr>
              <w:pStyle w:val="18"/>
              <w:adjustRightInd w:val="0"/>
              <w:snapToGrid w:val="0"/>
              <w:spacing w:line="240" w:lineRule="auto"/>
              <w:ind w:firstLine="0" w:firstLineChars="0"/>
              <w:rPr>
                <w:rFonts w:ascii="Times New Roman" w:hAnsi="Times New Roman"/>
                <w:sz w:val="21"/>
                <w:szCs w:val="21"/>
              </w:rPr>
            </w:pPr>
            <w:r>
              <w:rPr>
                <w:rFonts w:hint="eastAsia" w:ascii="Times New Roman" w:hAnsi="Times New Roman"/>
                <w:sz w:val="21"/>
                <w:szCs w:val="21"/>
              </w:rPr>
              <w:t>包括：</w:t>
            </w:r>
            <w:r>
              <w:rPr>
                <w:rFonts w:ascii="Times New Roman" w:hAnsi="Times New Roman"/>
                <w:sz w:val="21"/>
                <w:szCs w:val="21"/>
              </w:rPr>
              <w:t>起重设备行走限位急停装置、消声器、事故应急照明、应急疏散灯光、</w:t>
            </w:r>
            <w:r>
              <w:rPr>
                <w:rFonts w:hint="eastAsia" w:ascii="Times New Roman" w:hAnsi="Times New Roman"/>
                <w:sz w:val="21"/>
                <w:szCs w:val="21"/>
              </w:rPr>
              <w:t>消防道路建设、</w:t>
            </w:r>
            <w:r>
              <w:rPr>
                <w:rFonts w:ascii="Times New Roman" w:hAnsi="Times New Roman"/>
                <w:sz w:val="21"/>
                <w:szCs w:val="21"/>
              </w:rPr>
              <w:t>安全标识、防护栏杆、钢直梯、钢斜梯、防护罩，劳保用品。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654" w:hRule="atLeast"/>
          <w:jc w:val="center"/>
        </w:trPr>
        <w:tc>
          <w:tcPr>
            <w:tcW w:w="975" w:type="pct"/>
            <w:gridSpan w:val="2"/>
            <w:vAlign w:val="center"/>
          </w:tcPr>
          <w:p>
            <w:pPr>
              <w:pStyle w:val="18"/>
              <w:adjustRightInd w:val="0"/>
              <w:snapToGrid w:val="0"/>
              <w:spacing w:line="240" w:lineRule="auto"/>
              <w:ind w:firstLine="0" w:firstLineChars="0"/>
              <w:jc w:val="center"/>
              <w:rPr>
                <w:rFonts w:ascii="Times New Roman" w:hAnsi="Times New Roman"/>
                <w:sz w:val="21"/>
                <w:szCs w:val="21"/>
              </w:rPr>
            </w:pPr>
            <w:r>
              <w:rPr>
                <w:rFonts w:ascii="Times New Roman" w:hAnsi="Times New Roman"/>
                <w:sz w:val="21"/>
                <w:szCs w:val="21"/>
              </w:rPr>
              <w:t>总计</w:t>
            </w:r>
          </w:p>
        </w:tc>
        <w:tc>
          <w:tcPr>
            <w:tcW w:w="574" w:type="pct"/>
            <w:vAlign w:val="center"/>
          </w:tcPr>
          <w:p>
            <w:pPr>
              <w:pStyle w:val="18"/>
              <w:adjustRightInd w:val="0"/>
              <w:snapToGrid w:val="0"/>
              <w:spacing w:line="240" w:lineRule="auto"/>
              <w:ind w:firstLine="0" w:firstLineChars="0"/>
              <w:jc w:val="center"/>
              <w:rPr>
                <w:rFonts w:ascii="Times New Roman" w:hAnsi="Times New Roman"/>
                <w:sz w:val="21"/>
                <w:szCs w:val="21"/>
              </w:rPr>
            </w:pPr>
            <w:r>
              <w:rPr>
                <w:rFonts w:hint="eastAsia" w:ascii="Times New Roman" w:hAnsi="Times New Roman"/>
                <w:sz w:val="21"/>
                <w:szCs w:val="21"/>
              </w:rPr>
              <w:t>110</w:t>
            </w:r>
          </w:p>
        </w:tc>
        <w:tc>
          <w:tcPr>
            <w:tcW w:w="705" w:type="pct"/>
            <w:vAlign w:val="center"/>
          </w:tcPr>
          <w:p>
            <w:pPr>
              <w:pStyle w:val="18"/>
              <w:adjustRightInd w:val="0"/>
              <w:snapToGrid w:val="0"/>
              <w:spacing w:line="240" w:lineRule="auto"/>
              <w:ind w:firstLine="0" w:firstLineChars="0"/>
              <w:jc w:val="center"/>
              <w:rPr>
                <w:rFonts w:ascii="Times New Roman" w:hAnsi="Times New Roman"/>
                <w:sz w:val="21"/>
                <w:szCs w:val="21"/>
              </w:rPr>
            </w:pPr>
          </w:p>
        </w:tc>
        <w:tc>
          <w:tcPr>
            <w:tcW w:w="625" w:type="pct"/>
            <w:vAlign w:val="center"/>
          </w:tcPr>
          <w:p>
            <w:pPr>
              <w:pStyle w:val="18"/>
              <w:adjustRightInd w:val="0"/>
              <w:snapToGrid w:val="0"/>
              <w:spacing w:line="240" w:lineRule="auto"/>
              <w:ind w:firstLine="0" w:firstLineChars="0"/>
              <w:jc w:val="center"/>
              <w:rPr>
                <w:rFonts w:ascii="Times New Roman" w:hAnsi="Times New Roman"/>
                <w:sz w:val="21"/>
                <w:szCs w:val="21"/>
              </w:rPr>
            </w:pPr>
            <w:r>
              <w:rPr>
                <w:rFonts w:hint="eastAsia" w:ascii="Times New Roman" w:hAnsi="Times New Roman"/>
                <w:sz w:val="21"/>
                <w:szCs w:val="21"/>
              </w:rPr>
              <w:t>118.3</w:t>
            </w:r>
          </w:p>
        </w:tc>
        <w:tc>
          <w:tcPr>
            <w:tcW w:w="685" w:type="pct"/>
            <w:vAlign w:val="center"/>
          </w:tcPr>
          <w:p>
            <w:pPr>
              <w:pStyle w:val="18"/>
              <w:adjustRightInd w:val="0"/>
              <w:snapToGrid w:val="0"/>
              <w:spacing w:line="240" w:lineRule="auto"/>
              <w:ind w:firstLine="0" w:firstLineChars="0"/>
              <w:jc w:val="center"/>
              <w:rPr>
                <w:rFonts w:ascii="Times New Roman" w:hAnsi="Times New Roman"/>
                <w:sz w:val="21"/>
                <w:szCs w:val="21"/>
              </w:rPr>
            </w:pPr>
          </w:p>
        </w:tc>
        <w:tc>
          <w:tcPr>
            <w:tcW w:w="1432" w:type="pct"/>
            <w:vAlign w:val="center"/>
          </w:tcPr>
          <w:p>
            <w:pPr>
              <w:pStyle w:val="18"/>
              <w:adjustRightInd w:val="0"/>
              <w:snapToGrid w:val="0"/>
              <w:spacing w:line="240" w:lineRule="auto"/>
              <w:ind w:firstLine="0" w:firstLineChars="0"/>
              <w:jc w:val="center"/>
              <w:rPr>
                <w:rFonts w:ascii="Times New Roman" w:hAnsi="Times New Roman"/>
                <w:sz w:val="21"/>
                <w:szCs w:val="21"/>
              </w:rPr>
            </w:pPr>
          </w:p>
        </w:tc>
      </w:tr>
    </w:tbl>
    <w:p>
      <w:pPr>
        <w:pStyle w:val="7"/>
        <w:spacing w:before="156" w:after="156"/>
      </w:pPr>
      <w:r>
        <w:rPr>
          <w:rFonts w:hint="eastAsia"/>
        </w:rPr>
        <w:t>应急管理</w:t>
      </w:r>
    </w:p>
    <w:p>
      <w:pPr>
        <w:pStyle w:val="2"/>
        <w:ind w:firstLine="560"/>
      </w:pPr>
      <w:r>
        <w:rPr>
          <w:rFonts w:hint="eastAsia"/>
        </w:rPr>
        <w:t>企业成立了由主要负责人任组长的生产安全事故应急救援指挥领导小组，针对可能发生的事故编制了《</w:t>
      </w:r>
      <w:r>
        <w:rPr>
          <w:rFonts w:hint="eastAsia"/>
          <w:szCs w:val="28"/>
        </w:rPr>
        <w:t>云南大姚祥华工业制造股份公司</w:t>
      </w:r>
      <w:r>
        <w:rPr>
          <w:rFonts w:hint="eastAsia"/>
        </w:rPr>
        <w:t>生产安全事故应急预案》，并向主管部门大姚县工业信息化商务科学技术局进行了备案，并抄送大姚县应急管理局。</w:t>
      </w:r>
    </w:p>
    <w:p>
      <w:pPr>
        <w:pStyle w:val="2"/>
        <w:ind w:firstLine="560"/>
      </w:pPr>
      <w:r>
        <w:rPr>
          <w:rFonts w:hint="eastAsia"/>
          <w:bCs/>
        </w:rPr>
        <w:t>企业加强应急预案的培训和演练。将预案下发各部门和单位进行学习，并对全体职工进行经常性的应急救援常识教育，应急救援组织定期组织演练，组织开展了机械伤害事故应急处置、特种设备（叉车）事故应急救援等应急演练。</w:t>
      </w:r>
    </w:p>
    <w:p>
      <w:pPr>
        <w:pStyle w:val="5"/>
        <w:spacing w:before="156" w:after="156"/>
      </w:pPr>
      <w:bookmarkStart w:id="101" w:name="_Toc15539"/>
      <w:bookmarkStart w:id="102" w:name="_Toc30054"/>
      <w:r>
        <w:t>改、扩建项目利用原有设施情况</w:t>
      </w:r>
      <w:bookmarkEnd w:id="101"/>
      <w:bookmarkEnd w:id="102"/>
    </w:p>
    <w:p>
      <w:pPr>
        <w:ind w:firstLine="560"/>
      </w:pPr>
      <w:r>
        <w:t>本项目</w:t>
      </w:r>
      <w:r>
        <w:rPr>
          <w:rFonts w:hint="eastAsia"/>
        </w:rPr>
        <w:t>性质为技改搬迁项目。各生产厂房、公辅设施、辅助用房等均为新建。项目粘土砂铸造车间（一期）设备大部分为新购置设备，少量原厂完好设备进行利用。项目机加工车间（三期）设备主要为原厂搬造设备。</w:t>
      </w:r>
    </w:p>
    <w:p>
      <w:pPr>
        <w:pStyle w:val="5"/>
        <w:spacing w:before="156" w:after="156"/>
      </w:pPr>
      <w:bookmarkStart w:id="103" w:name="_Toc30030"/>
      <w:r>
        <w:rPr>
          <w:rFonts w:hint="eastAsia"/>
        </w:rPr>
        <w:t>设计变更</w:t>
      </w:r>
      <w:bookmarkEnd w:id="103"/>
    </w:p>
    <w:p>
      <w:pPr>
        <w:numPr>
          <w:ilvl w:val="0"/>
          <w:numId w:val="32"/>
        </w:numPr>
        <w:ind w:firstLine="560"/>
      </w:pPr>
      <w:r>
        <w:rPr>
          <w:rFonts w:hint="eastAsia"/>
        </w:rPr>
        <w:t>项目新增一套自投入柴油发电机组</w:t>
      </w:r>
      <w:r>
        <w:rPr>
          <w:rFonts w:hint="eastAsia"/>
          <w:lang w:val="en-US" w:eastAsia="zh-CN"/>
        </w:rPr>
        <w:t>在熔炼区旁</w:t>
      </w:r>
      <w:r>
        <w:rPr>
          <w:rFonts w:hint="eastAsia"/>
        </w:rPr>
        <w:t>，作为中频炉的紧急备用电源。</w:t>
      </w:r>
    </w:p>
    <w:p>
      <w:pPr>
        <w:pStyle w:val="2"/>
        <w:numPr>
          <w:ilvl w:val="0"/>
          <w:numId w:val="32"/>
        </w:numPr>
        <w:ind w:firstLine="560"/>
      </w:pPr>
      <w:r>
        <w:rPr>
          <w:rFonts w:hint="eastAsia"/>
        </w:rPr>
        <w:t>项目未建设中间仓库，改为在项目区北侧建设临时仓库，待二区仓库建设完成后拆除。</w:t>
      </w:r>
    </w:p>
    <w:p>
      <w:pPr>
        <w:pStyle w:val="5"/>
        <w:spacing w:before="156" w:after="156"/>
      </w:pPr>
      <w:bookmarkStart w:id="104" w:name="_Toc13917"/>
      <w:r>
        <w:rPr>
          <w:rFonts w:hint="eastAsia"/>
        </w:rPr>
        <w:t>施工监理资质</w:t>
      </w:r>
      <w:bookmarkEnd w:id="104"/>
    </w:p>
    <w:p>
      <w:pPr>
        <w:ind w:firstLine="560"/>
      </w:pPr>
      <w:r>
        <w:rPr>
          <w:rFonts w:hint="eastAsia"/>
        </w:rPr>
        <w:t>项目的建筑工程施工按相关规范和安全设施设计要求由有相应资质的施工单位进行，并由有相应资质的监理单位进行监理。</w:t>
      </w:r>
    </w:p>
    <w:p>
      <w:pPr>
        <w:pStyle w:val="14"/>
        <w:spacing w:before="156" w:after="156"/>
      </w:pPr>
      <w:r>
        <w:t xml:space="preserve">表 </w:t>
      </w:r>
      <w:r>
        <w:fldChar w:fldCharType="begin"/>
      </w:r>
      <w:r>
        <w:instrText xml:space="preserve"> STYLEREF 2 \s </w:instrText>
      </w:r>
      <w:r>
        <w:fldChar w:fldCharType="separate"/>
      </w:r>
      <w:r>
        <w:t>2.</w:t>
      </w:r>
      <w:r>
        <w:fldChar w:fldCharType="end"/>
      </w:r>
      <w:r>
        <w:rPr>
          <w:rFonts w:hint="eastAsia"/>
        </w:rPr>
        <w:t>6-</w:t>
      </w:r>
      <w:r>
        <w:fldChar w:fldCharType="begin"/>
      </w:r>
      <w:r>
        <w:instrText xml:space="preserve"> SEQ 表 \* ARABIC \s 2 </w:instrText>
      </w:r>
      <w:r>
        <w:fldChar w:fldCharType="separate"/>
      </w:r>
      <w:r>
        <w:t>1</w:t>
      </w:r>
      <w:r>
        <w:fldChar w:fldCharType="end"/>
      </w:r>
      <w:r>
        <w:rPr>
          <w:rFonts w:hint="eastAsia"/>
          <w:bCs/>
        </w:rPr>
        <w:t>项目施工监理等相关资质一览表</w:t>
      </w:r>
    </w:p>
    <w:tbl>
      <w:tblPr>
        <w:tblStyle w:val="30"/>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199"/>
        <w:gridCol w:w="2544"/>
        <w:gridCol w:w="1692"/>
        <w:gridCol w:w="3003"/>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1199" w:type="dxa"/>
            <w:vAlign w:val="center"/>
          </w:tcPr>
          <w:p>
            <w:pPr>
              <w:pStyle w:val="20"/>
              <w:spacing w:line="240" w:lineRule="auto"/>
              <w:ind w:firstLine="0" w:firstLineChars="0"/>
              <w:jc w:val="center"/>
              <w:rPr>
                <w:b/>
                <w:bCs/>
                <w:sz w:val="24"/>
                <w:szCs w:val="24"/>
              </w:rPr>
            </w:pPr>
            <w:r>
              <w:rPr>
                <w:rFonts w:hint="eastAsia"/>
                <w:b/>
                <w:bCs/>
                <w:sz w:val="24"/>
                <w:szCs w:val="24"/>
              </w:rPr>
              <w:t>单位</w:t>
            </w:r>
          </w:p>
        </w:tc>
        <w:tc>
          <w:tcPr>
            <w:tcW w:w="2544" w:type="dxa"/>
            <w:vAlign w:val="center"/>
          </w:tcPr>
          <w:p>
            <w:pPr>
              <w:pStyle w:val="20"/>
              <w:spacing w:line="240" w:lineRule="auto"/>
              <w:ind w:firstLine="0" w:firstLineChars="0"/>
              <w:jc w:val="center"/>
              <w:rPr>
                <w:b/>
                <w:bCs/>
                <w:sz w:val="24"/>
                <w:szCs w:val="24"/>
              </w:rPr>
            </w:pPr>
            <w:r>
              <w:rPr>
                <w:rFonts w:hint="eastAsia"/>
                <w:b/>
                <w:bCs/>
                <w:sz w:val="24"/>
                <w:szCs w:val="24"/>
              </w:rPr>
              <w:t>名称</w:t>
            </w:r>
          </w:p>
        </w:tc>
        <w:tc>
          <w:tcPr>
            <w:tcW w:w="1692" w:type="dxa"/>
            <w:vAlign w:val="center"/>
          </w:tcPr>
          <w:p>
            <w:pPr>
              <w:pStyle w:val="20"/>
              <w:spacing w:line="240" w:lineRule="auto"/>
              <w:ind w:firstLine="0" w:firstLineChars="0"/>
              <w:jc w:val="center"/>
              <w:rPr>
                <w:b/>
                <w:bCs/>
                <w:sz w:val="24"/>
                <w:szCs w:val="24"/>
              </w:rPr>
            </w:pPr>
            <w:r>
              <w:rPr>
                <w:rFonts w:hint="eastAsia"/>
                <w:b/>
                <w:bCs/>
                <w:sz w:val="24"/>
                <w:szCs w:val="24"/>
              </w:rPr>
              <w:t>资质证书编号</w:t>
            </w:r>
          </w:p>
        </w:tc>
        <w:tc>
          <w:tcPr>
            <w:tcW w:w="3003" w:type="dxa"/>
            <w:vAlign w:val="center"/>
          </w:tcPr>
          <w:p>
            <w:pPr>
              <w:pStyle w:val="20"/>
              <w:spacing w:line="240" w:lineRule="auto"/>
              <w:ind w:firstLine="0" w:firstLineChars="0"/>
              <w:jc w:val="center"/>
              <w:rPr>
                <w:b/>
                <w:bCs/>
                <w:sz w:val="24"/>
                <w:szCs w:val="24"/>
              </w:rPr>
            </w:pPr>
            <w:r>
              <w:rPr>
                <w:rFonts w:hint="eastAsia"/>
                <w:b/>
                <w:bCs/>
                <w:sz w:val="24"/>
                <w:szCs w:val="24"/>
              </w:rPr>
              <w:t>资质类别及资质等级</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1199" w:type="dxa"/>
            <w:vMerge w:val="restart"/>
            <w:vAlign w:val="center"/>
          </w:tcPr>
          <w:p>
            <w:pPr>
              <w:pStyle w:val="20"/>
              <w:adjustRightInd w:val="0"/>
              <w:spacing w:line="240" w:lineRule="auto"/>
              <w:ind w:firstLine="0" w:firstLineChars="0"/>
              <w:jc w:val="center"/>
              <w:rPr>
                <w:rFonts w:ascii="宋体" w:hAnsi="宋体" w:cs="宋体"/>
                <w:sz w:val="24"/>
                <w:szCs w:val="24"/>
              </w:rPr>
            </w:pPr>
            <w:r>
              <w:rPr>
                <w:rFonts w:hint="eastAsia" w:ascii="宋体" w:hAnsi="宋体" w:cs="宋体"/>
                <w:sz w:val="24"/>
                <w:szCs w:val="24"/>
              </w:rPr>
              <w:t>施工单位</w:t>
            </w:r>
          </w:p>
        </w:tc>
        <w:tc>
          <w:tcPr>
            <w:tcW w:w="2544" w:type="dxa"/>
            <w:vMerge w:val="restart"/>
            <w:vAlign w:val="center"/>
          </w:tcPr>
          <w:p>
            <w:pPr>
              <w:pStyle w:val="20"/>
              <w:adjustRightInd w:val="0"/>
              <w:spacing w:line="240" w:lineRule="auto"/>
              <w:ind w:firstLine="0" w:firstLineChars="0"/>
              <w:jc w:val="center"/>
              <w:rPr>
                <w:rFonts w:ascii="宋体" w:hAnsi="宋体" w:cs="宋体"/>
                <w:sz w:val="24"/>
                <w:szCs w:val="24"/>
              </w:rPr>
            </w:pPr>
            <w:r>
              <w:rPr>
                <w:rFonts w:hint="eastAsia" w:ascii="宋体" w:hAnsi="宋体" w:cs="宋体"/>
                <w:sz w:val="24"/>
                <w:szCs w:val="24"/>
              </w:rPr>
              <w:t>昆明三合钢结构制造有限公司</w:t>
            </w:r>
          </w:p>
        </w:tc>
        <w:tc>
          <w:tcPr>
            <w:tcW w:w="1692" w:type="dxa"/>
            <w:vAlign w:val="center"/>
          </w:tcPr>
          <w:p>
            <w:pPr>
              <w:pStyle w:val="20"/>
              <w:adjustRightInd w:val="0"/>
              <w:spacing w:line="240" w:lineRule="auto"/>
              <w:ind w:firstLine="0" w:firstLineChars="0"/>
              <w:jc w:val="center"/>
              <w:rPr>
                <w:rFonts w:ascii="宋体" w:hAnsi="宋体" w:cs="宋体"/>
                <w:sz w:val="24"/>
                <w:szCs w:val="24"/>
              </w:rPr>
            </w:pPr>
            <w:r>
              <w:rPr>
                <w:rFonts w:hint="eastAsia" w:ascii="宋体" w:hAnsi="宋体" w:cs="宋体"/>
                <w:sz w:val="24"/>
                <w:szCs w:val="24"/>
              </w:rPr>
              <w:t>DW353000019</w:t>
            </w:r>
          </w:p>
        </w:tc>
        <w:tc>
          <w:tcPr>
            <w:tcW w:w="3003" w:type="dxa"/>
            <w:vAlign w:val="center"/>
          </w:tcPr>
          <w:p>
            <w:pPr>
              <w:pStyle w:val="20"/>
              <w:adjustRightInd w:val="0"/>
              <w:spacing w:line="240" w:lineRule="auto"/>
              <w:ind w:firstLine="0" w:firstLineChars="0"/>
              <w:jc w:val="center"/>
              <w:rPr>
                <w:rFonts w:ascii="宋体" w:hAnsi="宋体" w:cs="宋体"/>
                <w:sz w:val="24"/>
                <w:szCs w:val="24"/>
              </w:rPr>
            </w:pPr>
            <w:r>
              <w:rPr>
                <w:rFonts w:hint="eastAsia" w:ascii="宋体" w:hAnsi="宋体" w:cs="宋体"/>
                <w:sz w:val="24"/>
                <w:szCs w:val="24"/>
              </w:rPr>
              <w:t>建筑工程施工总承包叁级</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03" w:hRule="atLeast"/>
          <w:jc w:val="center"/>
        </w:trPr>
        <w:tc>
          <w:tcPr>
            <w:tcW w:w="1199" w:type="dxa"/>
            <w:vMerge w:val="continue"/>
            <w:vAlign w:val="center"/>
          </w:tcPr>
          <w:p>
            <w:pPr>
              <w:pStyle w:val="20"/>
              <w:adjustRightInd w:val="0"/>
              <w:spacing w:line="240" w:lineRule="auto"/>
              <w:ind w:firstLine="0" w:firstLineChars="0"/>
              <w:jc w:val="center"/>
              <w:rPr>
                <w:rFonts w:ascii="宋体" w:hAnsi="宋体" w:cs="宋体"/>
                <w:sz w:val="24"/>
                <w:szCs w:val="24"/>
              </w:rPr>
            </w:pPr>
          </w:p>
        </w:tc>
        <w:tc>
          <w:tcPr>
            <w:tcW w:w="2544" w:type="dxa"/>
            <w:vMerge w:val="continue"/>
            <w:vAlign w:val="center"/>
          </w:tcPr>
          <w:p>
            <w:pPr>
              <w:pStyle w:val="20"/>
              <w:adjustRightInd w:val="0"/>
              <w:spacing w:line="240" w:lineRule="auto"/>
              <w:ind w:firstLine="0" w:firstLineChars="0"/>
              <w:jc w:val="center"/>
              <w:rPr>
                <w:rFonts w:ascii="宋体" w:hAnsi="宋体" w:cs="宋体"/>
                <w:sz w:val="24"/>
                <w:szCs w:val="24"/>
              </w:rPr>
            </w:pPr>
          </w:p>
        </w:tc>
        <w:tc>
          <w:tcPr>
            <w:tcW w:w="1692" w:type="dxa"/>
            <w:vAlign w:val="center"/>
          </w:tcPr>
          <w:p>
            <w:pPr>
              <w:pStyle w:val="20"/>
              <w:adjustRightInd w:val="0"/>
              <w:spacing w:line="240" w:lineRule="auto"/>
              <w:ind w:firstLine="0" w:firstLineChars="0"/>
              <w:jc w:val="center"/>
              <w:rPr>
                <w:rFonts w:ascii="宋体" w:hAnsi="宋体" w:cs="宋体"/>
                <w:sz w:val="24"/>
                <w:szCs w:val="24"/>
              </w:rPr>
            </w:pPr>
            <w:r>
              <w:rPr>
                <w:rFonts w:hint="eastAsia" w:ascii="宋体" w:hAnsi="宋体" w:cs="宋体"/>
                <w:sz w:val="24"/>
                <w:szCs w:val="24"/>
              </w:rPr>
              <w:t>DW153047145</w:t>
            </w:r>
          </w:p>
        </w:tc>
        <w:tc>
          <w:tcPr>
            <w:tcW w:w="3003" w:type="dxa"/>
            <w:vAlign w:val="center"/>
          </w:tcPr>
          <w:p>
            <w:pPr>
              <w:pStyle w:val="20"/>
              <w:adjustRightInd w:val="0"/>
              <w:spacing w:line="240" w:lineRule="auto"/>
              <w:ind w:firstLine="0" w:firstLineChars="0"/>
              <w:jc w:val="center"/>
              <w:rPr>
                <w:rFonts w:ascii="宋体" w:hAnsi="宋体" w:cs="宋体"/>
                <w:sz w:val="24"/>
                <w:szCs w:val="24"/>
              </w:rPr>
            </w:pPr>
            <w:r>
              <w:rPr>
                <w:rFonts w:hint="eastAsia" w:ascii="宋体" w:hAnsi="宋体" w:cs="宋体"/>
                <w:sz w:val="24"/>
                <w:szCs w:val="24"/>
              </w:rPr>
              <w:t>钢结构工程专业承包壹级</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199" w:type="dxa"/>
            <w:vAlign w:val="center"/>
          </w:tcPr>
          <w:p>
            <w:pPr>
              <w:pStyle w:val="20"/>
              <w:adjustRightInd w:val="0"/>
              <w:spacing w:line="240" w:lineRule="auto"/>
              <w:ind w:firstLine="0" w:firstLineChars="0"/>
              <w:jc w:val="center"/>
              <w:rPr>
                <w:rFonts w:ascii="宋体" w:hAnsi="宋体" w:cs="宋体"/>
                <w:sz w:val="24"/>
                <w:szCs w:val="24"/>
              </w:rPr>
            </w:pPr>
            <w:r>
              <w:rPr>
                <w:rFonts w:hint="eastAsia" w:ascii="宋体" w:hAnsi="宋体" w:cs="宋体"/>
                <w:sz w:val="24"/>
                <w:szCs w:val="24"/>
              </w:rPr>
              <w:t>监理单位</w:t>
            </w:r>
          </w:p>
        </w:tc>
        <w:tc>
          <w:tcPr>
            <w:tcW w:w="2544" w:type="dxa"/>
            <w:vAlign w:val="center"/>
          </w:tcPr>
          <w:p>
            <w:pPr>
              <w:pStyle w:val="20"/>
              <w:adjustRightInd w:val="0"/>
              <w:spacing w:line="240" w:lineRule="auto"/>
              <w:ind w:firstLine="0" w:firstLineChars="0"/>
              <w:jc w:val="center"/>
              <w:rPr>
                <w:rFonts w:ascii="宋体" w:hAnsi="宋体" w:cs="宋体"/>
                <w:sz w:val="24"/>
                <w:szCs w:val="24"/>
              </w:rPr>
            </w:pPr>
            <w:r>
              <w:rPr>
                <w:rFonts w:hint="eastAsia" w:ascii="宋体" w:hAnsi="宋体" w:cs="宋体"/>
                <w:sz w:val="24"/>
                <w:szCs w:val="24"/>
              </w:rPr>
              <w:t>楚雄市华联建设项目管理有限公司</w:t>
            </w:r>
          </w:p>
        </w:tc>
        <w:tc>
          <w:tcPr>
            <w:tcW w:w="1692" w:type="dxa"/>
            <w:vAlign w:val="center"/>
          </w:tcPr>
          <w:p>
            <w:pPr>
              <w:pStyle w:val="20"/>
              <w:adjustRightInd w:val="0"/>
              <w:spacing w:line="240" w:lineRule="auto"/>
              <w:ind w:firstLine="0" w:firstLineChars="0"/>
              <w:jc w:val="center"/>
              <w:rPr>
                <w:rFonts w:ascii="宋体" w:hAnsi="宋体" w:cs="宋体"/>
                <w:sz w:val="24"/>
                <w:szCs w:val="24"/>
              </w:rPr>
            </w:pPr>
            <w:r>
              <w:rPr>
                <w:rFonts w:hint="eastAsia" w:ascii="宋体" w:hAnsi="宋体" w:cs="宋体"/>
                <w:sz w:val="24"/>
                <w:szCs w:val="24"/>
              </w:rPr>
              <w:t>E253010306-4</w:t>
            </w:r>
          </w:p>
        </w:tc>
        <w:tc>
          <w:tcPr>
            <w:tcW w:w="3003" w:type="dxa"/>
            <w:vAlign w:val="center"/>
          </w:tcPr>
          <w:p>
            <w:pPr>
              <w:pStyle w:val="20"/>
              <w:adjustRightInd w:val="0"/>
              <w:spacing w:line="240" w:lineRule="auto"/>
              <w:ind w:firstLine="0" w:firstLineChars="0"/>
              <w:jc w:val="center"/>
              <w:rPr>
                <w:rFonts w:ascii="宋体" w:hAnsi="宋体" w:cs="宋体"/>
                <w:sz w:val="24"/>
                <w:szCs w:val="24"/>
              </w:rPr>
            </w:pPr>
            <w:r>
              <w:rPr>
                <w:rFonts w:hint="eastAsia" w:ascii="宋体" w:hAnsi="宋体" w:cs="宋体"/>
                <w:sz w:val="24"/>
                <w:szCs w:val="24"/>
              </w:rPr>
              <w:t>房屋建筑工程专业资质乙级</w:t>
            </w:r>
          </w:p>
        </w:tc>
      </w:tr>
    </w:tbl>
    <w:p>
      <w:pPr>
        <w:pStyle w:val="5"/>
        <w:spacing w:before="156" w:after="156"/>
      </w:pPr>
      <w:bookmarkStart w:id="105" w:name="_Toc15365"/>
      <w:r>
        <w:rPr>
          <w:rFonts w:hint="eastAsia"/>
        </w:rPr>
        <w:t>试运行概况</w:t>
      </w:r>
      <w:bookmarkEnd w:id="105"/>
    </w:p>
    <w:p>
      <w:pPr>
        <w:pStyle w:val="6"/>
        <w:spacing w:before="156" w:after="156"/>
      </w:pPr>
      <w:bookmarkStart w:id="106" w:name="_Toc28416"/>
      <w:r>
        <w:rPr>
          <w:rFonts w:hint="eastAsia"/>
        </w:rPr>
        <w:t>试运行前准备</w:t>
      </w:r>
      <w:bookmarkEnd w:id="106"/>
    </w:p>
    <w:p>
      <w:pPr>
        <w:ind w:firstLine="560"/>
      </w:pPr>
      <w:r>
        <w:rPr>
          <w:rFonts w:hint="eastAsia"/>
        </w:rPr>
        <w:t>该项目为退城入园整体技改搬迁项目，性质属新建。新建建筑物由施工单位、监理单位等出具了工程竣工验收报告。试生产前各设备</w:t>
      </w:r>
      <w:r>
        <w:t>装置</w:t>
      </w:r>
      <w:r>
        <w:rPr>
          <w:rFonts w:hint="eastAsia"/>
        </w:rPr>
        <w:t>安装完毕，并</w:t>
      </w:r>
      <w:r>
        <w:t>进行了</w:t>
      </w:r>
      <w:r>
        <w:rPr>
          <w:rFonts w:hint="eastAsia"/>
        </w:rPr>
        <w:t>各项设备的单机试机工作。叉车、储气罐、起重机等特种设备及其安全附件</w:t>
      </w:r>
      <w:r>
        <w:t>通过了相应的检验</w:t>
      </w:r>
      <w:r>
        <w:rPr>
          <w:rFonts w:hint="eastAsia"/>
        </w:rPr>
        <w:t>。</w:t>
      </w:r>
    </w:p>
    <w:p>
      <w:pPr>
        <w:ind w:firstLine="560"/>
      </w:pPr>
      <w:r>
        <w:rPr>
          <w:rFonts w:hint="eastAsia"/>
        </w:rPr>
        <w:t>试生产前操作人员皆全部持证上岗。企业</w:t>
      </w:r>
      <w:r>
        <w:t>主要负责人、</w:t>
      </w:r>
      <w:r>
        <w:rPr>
          <w:rFonts w:hint="eastAsia"/>
        </w:rPr>
        <w:t>分管领导、车间主任</w:t>
      </w:r>
      <w:r>
        <w:t>、</w:t>
      </w:r>
      <w:r>
        <w:rPr>
          <w:rFonts w:hint="eastAsia"/>
        </w:rPr>
        <w:t>班组长</w:t>
      </w:r>
      <w:r>
        <w:t>及其他操作人员均接受过相应</w:t>
      </w:r>
      <w:r>
        <w:rPr>
          <w:rFonts w:hint="eastAsia"/>
        </w:rPr>
        <w:t>的安全生产知识培训</w:t>
      </w:r>
      <w:r>
        <w:t>，</w:t>
      </w:r>
      <w:r>
        <w:rPr>
          <w:rFonts w:hint="eastAsia"/>
        </w:rPr>
        <w:t>其中，企业</w:t>
      </w:r>
      <w:r>
        <w:t>主要负责人、</w:t>
      </w:r>
      <w:r>
        <w:rPr>
          <w:rFonts w:hint="eastAsia"/>
        </w:rPr>
        <w:t>分管领导、车间主任通过应急局的培训</w:t>
      </w:r>
      <w:r>
        <w:t>并经考核合格后</w:t>
      </w:r>
      <w:r>
        <w:rPr>
          <w:rFonts w:hint="eastAsia"/>
        </w:rPr>
        <w:t>取得安全员证，</w:t>
      </w:r>
      <w:r>
        <w:t>公司作业人员上岗前都进行了严格的安全培训和教育（</w:t>
      </w:r>
      <w:r>
        <w:rPr>
          <w:rFonts w:hint="eastAsia"/>
        </w:rPr>
        <w:t>包括：</w:t>
      </w:r>
      <w:r>
        <w:t>入厂三级安全教育、岗前培训、</w:t>
      </w:r>
      <w:r>
        <w:rPr>
          <w:rFonts w:hint="eastAsia"/>
        </w:rPr>
        <w:t>操作规程</w:t>
      </w:r>
      <w:r>
        <w:t>等）</w:t>
      </w:r>
      <w:r>
        <w:rPr>
          <w:rFonts w:hint="eastAsia"/>
        </w:rPr>
        <w:t>。为所有生产作业人员在上岗前都发放了相关的劳防用品。</w:t>
      </w:r>
    </w:p>
    <w:p>
      <w:pPr>
        <w:pStyle w:val="6"/>
        <w:spacing w:before="156" w:after="156"/>
      </w:pPr>
      <w:bookmarkStart w:id="107" w:name="_Toc28395"/>
      <w:r>
        <w:rPr>
          <w:rFonts w:hint="eastAsia"/>
        </w:rPr>
        <w:t>试运行情况</w:t>
      </w:r>
      <w:bookmarkEnd w:id="107"/>
    </w:p>
    <w:p>
      <w:pPr>
        <w:ind w:firstLine="560"/>
      </w:pPr>
      <w:r>
        <w:rPr>
          <w:rFonts w:hint="eastAsia"/>
        </w:rPr>
        <w:t>公司于2023年5月开始进行试生产，试生产时间从2023年5月10日至2023年11月10日。在试生产期间，该公司严格执行各项安全管理制度和操作规程，与试生产相关的各辅助系统统筹兼顾、首尾衔接、同步试车；所有安全设施与主体生产装置同步试车；机械、电气、仪表等操作人员紧密配合、协调工作，及时做好信息沟通，并做好测定数据的记录。加强巡回检查，及时发现问题；在出现异常情况时，项目负责人能组织相关人员研究提出解决方案。在试生产的过程中各装置安全设施、消防和环保等设施进行了各种负荷下的磨合，在试生产过程中对建设项目的各设施进行了检查，各装置符合工艺流程要求，产能达到设计要求，设备结构和设备性能符合工艺技术要求。</w:t>
      </w:r>
      <w:r>
        <w:t>在试生产过程中，该公司生产过程工艺、设备的安全度都经过了</w:t>
      </w:r>
      <w:r>
        <w:rPr>
          <w:rFonts w:hint="eastAsia"/>
        </w:rPr>
        <w:t>考验</w:t>
      </w:r>
      <w:r>
        <w:t>，达到了设计的要求。在试</w:t>
      </w:r>
      <w:r>
        <w:rPr>
          <w:rFonts w:hint="eastAsia"/>
        </w:rPr>
        <w:t>生产</w:t>
      </w:r>
      <w:r>
        <w:t>的过程中</w:t>
      </w:r>
      <w:r>
        <w:rPr>
          <w:rFonts w:hint="eastAsia"/>
        </w:rPr>
        <w:t>该公司</w:t>
      </w:r>
      <w:r>
        <w:t>不断</w:t>
      </w:r>
      <w:r>
        <w:rPr>
          <w:rFonts w:hint="eastAsia"/>
        </w:rPr>
        <w:t>地</w:t>
      </w:r>
      <w:r>
        <w:t>完善各岗位</w:t>
      </w:r>
      <w:r>
        <w:rPr>
          <w:rFonts w:hint="eastAsia"/>
        </w:rPr>
        <w:t>操作规程</w:t>
      </w:r>
      <w:r>
        <w:t>，健全了异常情况的应急措施</w:t>
      </w:r>
      <w:r>
        <w:rPr>
          <w:rFonts w:hint="eastAsia"/>
        </w:rPr>
        <w:t>；</w:t>
      </w:r>
      <w:r>
        <w:t>明确了</w:t>
      </w:r>
      <w:r>
        <w:rPr>
          <w:rFonts w:hint="eastAsia"/>
        </w:rPr>
        <w:t>岗位</w:t>
      </w:r>
      <w:r>
        <w:t>作业人员的劳动保护及安全注意事项</w:t>
      </w:r>
      <w:r>
        <w:rPr>
          <w:rFonts w:hint="eastAsia"/>
        </w:rPr>
        <w:t>；</w:t>
      </w:r>
      <w:r>
        <w:t>强化</w:t>
      </w:r>
      <w:r>
        <w:rPr>
          <w:rFonts w:hint="eastAsia"/>
        </w:rPr>
        <w:t>了</w:t>
      </w:r>
      <w:r>
        <w:t>工艺技术</w:t>
      </w:r>
      <w:r>
        <w:rPr>
          <w:rFonts w:hint="eastAsia"/>
        </w:rPr>
        <w:t>的</w:t>
      </w:r>
      <w:r>
        <w:t>管理</w:t>
      </w:r>
      <w:r>
        <w:rPr>
          <w:rFonts w:hint="eastAsia"/>
        </w:rPr>
        <w:t>；</w:t>
      </w:r>
      <w:r>
        <w:t>并建立了比较完善的管理制度</w:t>
      </w:r>
      <w:r>
        <w:rPr>
          <w:rFonts w:hint="eastAsia"/>
        </w:rPr>
        <w:t>；</w:t>
      </w:r>
      <w:r>
        <w:t>健全了安全管理体系</w:t>
      </w:r>
      <w:r>
        <w:rPr>
          <w:rFonts w:hint="eastAsia"/>
        </w:rPr>
        <w:t>，</w:t>
      </w:r>
      <w:r>
        <w:t>确保</w:t>
      </w:r>
      <w:r>
        <w:rPr>
          <w:rFonts w:hint="eastAsia"/>
        </w:rPr>
        <w:t>了</w:t>
      </w:r>
      <w:r>
        <w:t>工艺安全卫生</w:t>
      </w:r>
      <w:r>
        <w:rPr>
          <w:rFonts w:hint="eastAsia"/>
        </w:rPr>
        <w:t>达标</w:t>
      </w:r>
      <w:r>
        <w:t>环境</w:t>
      </w:r>
      <w:r>
        <w:rPr>
          <w:rFonts w:hint="eastAsia"/>
        </w:rPr>
        <w:t>过关</w:t>
      </w:r>
      <w:r>
        <w:t>等。</w:t>
      </w:r>
    </w:p>
    <w:p>
      <w:pPr>
        <w:ind w:firstLine="560"/>
      </w:pPr>
      <w:r>
        <w:rPr>
          <w:rFonts w:hint="eastAsia"/>
        </w:rPr>
        <w:t>试运行中</w:t>
      </w:r>
      <w:r>
        <w:t>公用工程中的水、电及各种</w:t>
      </w:r>
      <w:r>
        <w:rPr>
          <w:rFonts w:hint="eastAsia"/>
        </w:rPr>
        <w:t>原辅材料</w:t>
      </w:r>
      <w:r>
        <w:t>供应正常，能满足生产使用的需要，道路、照明等满足试生产的需要，该公司产品质量符合产品质量技术标准要求，各项设施、设备、装置运行正常，未出现任何大的问题。</w:t>
      </w:r>
    </w:p>
    <w:p>
      <w:pPr>
        <w:ind w:firstLine="560"/>
      </w:pPr>
      <w:r>
        <w:t>从试运转效果看，</w:t>
      </w:r>
      <w:r>
        <w:rPr>
          <w:rFonts w:hint="eastAsia"/>
        </w:rPr>
        <w:t>项目</w:t>
      </w:r>
      <w:r>
        <w:t>生产系统和辅助系统较完善，安全管理符合有关安全生产法律法规和行业标准，符合建设项目“三同时”相关规定，基本</w:t>
      </w:r>
      <w:r>
        <w:rPr>
          <w:rFonts w:hint="eastAsia"/>
        </w:rPr>
        <w:t>能有效地控制</w:t>
      </w:r>
      <w:r>
        <w:t>和预防</w:t>
      </w:r>
      <w:r>
        <w:rPr>
          <w:rFonts w:hint="eastAsia"/>
        </w:rPr>
        <w:t>项目</w:t>
      </w:r>
      <w:r>
        <w:t>存在的各种危险、危害因素。</w:t>
      </w:r>
    </w:p>
    <w:p>
      <w:pPr>
        <w:pStyle w:val="6"/>
        <w:spacing w:before="156" w:after="156"/>
      </w:pPr>
      <w:bookmarkStart w:id="108" w:name="_Toc13957"/>
      <w:r>
        <w:t>试运行结论</w:t>
      </w:r>
      <w:bookmarkEnd w:id="108"/>
    </w:p>
    <w:p>
      <w:pPr>
        <w:ind w:firstLine="560"/>
      </w:pPr>
      <w:r>
        <w:t>根据系统试运行情况，本建设项目施工和安装质量符合有关“规范”和“规程”要求，通过试运行这一阶段的工作，该</w:t>
      </w:r>
      <w:r>
        <w:rPr>
          <w:rFonts w:hint="eastAsia"/>
        </w:rPr>
        <w:t>项目</w:t>
      </w:r>
      <w:r>
        <w:t>生产正常，各辅助系统正常，安全管理基本到位，安全技术措施基本落实到位，</w:t>
      </w:r>
      <w:r>
        <w:rPr>
          <w:rFonts w:hint="eastAsia"/>
        </w:rPr>
        <w:t>从</w:t>
      </w:r>
      <w:r>
        <w:t>试生产运行</w:t>
      </w:r>
      <w:r>
        <w:rPr>
          <w:rFonts w:hint="eastAsia"/>
        </w:rPr>
        <w:t>至评价基准日</w:t>
      </w:r>
      <w:r>
        <w:t>没有发生</w:t>
      </w:r>
      <w:r>
        <w:rPr>
          <w:rFonts w:hint="eastAsia"/>
        </w:rPr>
        <w:t>过生产安全事故</w:t>
      </w:r>
      <w:r>
        <w:t>，</w:t>
      </w:r>
      <w:r>
        <w:rPr>
          <w:rFonts w:hint="eastAsia"/>
        </w:rPr>
        <w:t>具备安全设施验收的基本</w:t>
      </w:r>
      <w:r>
        <w:t>条件。</w:t>
      </w:r>
    </w:p>
    <w:p>
      <w:pPr>
        <w:pStyle w:val="5"/>
        <w:spacing w:before="156" w:after="156"/>
      </w:pPr>
      <w:bookmarkStart w:id="109" w:name="_Toc5074"/>
      <w:r>
        <w:rPr>
          <w:rFonts w:hint="eastAsia"/>
        </w:rPr>
        <w:t>采取的主要安全设施、措施</w:t>
      </w:r>
      <w:bookmarkEnd w:id="109"/>
      <w:bookmarkStart w:id="110" w:name="_Toc76119860"/>
    </w:p>
    <w:p>
      <w:pPr>
        <w:ind w:firstLine="560"/>
      </w:pPr>
      <w:r>
        <w:rPr>
          <w:rFonts w:hint="eastAsia"/>
        </w:rPr>
        <w:t>主要安全设施、措施配置见下表：</w:t>
      </w:r>
    </w:p>
    <w:p>
      <w:pPr>
        <w:ind w:firstLine="0" w:firstLineChars="0"/>
        <w:jc w:val="center"/>
        <w:rPr>
          <w:b/>
          <w:bCs/>
          <w:sz w:val="24"/>
          <w:szCs w:val="21"/>
        </w:rPr>
      </w:pPr>
      <w:r>
        <w:rPr>
          <w:rFonts w:hint="eastAsia"/>
          <w:b/>
          <w:bCs/>
          <w:sz w:val="24"/>
          <w:szCs w:val="21"/>
        </w:rPr>
        <w:t xml:space="preserve">表 </w:t>
      </w:r>
      <w:r>
        <w:rPr>
          <w:rFonts w:hint="eastAsia"/>
          <w:b/>
          <w:bCs/>
          <w:sz w:val="24"/>
          <w:szCs w:val="21"/>
        </w:rPr>
        <w:fldChar w:fldCharType="begin"/>
      </w:r>
      <w:r>
        <w:rPr>
          <w:rFonts w:hint="eastAsia"/>
          <w:b/>
          <w:bCs/>
          <w:sz w:val="24"/>
          <w:szCs w:val="21"/>
        </w:rPr>
        <w:instrText xml:space="preserve"> STYLEREF 2 \s </w:instrText>
      </w:r>
      <w:r>
        <w:rPr>
          <w:rFonts w:hint="eastAsia"/>
          <w:b/>
          <w:bCs/>
          <w:sz w:val="24"/>
          <w:szCs w:val="21"/>
        </w:rPr>
        <w:fldChar w:fldCharType="separate"/>
      </w:r>
      <w:r>
        <w:rPr>
          <w:rFonts w:hint="eastAsia"/>
          <w:b/>
          <w:bCs/>
          <w:sz w:val="24"/>
          <w:szCs w:val="21"/>
        </w:rPr>
        <w:t>2.</w:t>
      </w:r>
      <w:r>
        <w:rPr>
          <w:rFonts w:hint="eastAsia"/>
          <w:b/>
          <w:bCs/>
          <w:sz w:val="24"/>
          <w:szCs w:val="21"/>
        </w:rPr>
        <w:fldChar w:fldCharType="end"/>
      </w:r>
      <w:r>
        <w:rPr>
          <w:rFonts w:hint="eastAsia"/>
          <w:b/>
          <w:bCs/>
          <w:sz w:val="24"/>
          <w:szCs w:val="21"/>
        </w:rPr>
        <w:t>8-</w:t>
      </w:r>
      <w:r>
        <w:rPr>
          <w:rFonts w:hint="eastAsia"/>
          <w:b/>
          <w:bCs/>
          <w:sz w:val="24"/>
          <w:szCs w:val="21"/>
        </w:rPr>
        <w:fldChar w:fldCharType="begin"/>
      </w:r>
      <w:r>
        <w:rPr>
          <w:rFonts w:hint="eastAsia"/>
          <w:b/>
          <w:bCs/>
          <w:sz w:val="24"/>
          <w:szCs w:val="21"/>
        </w:rPr>
        <w:instrText xml:space="preserve"> SEQ 表 \* ARABIC \s 2 </w:instrText>
      </w:r>
      <w:r>
        <w:rPr>
          <w:rFonts w:hint="eastAsia"/>
          <w:b/>
          <w:bCs/>
          <w:sz w:val="24"/>
          <w:szCs w:val="21"/>
        </w:rPr>
        <w:fldChar w:fldCharType="separate"/>
      </w:r>
      <w:r>
        <w:rPr>
          <w:rFonts w:hint="eastAsia"/>
          <w:b/>
          <w:bCs/>
          <w:sz w:val="24"/>
          <w:szCs w:val="21"/>
        </w:rPr>
        <w:t>1</w:t>
      </w:r>
      <w:r>
        <w:rPr>
          <w:rFonts w:hint="eastAsia"/>
          <w:b/>
          <w:bCs/>
          <w:sz w:val="24"/>
          <w:szCs w:val="21"/>
        </w:rPr>
        <w:fldChar w:fldCharType="end"/>
      </w:r>
      <w:r>
        <w:rPr>
          <w:rFonts w:hint="eastAsia"/>
          <w:b/>
          <w:bCs/>
          <w:sz w:val="24"/>
          <w:szCs w:val="21"/>
        </w:rPr>
        <w:t>安全设施、措施配置一览表</w:t>
      </w:r>
    </w:p>
    <w:tbl>
      <w:tblPr>
        <w:tblStyle w:val="29"/>
        <w:tblW w:w="4998" w:type="pct"/>
        <w:jc w:val="center"/>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Layout w:type="fixed"/>
        <w:tblCellMar>
          <w:top w:w="0" w:type="dxa"/>
          <w:left w:w="108" w:type="dxa"/>
          <w:bottom w:w="0" w:type="dxa"/>
          <w:right w:w="108" w:type="dxa"/>
        </w:tblCellMar>
      </w:tblPr>
      <w:tblGrid>
        <w:gridCol w:w="589"/>
        <w:gridCol w:w="1970"/>
        <w:gridCol w:w="1999"/>
        <w:gridCol w:w="1910"/>
        <w:gridCol w:w="2051"/>
      </w:tblGrid>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45" w:type="pct"/>
            <w:vAlign w:val="center"/>
          </w:tcPr>
          <w:p>
            <w:pPr>
              <w:spacing w:line="240" w:lineRule="auto"/>
              <w:ind w:firstLine="0" w:firstLineChars="0"/>
              <w:jc w:val="center"/>
              <w:rPr>
                <w:rFonts w:ascii="宋体" w:hAnsi="宋体" w:cs="宋体"/>
                <w:b/>
                <w:sz w:val="21"/>
                <w:szCs w:val="21"/>
              </w:rPr>
            </w:pPr>
            <w:r>
              <w:rPr>
                <w:rFonts w:hint="eastAsia" w:ascii="宋体" w:hAnsi="宋体" w:cs="宋体"/>
                <w:b/>
                <w:sz w:val="21"/>
                <w:szCs w:val="21"/>
              </w:rPr>
              <w:t>序号</w:t>
            </w:r>
          </w:p>
        </w:tc>
        <w:tc>
          <w:tcPr>
            <w:tcW w:w="1156" w:type="pct"/>
            <w:vAlign w:val="center"/>
          </w:tcPr>
          <w:p>
            <w:pPr>
              <w:spacing w:line="240" w:lineRule="auto"/>
              <w:ind w:firstLine="0" w:firstLineChars="0"/>
              <w:jc w:val="center"/>
              <w:rPr>
                <w:rFonts w:ascii="宋体" w:hAnsi="宋体" w:cs="宋体"/>
                <w:b/>
                <w:sz w:val="21"/>
                <w:szCs w:val="21"/>
              </w:rPr>
            </w:pPr>
            <w:r>
              <w:rPr>
                <w:rFonts w:hint="eastAsia" w:ascii="宋体" w:hAnsi="宋体" w:cs="宋体"/>
                <w:b/>
                <w:sz w:val="21"/>
                <w:szCs w:val="21"/>
              </w:rPr>
              <w:t>设施名称</w:t>
            </w:r>
          </w:p>
        </w:tc>
        <w:tc>
          <w:tcPr>
            <w:tcW w:w="1173" w:type="pct"/>
            <w:vAlign w:val="center"/>
          </w:tcPr>
          <w:p>
            <w:pPr>
              <w:spacing w:line="240" w:lineRule="auto"/>
              <w:ind w:firstLine="0" w:firstLineChars="0"/>
              <w:jc w:val="center"/>
              <w:rPr>
                <w:rFonts w:ascii="宋体" w:hAnsi="宋体" w:cs="宋体"/>
                <w:b/>
                <w:sz w:val="21"/>
                <w:szCs w:val="21"/>
              </w:rPr>
            </w:pPr>
            <w:r>
              <w:rPr>
                <w:rFonts w:hint="eastAsia" w:ascii="宋体" w:hAnsi="宋体" w:cs="宋体"/>
                <w:b/>
                <w:sz w:val="21"/>
                <w:szCs w:val="21"/>
              </w:rPr>
              <w:t>规格</w:t>
            </w:r>
          </w:p>
        </w:tc>
        <w:tc>
          <w:tcPr>
            <w:tcW w:w="1121" w:type="pct"/>
            <w:vAlign w:val="center"/>
          </w:tcPr>
          <w:p>
            <w:pPr>
              <w:spacing w:line="240" w:lineRule="auto"/>
              <w:ind w:firstLine="0" w:firstLineChars="0"/>
              <w:jc w:val="center"/>
              <w:rPr>
                <w:rFonts w:ascii="宋体" w:hAnsi="宋体" w:cs="宋体"/>
                <w:b/>
                <w:sz w:val="21"/>
                <w:szCs w:val="21"/>
              </w:rPr>
            </w:pPr>
            <w:r>
              <w:rPr>
                <w:rFonts w:hint="eastAsia" w:ascii="宋体" w:hAnsi="宋体" w:cs="宋体"/>
                <w:b/>
                <w:sz w:val="21"/>
                <w:szCs w:val="21"/>
              </w:rPr>
              <w:t>数量</w:t>
            </w:r>
          </w:p>
        </w:tc>
        <w:tc>
          <w:tcPr>
            <w:tcW w:w="1203" w:type="pct"/>
            <w:vAlign w:val="center"/>
          </w:tcPr>
          <w:p>
            <w:pPr>
              <w:spacing w:line="240" w:lineRule="auto"/>
              <w:ind w:firstLine="0" w:firstLineChars="0"/>
              <w:jc w:val="center"/>
              <w:rPr>
                <w:rFonts w:ascii="宋体" w:hAnsi="宋体" w:cs="宋体"/>
                <w:b/>
                <w:sz w:val="21"/>
                <w:szCs w:val="21"/>
              </w:rPr>
            </w:pPr>
            <w:r>
              <w:rPr>
                <w:rFonts w:hint="eastAsia" w:ascii="宋体" w:hAnsi="宋体" w:cs="宋体"/>
                <w:b/>
                <w:sz w:val="21"/>
                <w:szCs w:val="21"/>
              </w:rPr>
              <w:t>配置场所</w:t>
            </w: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94" w:hRule="atLeast"/>
          <w:jc w:val="center"/>
        </w:trPr>
        <w:tc>
          <w:tcPr>
            <w:tcW w:w="5000" w:type="pct"/>
            <w:gridSpan w:val="5"/>
            <w:vAlign w:val="center"/>
          </w:tcPr>
          <w:p>
            <w:pPr>
              <w:spacing w:line="240" w:lineRule="auto"/>
              <w:ind w:firstLine="0" w:firstLineChars="0"/>
              <w:jc w:val="center"/>
              <w:rPr>
                <w:rFonts w:ascii="宋体" w:hAnsi="宋体" w:cs="宋体"/>
                <w:b/>
                <w:sz w:val="21"/>
                <w:szCs w:val="21"/>
              </w:rPr>
            </w:pPr>
            <w:r>
              <w:rPr>
                <w:rStyle w:val="32"/>
                <w:rFonts w:hint="eastAsia" w:ascii="宋体" w:hAnsi="宋体" w:cs="宋体"/>
                <w:color w:val="191919"/>
                <w:sz w:val="24"/>
                <w:szCs w:val="16"/>
                <w:shd w:val="clear" w:color="auto" w:fill="FFFFFF"/>
              </w:rPr>
              <w:t>一、预防事故设施</w:t>
            </w: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000" w:type="pct"/>
            <w:gridSpan w:val="5"/>
            <w:vAlign w:val="center"/>
          </w:tcPr>
          <w:p>
            <w:pPr>
              <w:spacing w:line="240" w:lineRule="auto"/>
              <w:ind w:firstLine="0" w:firstLineChars="0"/>
              <w:jc w:val="center"/>
              <w:rPr>
                <w:rFonts w:ascii="宋体" w:hAnsi="宋体" w:cs="宋体"/>
                <w:b/>
                <w:sz w:val="21"/>
                <w:szCs w:val="21"/>
              </w:rPr>
            </w:pPr>
            <w:r>
              <w:rPr>
                <w:rFonts w:hint="eastAsia" w:ascii="宋体" w:hAnsi="宋体" w:cs="宋体"/>
                <w:b/>
                <w:sz w:val="21"/>
                <w:szCs w:val="21"/>
              </w:rPr>
              <w:t>1.检测、报警、联锁设施</w:t>
            </w: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45"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1</w:t>
            </w:r>
          </w:p>
        </w:tc>
        <w:tc>
          <w:tcPr>
            <w:tcW w:w="1156" w:type="pct"/>
            <w:vAlign w:val="center"/>
          </w:tcPr>
          <w:p>
            <w:pPr>
              <w:spacing w:line="240" w:lineRule="auto"/>
              <w:ind w:firstLine="0" w:firstLineChars="0"/>
              <w:jc w:val="center"/>
              <w:rPr>
                <w:rFonts w:ascii="宋体" w:hAnsi="宋体" w:cs="宋体"/>
                <w:sz w:val="21"/>
                <w:szCs w:val="21"/>
              </w:rPr>
            </w:pPr>
            <w:r>
              <w:rPr>
                <w:rFonts w:hint="eastAsia" w:ascii="宋体" w:hAnsi="宋体" w:cs="Times New Roman"/>
                <w:sz w:val="21"/>
                <w:szCs w:val="21"/>
              </w:rPr>
              <w:t>现场温度计</w:t>
            </w:r>
          </w:p>
        </w:tc>
        <w:tc>
          <w:tcPr>
            <w:tcW w:w="1173" w:type="pct"/>
            <w:vAlign w:val="center"/>
          </w:tcPr>
          <w:p>
            <w:pPr>
              <w:spacing w:line="240" w:lineRule="auto"/>
              <w:ind w:firstLine="0" w:firstLineChars="0"/>
              <w:jc w:val="center"/>
              <w:rPr>
                <w:rFonts w:ascii="宋体" w:hAnsi="宋体" w:cs="宋体"/>
                <w:sz w:val="21"/>
                <w:szCs w:val="21"/>
              </w:rPr>
            </w:pPr>
          </w:p>
        </w:tc>
        <w:tc>
          <w:tcPr>
            <w:tcW w:w="1121"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5</w:t>
            </w:r>
          </w:p>
        </w:tc>
        <w:tc>
          <w:tcPr>
            <w:tcW w:w="1203" w:type="pct"/>
            <w:vMerge w:val="restar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生产车间</w:t>
            </w: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45"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2</w:t>
            </w:r>
          </w:p>
        </w:tc>
        <w:tc>
          <w:tcPr>
            <w:tcW w:w="1156" w:type="pct"/>
            <w:vAlign w:val="center"/>
          </w:tcPr>
          <w:p>
            <w:pPr>
              <w:spacing w:line="240" w:lineRule="auto"/>
              <w:ind w:firstLine="0" w:firstLineChars="0"/>
              <w:jc w:val="center"/>
              <w:rPr>
                <w:rFonts w:ascii="宋体" w:hAnsi="宋体" w:cs="宋体"/>
                <w:sz w:val="21"/>
                <w:szCs w:val="21"/>
              </w:rPr>
            </w:pPr>
            <w:r>
              <w:rPr>
                <w:rFonts w:hint="eastAsia" w:ascii="宋体" w:hAnsi="宋体" w:cs="Times New Roman"/>
                <w:sz w:val="21"/>
                <w:szCs w:val="21"/>
              </w:rPr>
              <w:t>远传温度计</w:t>
            </w:r>
          </w:p>
        </w:tc>
        <w:tc>
          <w:tcPr>
            <w:tcW w:w="1173" w:type="pct"/>
            <w:vAlign w:val="center"/>
          </w:tcPr>
          <w:p>
            <w:pPr>
              <w:spacing w:line="240" w:lineRule="auto"/>
              <w:ind w:firstLine="0" w:firstLineChars="0"/>
              <w:jc w:val="center"/>
              <w:rPr>
                <w:rFonts w:ascii="宋体" w:hAnsi="宋体" w:cs="宋体"/>
                <w:sz w:val="21"/>
                <w:szCs w:val="21"/>
              </w:rPr>
            </w:pPr>
          </w:p>
        </w:tc>
        <w:tc>
          <w:tcPr>
            <w:tcW w:w="1121"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10</w:t>
            </w:r>
          </w:p>
        </w:tc>
        <w:tc>
          <w:tcPr>
            <w:tcW w:w="1203" w:type="pct"/>
            <w:vMerge w:val="continue"/>
            <w:vAlign w:val="center"/>
          </w:tcPr>
          <w:p>
            <w:pPr>
              <w:spacing w:line="240" w:lineRule="auto"/>
              <w:ind w:firstLine="0" w:firstLineChars="0"/>
              <w:jc w:val="center"/>
              <w:rPr>
                <w:rFonts w:ascii="宋体" w:hAnsi="宋体" w:cs="宋体"/>
                <w:sz w:val="21"/>
                <w:szCs w:val="21"/>
              </w:rPr>
            </w:pP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45"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3</w:t>
            </w:r>
          </w:p>
        </w:tc>
        <w:tc>
          <w:tcPr>
            <w:tcW w:w="1156" w:type="pct"/>
            <w:vAlign w:val="center"/>
          </w:tcPr>
          <w:p>
            <w:pPr>
              <w:spacing w:line="240" w:lineRule="auto"/>
              <w:ind w:firstLine="0" w:firstLineChars="0"/>
              <w:jc w:val="center"/>
              <w:rPr>
                <w:rFonts w:ascii="宋体" w:hAnsi="宋体" w:cs="宋体"/>
                <w:sz w:val="21"/>
                <w:szCs w:val="21"/>
              </w:rPr>
            </w:pPr>
            <w:r>
              <w:rPr>
                <w:rFonts w:hint="eastAsia" w:ascii="宋体" w:hAnsi="宋体" w:cs="Times New Roman"/>
                <w:sz w:val="21"/>
                <w:szCs w:val="21"/>
              </w:rPr>
              <w:t>现场压力表</w:t>
            </w:r>
          </w:p>
        </w:tc>
        <w:tc>
          <w:tcPr>
            <w:tcW w:w="1173" w:type="pct"/>
            <w:vAlign w:val="center"/>
          </w:tcPr>
          <w:p>
            <w:pPr>
              <w:spacing w:line="240" w:lineRule="auto"/>
              <w:ind w:firstLine="0" w:firstLineChars="0"/>
              <w:jc w:val="center"/>
              <w:rPr>
                <w:rFonts w:ascii="宋体" w:hAnsi="宋体" w:cs="宋体"/>
                <w:sz w:val="21"/>
                <w:szCs w:val="21"/>
              </w:rPr>
            </w:pPr>
          </w:p>
        </w:tc>
        <w:tc>
          <w:tcPr>
            <w:tcW w:w="1121"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6</w:t>
            </w:r>
          </w:p>
        </w:tc>
        <w:tc>
          <w:tcPr>
            <w:tcW w:w="1203" w:type="pct"/>
            <w:vMerge w:val="continue"/>
            <w:vAlign w:val="center"/>
          </w:tcPr>
          <w:p>
            <w:pPr>
              <w:spacing w:line="240" w:lineRule="auto"/>
              <w:ind w:firstLine="0" w:firstLineChars="0"/>
              <w:jc w:val="center"/>
              <w:rPr>
                <w:rFonts w:ascii="宋体" w:hAnsi="宋体" w:cs="宋体"/>
                <w:sz w:val="21"/>
                <w:szCs w:val="21"/>
              </w:rPr>
            </w:pP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45"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4</w:t>
            </w:r>
          </w:p>
        </w:tc>
        <w:tc>
          <w:tcPr>
            <w:tcW w:w="1156" w:type="pct"/>
            <w:vAlign w:val="center"/>
          </w:tcPr>
          <w:p>
            <w:pPr>
              <w:spacing w:line="240" w:lineRule="auto"/>
              <w:ind w:firstLine="0" w:firstLineChars="0"/>
              <w:jc w:val="center"/>
              <w:rPr>
                <w:rFonts w:ascii="宋体" w:hAnsi="宋体" w:cs="宋体"/>
                <w:sz w:val="21"/>
                <w:szCs w:val="21"/>
              </w:rPr>
            </w:pPr>
            <w:r>
              <w:rPr>
                <w:rFonts w:hint="eastAsia" w:ascii="宋体" w:hAnsi="宋体" w:cs="Times New Roman"/>
                <w:sz w:val="21"/>
                <w:szCs w:val="21"/>
              </w:rPr>
              <w:t>远传压力表</w:t>
            </w:r>
          </w:p>
        </w:tc>
        <w:tc>
          <w:tcPr>
            <w:tcW w:w="1173" w:type="pct"/>
            <w:vAlign w:val="center"/>
          </w:tcPr>
          <w:p>
            <w:pPr>
              <w:spacing w:line="240" w:lineRule="auto"/>
              <w:ind w:firstLine="0" w:firstLineChars="0"/>
              <w:jc w:val="center"/>
              <w:rPr>
                <w:rFonts w:ascii="宋体" w:hAnsi="宋体" w:cs="宋体"/>
                <w:sz w:val="21"/>
                <w:szCs w:val="21"/>
              </w:rPr>
            </w:pPr>
          </w:p>
        </w:tc>
        <w:tc>
          <w:tcPr>
            <w:tcW w:w="1121"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10</w:t>
            </w:r>
          </w:p>
        </w:tc>
        <w:tc>
          <w:tcPr>
            <w:tcW w:w="1203" w:type="pct"/>
            <w:vMerge w:val="continue"/>
            <w:vAlign w:val="center"/>
          </w:tcPr>
          <w:p>
            <w:pPr>
              <w:spacing w:line="240" w:lineRule="auto"/>
              <w:ind w:firstLine="0" w:firstLineChars="0"/>
              <w:jc w:val="center"/>
              <w:rPr>
                <w:rFonts w:ascii="宋体" w:hAnsi="宋体" w:cs="宋体"/>
                <w:sz w:val="21"/>
                <w:szCs w:val="21"/>
              </w:rPr>
            </w:pP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45"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5</w:t>
            </w:r>
          </w:p>
        </w:tc>
        <w:tc>
          <w:tcPr>
            <w:tcW w:w="1156" w:type="pct"/>
            <w:vAlign w:val="center"/>
          </w:tcPr>
          <w:p>
            <w:pPr>
              <w:spacing w:line="240" w:lineRule="auto"/>
              <w:ind w:firstLine="0" w:firstLineChars="0"/>
              <w:jc w:val="center"/>
              <w:rPr>
                <w:rFonts w:ascii="宋体" w:hAnsi="宋体" w:cs="宋体"/>
                <w:sz w:val="21"/>
                <w:szCs w:val="21"/>
              </w:rPr>
            </w:pPr>
            <w:r>
              <w:rPr>
                <w:rFonts w:hint="eastAsia" w:ascii="宋体" w:hAnsi="宋体" w:cs="Times New Roman"/>
                <w:sz w:val="21"/>
                <w:szCs w:val="21"/>
              </w:rPr>
              <w:t>控制阀</w:t>
            </w:r>
          </w:p>
        </w:tc>
        <w:tc>
          <w:tcPr>
            <w:tcW w:w="1173" w:type="pct"/>
            <w:vAlign w:val="center"/>
          </w:tcPr>
          <w:p>
            <w:pPr>
              <w:spacing w:line="240" w:lineRule="auto"/>
              <w:ind w:firstLine="0" w:firstLineChars="0"/>
              <w:jc w:val="center"/>
              <w:rPr>
                <w:rFonts w:ascii="宋体" w:hAnsi="宋体" w:cs="宋体"/>
                <w:sz w:val="21"/>
                <w:szCs w:val="21"/>
              </w:rPr>
            </w:pPr>
          </w:p>
        </w:tc>
        <w:tc>
          <w:tcPr>
            <w:tcW w:w="1121"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25</w:t>
            </w:r>
          </w:p>
        </w:tc>
        <w:tc>
          <w:tcPr>
            <w:tcW w:w="1203" w:type="pct"/>
            <w:vMerge w:val="continue"/>
            <w:vAlign w:val="center"/>
          </w:tcPr>
          <w:p>
            <w:pPr>
              <w:spacing w:line="240" w:lineRule="auto"/>
              <w:ind w:firstLine="0" w:firstLineChars="0"/>
              <w:jc w:val="center"/>
              <w:rPr>
                <w:rFonts w:ascii="宋体" w:hAnsi="宋体" w:cs="宋体"/>
                <w:sz w:val="21"/>
                <w:szCs w:val="21"/>
              </w:rPr>
            </w:pP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45"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6</w:t>
            </w:r>
          </w:p>
        </w:tc>
        <w:tc>
          <w:tcPr>
            <w:tcW w:w="1156" w:type="pct"/>
            <w:vAlign w:val="center"/>
          </w:tcPr>
          <w:p>
            <w:pPr>
              <w:spacing w:line="240" w:lineRule="auto"/>
              <w:ind w:firstLine="0" w:firstLineChars="0"/>
              <w:jc w:val="center"/>
              <w:rPr>
                <w:rFonts w:ascii="宋体" w:hAnsi="宋体" w:cs="Times New Roman"/>
                <w:sz w:val="21"/>
                <w:szCs w:val="21"/>
              </w:rPr>
            </w:pPr>
            <w:r>
              <w:rPr>
                <w:rFonts w:hint="eastAsia" w:ascii="宋体" w:hAnsi="宋体" w:cs="Times New Roman"/>
                <w:sz w:val="21"/>
                <w:szCs w:val="21"/>
              </w:rPr>
              <w:t>安全阀</w:t>
            </w:r>
          </w:p>
        </w:tc>
        <w:tc>
          <w:tcPr>
            <w:tcW w:w="1173" w:type="pct"/>
            <w:vAlign w:val="center"/>
          </w:tcPr>
          <w:p>
            <w:pPr>
              <w:spacing w:line="240" w:lineRule="auto"/>
              <w:ind w:firstLine="0" w:firstLineChars="0"/>
              <w:jc w:val="center"/>
              <w:rPr>
                <w:rFonts w:ascii="宋体" w:hAnsi="宋体" w:cs="Times New Roman"/>
                <w:sz w:val="21"/>
                <w:szCs w:val="21"/>
              </w:rPr>
            </w:pPr>
          </w:p>
        </w:tc>
        <w:tc>
          <w:tcPr>
            <w:tcW w:w="1121"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5</w:t>
            </w:r>
          </w:p>
        </w:tc>
        <w:tc>
          <w:tcPr>
            <w:tcW w:w="1203" w:type="pct"/>
            <w:vMerge w:val="continue"/>
            <w:vAlign w:val="center"/>
          </w:tcPr>
          <w:p>
            <w:pPr>
              <w:spacing w:line="240" w:lineRule="auto"/>
              <w:ind w:firstLine="0" w:firstLineChars="0"/>
              <w:jc w:val="center"/>
              <w:rPr>
                <w:rFonts w:ascii="宋体" w:hAnsi="宋体" w:cs="宋体"/>
                <w:sz w:val="21"/>
                <w:szCs w:val="21"/>
              </w:rPr>
            </w:pP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45"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7</w:t>
            </w:r>
          </w:p>
        </w:tc>
        <w:tc>
          <w:tcPr>
            <w:tcW w:w="1156" w:type="pct"/>
            <w:vAlign w:val="center"/>
          </w:tcPr>
          <w:p>
            <w:pPr>
              <w:spacing w:line="240" w:lineRule="auto"/>
              <w:ind w:firstLine="0" w:firstLineChars="0"/>
              <w:jc w:val="center"/>
              <w:rPr>
                <w:rFonts w:ascii="宋体" w:hAnsi="宋体" w:cs="Times New Roman"/>
                <w:sz w:val="21"/>
                <w:szCs w:val="21"/>
              </w:rPr>
            </w:pPr>
            <w:r>
              <w:rPr>
                <w:rFonts w:hint="eastAsia" w:ascii="宋体" w:hAnsi="宋体" w:cs="Times New Roman"/>
                <w:sz w:val="21"/>
                <w:szCs w:val="21"/>
              </w:rPr>
              <w:t>紧急停车系统</w:t>
            </w:r>
          </w:p>
        </w:tc>
        <w:tc>
          <w:tcPr>
            <w:tcW w:w="1173" w:type="pct"/>
            <w:vAlign w:val="center"/>
          </w:tcPr>
          <w:p>
            <w:pPr>
              <w:spacing w:line="240" w:lineRule="auto"/>
              <w:ind w:firstLine="0" w:firstLineChars="0"/>
              <w:jc w:val="center"/>
              <w:rPr>
                <w:rFonts w:ascii="宋体" w:hAnsi="宋体" w:cs="Times New Roman"/>
                <w:sz w:val="21"/>
                <w:szCs w:val="21"/>
              </w:rPr>
            </w:pPr>
          </w:p>
        </w:tc>
        <w:tc>
          <w:tcPr>
            <w:tcW w:w="1121"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1套</w:t>
            </w:r>
          </w:p>
        </w:tc>
        <w:tc>
          <w:tcPr>
            <w:tcW w:w="1203" w:type="pct"/>
            <w:vMerge w:val="continue"/>
            <w:vAlign w:val="center"/>
          </w:tcPr>
          <w:p>
            <w:pPr>
              <w:spacing w:line="240" w:lineRule="auto"/>
              <w:ind w:firstLine="0" w:firstLineChars="0"/>
              <w:jc w:val="center"/>
              <w:rPr>
                <w:rFonts w:ascii="宋体" w:hAnsi="宋体" w:cs="宋体"/>
                <w:sz w:val="21"/>
                <w:szCs w:val="21"/>
              </w:rPr>
            </w:pP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45"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8</w:t>
            </w:r>
          </w:p>
        </w:tc>
        <w:tc>
          <w:tcPr>
            <w:tcW w:w="1156" w:type="pct"/>
            <w:vAlign w:val="center"/>
          </w:tcPr>
          <w:p>
            <w:pPr>
              <w:spacing w:line="240" w:lineRule="auto"/>
              <w:ind w:firstLine="0" w:firstLineChars="0"/>
              <w:jc w:val="center"/>
              <w:rPr>
                <w:rFonts w:ascii="宋体" w:hAnsi="宋体" w:cs="Times New Roman"/>
                <w:sz w:val="21"/>
                <w:szCs w:val="21"/>
              </w:rPr>
            </w:pPr>
            <w:r>
              <w:rPr>
                <w:rFonts w:hint="eastAsia" w:ascii="宋体" w:hAnsi="宋体" w:cs="宋体"/>
                <w:bCs/>
                <w:sz w:val="21"/>
                <w:szCs w:val="21"/>
              </w:rPr>
              <w:t>DCS控制系统</w:t>
            </w:r>
          </w:p>
        </w:tc>
        <w:tc>
          <w:tcPr>
            <w:tcW w:w="1173" w:type="pct"/>
            <w:vAlign w:val="center"/>
          </w:tcPr>
          <w:p>
            <w:pPr>
              <w:spacing w:line="240" w:lineRule="auto"/>
              <w:ind w:firstLine="0" w:firstLineChars="0"/>
              <w:jc w:val="center"/>
              <w:rPr>
                <w:rFonts w:ascii="宋体" w:hAnsi="宋体" w:cs="Times New Roman"/>
                <w:sz w:val="21"/>
                <w:szCs w:val="21"/>
              </w:rPr>
            </w:pPr>
          </w:p>
        </w:tc>
        <w:tc>
          <w:tcPr>
            <w:tcW w:w="1121"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1套</w:t>
            </w:r>
          </w:p>
        </w:tc>
        <w:tc>
          <w:tcPr>
            <w:tcW w:w="1203" w:type="pct"/>
            <w:vMerge w:val="continue"/>
            <w:vAlign w:val="center"/>
          </w:tcPr>
          <w:p>
            <w:pPr>
              <w:spacing w:line="240" w:lineRule="auto"/>
              <w:ind w:firstLine="0" w:firstLineChars="0"/>
              <w:jc w:val="center"/>
              <w:rPr>
                <w:rFonts w:ascii="宋体" w:hAnsi="宋体" w:cs="宋体"/>
                <w:sz w:val="21"/>
                <w:szCs w:val="21"/>
              </w:rPr>
            </w:pP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000" w:type="pct"/>
            <w:gridSpan w:val="5"/>
            <w:vAlign w:val="center"/>
          </w:tcPr>
          <w:p>
            <w:pPr>
              <w:spacing w:line="240" w:lineRule="auto"/>
              <w:ind w:firstLine="0" w:firstLineChars="0"/>
              <w:jc w:val="center"/>
              <w:rPr>
                <w:rFonts w:ascii="宋体" w:hAnsi="宋体" w:cs="宋体"/>
                <w:b/>
                <w:sz w:val="21"/>
                <w:szCs w:val="21"/>
              </w:rPr>
            </w:pPr>
            <w:r>
              <w:rPr>
                <w:rFonts w:hint="eastAsia" w:ascii="宋体" w:hAnsi="宋体" w:cs="宋体"/>
                <w:b/>
                <w:sz w:val="21"/>
                <w:szCs w:val="21"/>
              </w:rPr>
              <w:t>2.设备安全防护设施</w:t>
            </w: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45" w:type="pct"/>
            <w:vAlign w:val="center"/>
          </w:tcPr>
          <w:p>
            <w:pPr>
              <w:spacing w:line="240" w:lineRule="auto"/>
              <w:ind w:firstLine="0" w:firstLineChars="0"/>
              <w:jc w:val="center"/>
              <w:rPr>
                <w:rFonts w:ascii="宋体" w:hAnsi="宋体" w:cs="宋体"/>
                <w:b/>
                <w:sz w:val="21"/>
                <w:szCs w:val="21"/>
              </w:rPr>
            </w:pPr>
            <w:r>
              <w:rPr>
                <w:rFonts w:hint="eastAsia" w:ascii="宋体" w:hAnsi="宋体" w:cs="宋体"/>
                <w:bCs/>
                <w:sz w:val="21"/>
                <w:szCs w:val="21"/>
              </w:rPr>
              <w:t>1</w:t>
            </w:r>
          </w:p>
        </w:tc>
        <w:tc>
          <w:tcPr>
            <w:tcW w:w="1156"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防护罩</w:t>
            </w:r>
          </w:p>
        </w:tc>
        <w:tc>
          <w:tcPr>
            <w:tcW w:w="1173"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转动设备自带</w:t>
            </w:r>
          </w:p>
        </w:tc>
        <w:tc>
          <w:tcPr>
            <w:tcW w:w="1121"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按需</w:t>
            </w:r>
          </w:p>
        </w:tc>
        <w:tc>
          <w:tcPr>
            <w:tcW w:w="1203"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转动设备</w:t>
            </w: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45" w:type="pct"/>
            <w:vAlign w:val="center"/>
          </w:tcPr>
          <w:p>
            <w:pPr>
              <w:spacing w:line="240" w:lineRule="auto"/>
              <w:ind w:firstLine="0" w:firstLineChars="0"/>
              <w:jc w:val="center"/>
              <w:rPr>
                <w:rFonts w:ascii="宋体" w:hAnsi="宋体" w:cs="宋体"/>
                <w:bCs/>
                <w:sz w:val="21"/>
                <w:szCs w:val="21"/>
              </w:rPr>
            </w:pPr>
            <w:r>
              <w:rPr>
                <w:rFonts w:hint="eastAsia" w:ascii="宋体" w:hAnsi="宋体" w:cs="宋体"/>
                <w:bCs/>
                <w:sz w:val="21"/>
                <w:szCs w:val="21"/>
              </w:rPr>
              <w:t>2</w:t>
            </w:r>
          </w:p>
        </w:tc>
        <w:tc>
          <w:tcPr>
            <w:tcW w:w="1156" w:type="pct"/>
            <w:vAlign w:val="center"/>
          </w:tcPr>
          <w:p>
            <w:pPr>
              <w:spacing w:line="240" w:lineRule="auto"/>
              <w:ind w:firstLine="0" w:firstLineChars="0"/>
              <w:jc w:val="center"/>
              <w:rPr>
                <w:rFonts w:ascii="宋体" w:hAnsi="宋体" w:cs="宋体"/>
                <w:bCs/>
                <w:sz w:val="21"/>
                <w:szCs w:val="21"/>
              </w:rPr>
            </w:pPr>
            <w:r>
              <w:rPr>
                <w:rFonts w:hint="eastAsia" w:ascii="宋体" w:hAnsi="宋体" w:cs="宋体"/>
                <w:bCs/>
                <w:sz w:val="21"/>
                <w:szCs w:val="21"/>
              </w:rPr>
              <w:t>静电接地系统</w:t>
            </w:r>
          </w:p>
        </w:tc>
        <w:tc>
          <w:tcPr>
            <w:tcW w:w="1173" w:type="pct"/>
            <w:vAlign w:val="center"/>
          </w:tcPr>
          <w:p>
            <w:pPr>
              <w:spacing w:line="240" w:lineRule="auto"/>
              <w:ind w:firstLine="0" w:firstLineChars="0"/>
              <w:jc w:val="center"/>
              <w:rPr>
                <w:rFonts w:ascii="宋体" w:hAnsi="宋体" w:cs="宋体"/>
                <w:bCs/>
                <w:sz w:val="21"/>
                <w:szCs w:val="21"/>
              </w:rPr>
            </w:pPr>
          </w:p>
        </w:tc>
        <w:tc>
          <w:tcPr>
            <w:tcW w:w="1121" w:type="pct"/>
            <w:vAlign w:val="center"/>
          </w:tcPr>
          <w:p>
            <w:pPr>
              <w:spacing w:line="240" w:lineRule="auto"/>
              <w:ind w:firstLine="0" w:firstLineChars="0"/>
              <w:jc w:val="center"/>
              <w:rPr>
                <w:rFonts w:ascii="宋体" w:hAnsi="宋体" w:cs="宋体"/>
                <w:bCs/>
                <w:sz w:val="21"/>
                <w:szCs w:val="21"/>
              </w:rPr>
            </w:pPr>
            <w:r>
              <w:rPr>
                <w:rFonts w:hint="eastAsia" w:ascii="宋体" w:hAnsi="宋体" w:cs="宋体"/>
                <w:bCs/>
                <w:sz w:val="21"/>
                <w:szCs w:val="21"/>
              </w:rPr>
              <w:t>1套</w:t>
            </w:r>
          </w:p>
        </w:tc>
        <w:tc>
          <w:tcPr>
            <w:tcW w:w="1203" w:type="pct"/>
            <w:vAlign w:val="center"/>
          </w:tcPr>
          <w:p>
            <w:pPr>
              <w:spacing w:line="240" w:lineRule="auto"/>
              <w:ind w:firstLine="0" w:firstLineChars="0"/>
              <w:jc w:val="center"/>
              <w:rPr>
                <w:rFonts w:ascii="宋体" w:hAnsi="宋体" w:cs="宋体"/>
                <w:bCs/>
                <w:sz w:val="21"/>
                <w:szCs w:val="21"/>
              </w:rPr>
            </w:pPr>
            <w:r>
              <w:rPr>
                <w:rFonts w:hint="eastAsia" w:ascii="宋体" w:hAnsi="宋体" w:cs="宋体"/>
                <w:bCs/>
                <w:sz w:val="21"/>
                <w:szCs w:val="21"/>
              </w:rPr>
              <w:t>项目区</w:t>
            </w: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45" w:type="pct"/>
            <w:vAlign w:val="center"/>
          </w:tcPr>
          <w:p>
            <w:pPr>
              <w:spacing w:line="240" w:lineRule="auto"/>
              <w:ind w:firstLine="0" w:firstLineChars="0"/>
              <w:jc w:val="center"/>
              <w:rPr>
                <w:rFonts w:ascii="宋体" w:hAnsi="宋体" w:cs="宋体"/>
                <w:bCs/>
                <w:sz w:val="21"/>
                <w:szCs w:val="21"/>
              </w:rPr>
            </w:pPr>
            <w:r>
              <w:rPr>
                <w:rFonts w:hint="eastAsia" w:ascii="宋体" w:hAnsi="宋体" w:cs="宋体"/>
                <w:bCs/>
                <w:sz w:val="21"/>
                <w:szCs w:val="21"/>
              </w:rPr>
              <w:t>3</w:t>
            </w:r>
          </w:p>
        </w:tc>
        <w:tc>
          <w:tcPr>
            <w:tcW w:w="1156" w:type="pct"/>
            <w:vAlign w:val="center"/>
          </w:tcPr>
          <w:p>
            <w:pPr>
              <w:spacing w:line="240" w:lineRule="auto"/>
              <w:ind w:firstLine="0" w:firstLineChars="0"/>
              <w:jc w:val="center"/>
              <w:rPr>
                <w:rFonts w:ascii="宋体" w:hAnsi="宋体" w:cs="宋体"/>
                <w:bCs/>
                <w:sz w:val="21"/>
                <w:szCs w:val="21"/>
              </w:rPr>
            </w:pPr>
            <w:r>
              <w:rPr>
                <w:rFonts w:hint="eastAsia" w:ascii="宋体" w:hAnsi="宋体" w:cs="宋体"/>
                <w:bCs/>
                <w:sz w:val="21"/>
                <w:szCs w:val="21"/>
              </w:rPr>
              <w:t>电器过载保护设施</w:t>
            </w:r>
          </w:p>
        </w:tc>
        <w:tc>
          <w:tcPr>
            <w:tcW w:w="1173" w:type="pct"/>
            <w:vAlign w:val="center"/>
          </w:tcPr>
          <w:p>
            <w:pPr>
              <w:spacing w:line="240" w:lineRule="auto"/>
              <w:ind w:firstLine="0" w:firstLineChars="0"/>
              <w:jc w:val="center"/>
              <w:rPr>
                <w:rFonts w:ascii="宋体" w:hAnsi="宋体" w:cs="宋体"/>
                <w:bCs/>
                <w:sz w:val="21"/>
                <w:szCs w:val="21"/>
              </w:rPr>
            </w:pPr>
          </w:p>
        </w:tc>
        <w:tc>
          <w:tcPr>
            <w:tcW w:w="1121" w:type="pct"/>
            <w:vAlign w:val="center"/>
          </w:tcPr>
          <w:p>
            <w:pPr>
              <w:spacing w:line="240" w:lineRule="auto"/>
              <w:ind w:firstLine="0" w:firstLineChars="0"/>
              <w:jc w:val="center"/>
              <w:rPr>
                <w:rFonts w:ascii="宋体" w:hAnsi="宋体" w:cs="宋体"/>
                <w:bCs/>
                <w:sz w:val="21"/>
                <w:szCs w:val="21"/>
              </w:rPr>
            </w:pPr>
            <w:r>
              <w:rPr>
                <w:rFonts w:hint="eastAsia" w:ascii="宋体" w:hAnsi="宋体" w:cs="宋体"/>
                <w:bCs/>
                <w:sz w:val="21"/>
                <w:szCs w:val="21"/>
              </w:rPr>
              <w:t>1套</w:t>
            </w:r>
          </w:p>
        </w:tc>
        <w:tc>
          <w:tcPr>
            <w:tcW w:w="1203" w:type="pct"/>
            <w:vAlign w:val="center"/>
          </w:tcPr>
          <w:p>
            <w:pPr>
              <w:spacing w:line="240" w:lineRule="auto"/>
              <w:ind w:firstLine="0" w:firstLineChars="0"/>
              <w:jc w:val="center"/>
              <w:rPr>
                <w:rFonts w:ascii="宋体" w:hAnsi="宋体" w:cs="宋体"/>
                <w:bCs/>
                <w:sz w:val="21"/>
                <w:szCs w:val="21"/>
              </w:rPr>
            </w:pPr>
            <w:r>
              <w:rPr>
                <w:rFonts w:hint="eastAsia" w:ascii="宋体" w:hAnsi="宋体" w:cs="宋体"/>
                <w:bCs/>
                <w:sz w:val="21"/>
                <w:szCs w:val="21"/>
              </w:rPr>
              <w:t>项目区</w:t>
            </w: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000" w:type="pct"/>
            <w:gridSpan w:val="5"/>
            <w:vAlign w:val="center"/>
          </w:tcPr>
          <w:p>
            <w:pPr>
              <w:spacing w:line="240" w:lineRule="auto"/>
              <w:ind w:firstLine="0" w:firstLineChars="0"/>
              <w:jc w:val="center"/>
              <w:rPr>
                <w:rFonts w:ascii="宋体" w:hAnsi="宋体" w:cs="宋体"/>
                <w:bCs/>
                <w:sz w:val="21"/>
                <w:szCs w:val="21"/>
              </w:rPr>
            </w:pPr>
            <w:r>
              <w:rPr>
                <w:rFonts w:hint="eastAsia" w:ascii="宋体" w:hAnsi="宋体" w:cs="宋体"/>
                <w:b/>
                <w:sz w:val="21"/>
                <w:szCs w:val="21"/>
              </w:rPr>
              <w:t>3.防爆设施</w:t>
            </w: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45" w:type="pct"/>
            <w:vAlign w:val="center"/>
          </w:tcPr>
          <w:p>
            <w:pPr>
              <w:spacing w:line="240" w:lineRule="auto"/>
              <w:ind w:firstLine="0" w:firstLineChars="0"/>
              <w:jc w:val="center"/>
              <w:rPr>
                <w:rFonts w:ascii="宋体" w:hAnsi="宋体" w:cs="宋体"/>
                <w:bCs/>
                <w:sz w:val="21"/>
                <w:szCs w:val="21"/>
              </w:rPr>
            </w:pPr>
            <w:r>
              <w:rPr>
                <w:rFonts w:hint="eastAsia" w:ascii="宋体" w:hAnsi="宋体" w:cs="宋体"/>
                <w:bCs/>
                <w:sz w:val="21"/>
                <w:szCs w:val="21"/>
              </w:rPr>
              <w:t>1</w:t>
            </w:r>
          </w:p>
        </w:tc>
        <w:tc>
          <w:tcPr>
            <w:tcW w:w="1156" w:type="pct"/>
            <w:vAlign w:val="center"/>
          </w:tcPr>
          <w:p>
            <w:pPr>
              <w:spacing w:line="240" w:lineRule="auto"/>
              <w:ind w:firstLine="0" w:firstLineChars="0"/>
              <w:jc w:val="center"/>
              <w:rPr>
                <w:rFonts w:ascii="宋体" w:hAnsi="宋体" w:cs="宋体"/>
                <w:bCs/>
                <w:sz w:val="21"/>
                <w:szCs w:val="21"/>
              </w:rPr>
            </w:pPr>
            <w:r>
              <w:rPr>
                <w:rFonts w:hint="eastAsia" w:ascii="宋体" w:hAnsi="宋体" w:cs="宋体"/>
                <w:bCs/>
                <w:sz w:val="21"/>
                <w:szCs w:val="21"/>
              </w:rPr>
              <w:t>防爆型电气设施、照明灯具</w:t>
            </w:r>
          </w:p>
        </w:tc>
        <w:tc>
          <w:tcPr>
            <w:tcW w:w="1173" w:type="pct"/>
            <w:vAlign w:val="center"/>
          </w:tcPr>
          <w:p>
            <w:pPr>
              <w:spacing w:line="240" w:lineRule="auto"/>
              <w:ind w:firstLine="0" w:firstLineChars="0"/>
              <w:jc w:val="center"/>
              <w:rPr>
                <w:rFonts w:ascii="宋体" w:hAnsi="宋体" w:cs="宋体"/>
                <w:bCs/>
                <w:sz w:val="21"/>
                <w:szCs w:val="21"/>
              </w:rPr>
            </w:pPr>
          </w:p>
        </w:tc>
        <w:tc>
          <w:tcPr>
            <w:tcW w:w="1121" w:type="pct"/>
            <w:vAlign w:val="center"/>
          </w:tcPr>
          <w:p>
            <w:pPr>
              <w:spacing w:line="240" w:lineRule="auto"/>
              <w:ind w:firstLine="0" w:firstLineChars="0"/>
              <w:jc w:val="center"/>
              <w:rPr>
                <w:rFonts w:ascii="宋体" w:hAnsi="宋体" w:cs="宋体"/>
                <w:bCs/>
                <w:sz w:val="21"/>
                <w:szCs w:val="21"/>
              </w:rPr>
            </w:pPr>
            <w:r>
              <w:rPr>
                <w:rFonts w:hint="eastAsia" w:ascii="宋体" w:hAnsi="宋体" w:cs="宋体"/>
                <w:bCs/>
                <w:sz w:val="21"/>
                <w:szCs w:val="21"/>
              </w:rPr>
              <w:t>1套</w:t>
            </w:r>
          </w:p>
        </w:tc>
        <w:tc>
          <w:tcPr>
            <w:tcW w:w="1203" w:type="pct"/>
            <w:vAlign w:val="center"/>
          </w:tcPr>
          <w:p>
            <w:pPr>
              <w:spacing w:line="240" w:lineRule="auto"/>
              <w:ind w:firstLine="0" w:firstLineChars="0"/>
              <w:jc w:val="center"/>
              <w:rPr>
                <w:rFonts w:ascii="宋体" w:hAnsi="宋体" w:cs="宋体"/>
                <w:bCs/>
                <w:sz w:val="21"/>
                <w:szCs w:val="21"/>
              </w:rPr>
            </w:pPr>
            <w:r>
              <w:rPr>
                <w:rFonts w:hint="eastAsia" w:ascii="宋体" w:hAnsi="宋体" w:cs="宋体"/>
                <w:bCs/>
                <w:sz w:val="21"/>
                <w:szCs w:val="21"/>
              </w:rPr>
              <w:t>生产车间</w:t>
            </w: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45" w:type="pct"/>
            <w:vAlign w:val="center"/>
          </w:tcPr>
          <w:p>
            <w:pPr>
              <w:spacing w:line="240" w:lineRule="auto"/>
              <w:ind w:firstLine="0" w:firstLineChars="0"/>
              <w:jc w:val="center"/>
              <w:rPr>
                <w:rFonts w:ascii="宋体" w:hAnsi="宋体" w:cs="宋体"/>
                <w:bCs/>
                <w:sz w:val="21"/>
                <w:szCs w:val="21"/>
              </w:rPr>
            </w:pPr>
            <w:r>
              <w:rPr>
                <w:rFonts w:hint="eastAsia" w:ascii="宋体" w:hAnsi="宋体" w:cs="宋体"/>
                <w:bCs/>
                <w:sz w:val="21"/>
                <w:szCs w:val="21"/>
              </w:rPr>
              <w:t>2</w:t>
            </w:r>
          </w:p>
        </w:tc>
        <w:tc>
          <w:tcPr>
            <w:tcW w:w="1156" w:type="pct"/>
            <w:vAlign w:val="center"/>
          </w:tcPr>
          <w:p>
            <w:pPr>
              <w:spacing w:line="240" w:lineRule="auto"/>
              <w:ind w:firstLine="0" w:firstLineChars="0"/>
              <w:jc w:val="center"/>
              <w:rPr>
                <w:rFonts w:ascii="宋体" w:hAnsi="宋体" w:cs="宋体"/>
                <w:bCs/>
                <w:sz w:val="21"/>
                <w:szCs w:val="21"/>
              </w:rPr>
            </w:pPr>
            <w:r>
              <w:rPr>
                <w:rFonts w:hint="eastAsia" w:ascii="宋体" w:hAnsi="宋体" w:cs="Times New Roman"/>
                <w:sz w:val="21"/>
                <w:szCs w:val="21"/>
              </w:rPr>
              <w:t>防雷接地系统</w:t>
            </w:r>
          </w:p>
        </w:tc>
        <w:tc>
          <w:tcPr>
            <w:tcW w:w="1173" w:type="pct"/>
            <w:vAlign w:val="center"/>
          </w:tcPr>
          <w:p>
            <w:pPr>
              <w:spacing w:line="240" w:lineRule="auto"/>
              <w:ind w:firstLine="0" w:firstLineChars="0"/>
              <w:jc w:val="center"/>
              <w:rPr>
                <w:rFonts w:ascii="宋体" w:hAnsi="宋体" w:cs="宋体"/>
                <w:bCs/>
                <w:sz w:val="21"/>
                <w:szCs w:val="21"/>
              </w:rPr>
            </w:pPr>
          </w:p>
        </w:tc>
        <w:tc>
          <w:tcPr>
            <w:tcW w:w="1121" w:type="pct"/>
            <w:vAlign w:val="center"/>
          </w:tcPr>
          <w:p>
            <w:pPr>
              <w:spacing w:line="240" w:lineRule="auto"/>
              <w:ind w:firstLine="0" w:firstLineChars="0"/>
              <w:jc w:val="center"/>
              <w:rPr>
                <w:rFonts w:ascii="宋体" w:hAnsi="宋体" w:cs="宋体"/>
                <w:bCs/>
                <w:sz w:val="21"/>
                <w:szCs w:val="21"/>
              </w:rPr>
            </w:pPr>
            <w:r>
              <w:rPr>
                <w:rFonts w:hint="eastAsia" w:ascii="宋体" w:hAnsi="宋体" w:cs="Times New Roman"/>
                <w:sz w:val="21"/>
                <w:szCs w:val="21"/>
              </w:rPr>
              <w:t>1套</w:t>
            </w:r>
          </w:p>
        </w:tc>
        <w:tc>
          <w:tcPr>
            <w:tcW w:w="1203" w:type="pct"/>
            <w:vAlign w:val="center"/>
          </w:tcPr>
          <w:p>
            <w:pPr>
              <w:spacing w:line="240" w:lineRule="auto"/>
              <w:ind w:firstLine="0" w:firstLineChars="0"/>
              <w:jc w:val="center"/>
              <w:rPr>
                <w:rFonts w:ascii="宋体" w:hAnsi="宋体" w:cs="宋体"/>
                <w:bCs/>
                <w:sz w:val="21"/>
                <w:szCs w:val="21"/>
              </w:rPr>
            </w:pPr>
            <w:r>
              <w:rPr>
                <w:rFonts w:hint="eastAsia" w:ascii="宋体" w:hAnsi="宋体" w:cs="Times New Roman"/>
                <w:sz w:val="21"/>
                <w:szCs w:val="21"/>
              </w:rPr>
              <w:t>项目区</w:t>
            </w: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000" w:type="pct"/>
            <w:gridSpan w:val="5"/>
            <w:vAlign w:val="center"/>
          </w:tcPr>
          <w:p>
            <w:pPr>
              <w:spacing w:line="240" w:lineRule="auto"/>
              <w:ind w:firstLine="0" w:firstLineChars="0"/>
              <w:jc w:val="center"/>
              <w:rPr>
                <w:rFonts w:ascii="宋体" w:hAnsi="宋体" w:cs="宋体"/>
                <w:bCs/>
                <w:sz w:val="21"/>
                <w:szCs w:val="21"/>
              </w:rPr>
            </w:pPr>
            <w:r>
              <w:rPr>
                <w:rFonts w:hint="eastAsia" w:ascii="宋体" w:hAnsi="宋体" w:cs="宋体"/>
                <w:b/>
                <w:sz w:val="21"/>
                <w:szCs w:val="21"/>
              </w:rPr>
              <w:t>4.作业场所防护设施</w:t>
            </w: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45" w:type="pct"/>
            <w:vAlign w:val="center"/>
          </w:tcPr>
          <w:p>
            <w:pPr>
              <w:spacing w:line="240" w:lineRule="auto"/>
              <w:ind w:firstLine="0" w:firstLineChars="0"/>
              <w:jc w:val="center"/>
              <w:rPr>
                <w:rFonts w:ascii="宋体" w:hAnsi="宋体" w:cs="宋体"/>
                <w:bCs/>
                <w:sz w:val="21"/>
                <w:szCs w:val="21"/>
              </w:rPr>
            </w:pPr>
            <w:r>
              <w:rPr>
                <w:rFonts w:hint="eastAsia" w:ascii="宋体" w:hAnsi="宋体" w:cs="宋体"/>
                <w:bCs/>
                <w:sz w:val="21"/>
                <w:szCs w:val="21"/>
              </w:rPr>
              <w:t>1</w:t>
            </w:r>
          </w:p>
        </w:tc>
        <w:tc>
          <w:tcPr>
            <w:tcW w:w="1156" w:type="pct"/>
            <w:vAlign w:val="center"/>
          </w:tcPr>
          <w:p>
            <w:pPr>
              <w:spacing w:line="240" w:lineRule="auto"/>
              <w:ind w:firstLine="0" w:firstLineChars="0"/>
              <w:jc w:val="center"/>
              <w:rPr>
                <w:rFonts w:ascii="宋体" w:hAnsi="宋体" w:cs="宋体"/>
                <w:bCs/>
                <w:sz w:val="21"/>
                <w:szCs w:val="21"/>
              </w:rPr>
            </w:pPr>
            <w:r>
              <w:rPr>
                <w:rFonts w:hint="eastAsia" w:ascii="宋体" w:hAnsi="宋体" w:cs="宋体"/>
                <w:bCs/>
                <w:sz w:val="21"/>
                <w:szCs w:val="21"/>
              </w:rPr>
              <w:t>防护栏</w:t>
            </w:r>
          </w:p>
        </w:tc>
        <w:tc>
          <w:tcPr>
            <w:tcW w:w="1173" w:type="pct"/>
            <w:vAlign w:val="center"/>
          </w:tcPr>
          <w:p>
            <w:pPr>
              <w:spacing w:line="240" w:lineRule="auto"/>
              <w:ind w:firstLine="0" w:firstLineChars="0"/>
              <w:jc w:val="center"/>
              <w:rPr>
                <w:rFonts w:ascii="宋体" w:hAnsi="宋体" w:cs="宋体"/>
                <w:bCs/>
                <w:sz w:val="21"/>
                <w:szCs w:val="21"/>
              </w:rPr>
            </w:pPr>
            <w:r>
              <w:rPr>
                <w:rFonts w:hint="eastAsia" w:ascii="宋体" w:hAnsi="宋体" w:cs="宋体"/>
                <w:bCs/>
                <w:sz w:val="21"/>
                <w:szCs w:val="21"/>
              </w:rPr>
              <w:t>H≥1.1m</w:t>
            </w:r>
          </w:p>
        </w:tc>
        <w:tc>
          <w:tcPr>
            <w:tcW w:w="1121" w:type="pct"/>
            <w:vAlign w:val="center"/>
          </w:tcPr>
          <w:p>
            <w:pPr>
              <w:spacing w:line="240" w:lineRule="auto"/>
              <w:ind w:firstLine="0" w:firstLineChars="0"/>
              <w:jc w:val="center"/>
              <w:rPr>
                <w:rFonts w:ascii="宋体" w:hAnsi="宋体" w:cs="宋体"/>
                <w:bCs/>
                <w:sz w:val="21"/>
                <w:szCs w:val="21"/>
              </w:rPr>
            </w:pPr>
            <w:r>
              <w:rPr>
                <w:rFonts w:hint="eastAsia" w:ascii="宋体" w:hAnsi="宋体" w:cs="宋体"/>
                <w:bCs/>
                <w:sz w:val="21"/>
                <w:szCs w:val="21"/>
              </w:rPr>
              <w:t>按需</w:t>
            </w:r>
          </w:p>
        </w:tc>
        <w:tc>
          <w:tcPr>
            <w:tcW w:w="1203" w:type="pct"/>
            <w:vAlign w:val="center"/>
          </w:tcPr>
          <w:p>
            <w:pPr>
              <w:spacing w:line="240" w:lineRule="auto"/>
              <w:ind w:firstLine="0" w:firstLineChars="0"/>
              <w:jc w:val="center"/>
              <w:rPr>
                <w:rFonts w:ascii="宋体" w:hAnsi="宋体" w:cs="宋体"/>
                <w:bCs/>
                <w:sz w:val="21"/>
                <w:szCs w:val="21"/>
              </w:rPr>
            </w:pPr>
            <w:r>
              <w:rPr>
                <w:rFonts w:hint="eastAsia" w:ascii="宋体" w:hAnsi="宋体" w:cs="宋体"/>
                <w:bCs/>
                <w:sz w:val="21"/>
                <w:szCs w:val="21"/>
              </w:rPr>
              <w:t>临边作业平台</w:t>
            </w: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45" w:type="pct"/>
            <w:vAlign w:val="center"/>
          </w:tcPr>
          <w:p>
            <w:pPr>
              <w:spacing w:line="240" w:lineRule="auto"/>
              <w:ind w:firstLine="0" w:firstLineChars="0"/>
              <w:jc w:val="center"/>
              <w:rPr>
                <w:rFonts w:ascii="宋体" w:hAnsi="宋体" w:cs="宋体"/>
                <w:bCs/>
                <w:sz w:val="21"/>
                <w:szCs w:val="21"/>
              </w:rPr>
            </w:pPr>
            <w:r>
              <w:rPr>
                <w:rFonts w:hint="eastAsia" w:ascii="宋体" w:hAnsi="宋体" w:cs="宋体"/>
                <w:bCs/>
                <w:sz w:val="21"/>
                <w:szCs w:val="21"/>
              </w:rPr>
              <w:t>2</w:t>
            </w:r>
          </w:p>
        </w:tc>
        <w:tc>
          <w:tcPr>
            <w:tcW w:w="1156" w:type="pct"/>
            <w:vAlign w:val="center"/>
          </w:tcPr>
          <w:p>
            <w:pPr>
              <w:spacing w:line="240" w:lineRule="auto"/>
              <w:ind w:firstLine="0" w:firstLineChars="0"/>
              <w:jc w:val="center"/>
              <w:rPr>
                <w:rFonts w:ascii="宋体" w:hAnsi="宋体" w:cs="宋体"/>
                <w:bCs/>
                <w:sz w:val="21"/>
                <w:szCs w:val="21"/>
              </w:rPr>
            </w:pPr>
            <w:r>
              <w:rPr>
                <w:rFonts w:hint="eastAsia" w:ascii="宋体" w:hAnsi="宋体" w:cs="宋体"/>
                <w:bCs/>
                <w:sz w:val="21"/>
                <w:szCs w:val="21"/>
              </w:rPr>
              <w:t>防灼烫设施</w:t>
            </w:r>
          </w:p>
        </w:tc>
        <w:tc>
          <w:tcPr>
            <w:tcW w:w="1173" w:type="pct"/>
            <w:vAlign w:val="center"/>
          </w:tcPr>
          <w:p>
            <w:pPr>
              <w:spacing w:line="240" w:lineRule="auto"/>
              <w:ind w:firstLine="0" w:firstLineChars="0"/>
              <w:jc w:val="center"/>
              <w:rPr>
                <w:rFonts w:ascii="宋体" w:hAnsi="宋体" w:cs="宋体"/>
                <w:bCs/>
                <w:sz w:val="21"/>
                <w:szCs w:val="21"/>
              </w:rPr>
            </w:pPr>
            <w:r>
              <w:rPr>
                <w:rFonts w:hint="eastAsia" w:ascii="宋体" w:hAnsi="宋体" w:cs="宋体"/>
                <w:bCs/>
                <w:sz w:val="21"/>
                <w:szCs w:val="21"/>
              </w:rPr>
              <w:t>表面温度≤50℃</w:t>
            </w:r>
          </w:p>
        </w:tc>
        <w:tc>
          <w:tcPr>
            <w:tcW w:w="1121" w:type="pct"/>
            <w:vAlign w:val="center"/>
          </w:tcPr>
          <w:p>
            <w:pPr>
              <w:spacing w:line="240" w:lineRule="auto"/>
              <w:ind w:firstLine="0" w:firstLineChars="0"/>
              <w:jc w:val="center"/>
              <w:rPr>
                <w:rFonts w:ascii="宋体" w:hAnsi="宋体" w:cs="宋体"/>
                <w:bCs/>
                <w:sz w:val="21"/>
                <w:szCs w:val="21"/>
              </w:rPr>
            </w:pPr>
            <w:r>
              <w:rPr>
                <w:rFonts w:hint="eastAsia" w:ascii="宋体" w:hAnsi="宋体" w:cs="宋体"/>
                <w:bCs/>
                <w:sz w:val="21"/>
                <w:szCs w:val="21"/>
              </w:rPr>
              <w:t>1套</w:t>
            </w:r>
          </w:p>
        </w:tc>
        <w:tc>
          <w:tcPr>
            <w:tcW w:w="1203" w:type="pct"/>
            <w:vAlign w:val="center"/>
          </w:tcPr>
          <w:p>
            <w:pPr>
              <w:spacing w:line="240" w:lineRule="auto"/>
              <w:ind w:firstLine="0" w:firstLineChars="0"/>
              <w:jc w:val="center"/>
              <w:rPr>
                <w:rFonts w:ascii="宋体" w:hAnsi="宋体" w:cs="宋体"/>
                <w:bCs/>
                <w:sz w:val="21"/>
                <w:szCs w:val="21"/>
              </w:rPr>
            </w:pPr>
            <w:r>
              <w:rPr>
                <w:rFonts w:hint="eastAsia" w:ascii="宋体" w:hAnsi="宋体" w:cs="宋体"/>
                <w:bCs/>
                <w:sz w:val="21"/>
                <w:szCs w:val="21"/>
              </w:rPr>
              <w:t>熔炼炉、浇筑区</w:t>
            </w: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000" w:type="pct"/>
            <w:gridSpan w:val="5"/>
            <w:vAlign w:val="center"/>
          </w:tcPr>
          <w:p>
            <w:pPr>
              <w:spacing w:line="240" w:lineRule="auto"/>
              <w:ind w:firstLine="0" w:firstLineChars="0"/>
              <w:jc w:val="center"/>
              <w:rPr>
                <w:rFonts w:ascii="宋体" w:hAnsi="宋体" w:cs="宋体"/>
                <w:bCs/>
                <w:sz w:val="21"/>
                <w:szCs w:val="21"/>
              </w:rPr>
            </w:pPr>
            <w:r>
              <w:rPr>
                <w:rFonts w:hint="eastAsia" w:ascii="宋体" w:hAnsi="宋体" w:cs="宋体"/>
                <w:b/>
                <w:sz w:val="21"/>
                <w:szCs w:val="21"/>
              </w:rPr>
              <w:t>5.安全警示标志</w:t>
            </w: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45" w:type="pct"/>
            <w:vAlign w:val="center"/>
          </w:tcPr>
          <w:p>
            <w:pPr>
              <w:adjustRightInd w:val="0"/>
              <w:snapToGrid w:val="0"/>
              <w:spacing w:line="360" w:lineRule="atLeast"/>
              <w:ind w:firstLine="0" w:firstLineChars="0"/>
              <w:jc w:val="center"/>
              <w:rPr>
                <w:rFonts w:ascii="宋体" w:hAnsi="宋体" w:cs="宋体"/>
                <w:bCs/>
                <w:sz w:val="21"/>
                <w:szCs w:val="21"/>
              </w:rPr>
            </w:pPr>
            <w:r>
              <w:rPr>
                <w:rFonts w:hint="eastAsia" w:ascii="宋体" w:hAnsi="宋体" w:cs="宋体"/>
                <w:bCs/>
                <w:sz w:val="21"/>
                <w:szCs w:val="21"/>
              </w:rPr>
              <w:t>1</w:t>
            </w:r>
          </w:p>
        </w:tc>
        <w:tc>
          <w:tcPr>
            <w:tcW w:w="1156" w:type="pct"/>
            <w:vAlign w:val="center"/>
          </w:tcPr>
          <w:p>
            <w:pPr>
              <w:adjustRightInd w:val="0"/>
              <w:snapToGrid w:val="0"/>
              <w:spacing w:line="360" w:lineRule="atLeast"/>
              <w:ind w:firstLine="0" w:firstLineChars="0"/>
              <w:jc w:val="center"/>
              <w:rPr>
                <w:rFonts w:ascii="宋体" w:hAnsi="宋体" w:cs="宋体"/>
                <w:bCs/>
                <w:sz w:val="21"/>
                <w:szCs w:val="21"/>
              </w:rPr>
            </w:pPr>
            <w:r>
              <w:rPr>
                <w:rFonts w:ascii="宋体" w:hAnsi="宋体" w:cs="宋体"/>
                <w:bCs/>
                <w:sz w:val="21"/>
                <w:szCs w:val="21"/>
              </w:rPr>
              <w:t>标识牌</w:t>
            </w:r>
          </w:p>
        </w:tc>
        <w:tc>
          <w:tcPr>
            <w:tcW w:w="1173" w:type="pct"/>
            <w:vAlign w:val="center"/>
          </w:tcPr>
          <w:p>
            <w:pPr>
              <w:adjustRightInd w:val="0"/>
              <w:snapToGrid w:val="0"/>
              <w:spacing w:line="360" w:lineRule="atLeast"/>
              <w:ind w:firstLine="0" w:firstLineChars="0"/>
              <w:jc w:val="center"/>
              <w:rPr>
                <w:rFonts w:ascii="宋体" w:hAnsi="宋体" w:cs="宋体"/>
                <w:bCs/>
                <w:sz w:val="21"/>
                <w:szCs w:val="21"/>
              </w:rPr>
            </w:pPr>
            <w:r>
              <w:rPr>
                <w:rFonts w:ascii="宋体" w:hAnsi="宋体" w:cs="宋体"/>
                <w:bCs/>
                <w:sz w:val="21"/>
                <w:szCs w:val="21"/>
              </w:rPr>
              <w:t>标识牌</w:t>
            </w:r>
          </w:p>
        </w:tc>
        <w:tc>
          <w:tcPr>
            <w:tcW w:w="1121" w:type="pct"/>
            <w:vAlign w:val="center"/>
          </w:tcPr>
          <w:p>
            <w:pPr>
              <w:adjustRightInd w:val="0"/>
              <w:snapToGrid w:val="0"/>
              <w:spacing w:line="360" w:lineRule="atLeast"/>
              <w:ind w:firstLine="0" w:firstLineChars="0"/>
              <w:jc w:val="center"/>
              <w:rPr>
                <w:rFonts w:ascii="宋体" w:hAnsi="宋体" w:cs="宋体"/>
                <w:bCs/>
                <w:sz w:val="21"/>
                <w:szCs w:val="21"/>
              </w:rPr>
            </w:pPr>
            <w:r>
              <w:rPr>
                <w:rFonts w:hint="eastAsia" w:ascii="宋体" w:hAnsi="宋体" w:cs="宋体"/>
                <w:bCs/>
                <w:sz w:val="21"/>
                <w:szCs w:val="21"/>
              </w:rPr>
              <w:t>30</w:t>
            </w:r>
            <w:r>
              <w:rPr>
                <w:rFonts w:ascii="宋体" w:hAnsi="宋体" w:cs="宋体"/>
                <w:bCs/>
                <w:sz w:val="21"/>
                <w:szCs w:val="21"/>
              </w:rPr>
              <w:t>套</w:t>
            </w:r>
          </w:p>
        </w:tc>
        <w:tc>
          <w:tcPr>
            <w:tcW w:w="1203" w:type="pct"/>
            <w:vAlign w:val="center"/>
          </w:tcPr>
          <w:p>
            <w:pPr>
              <w:adjustRightInd w:val="0"/>
              <w:snapToGrid w:val="0"/>
              <w:spacing w:line="360" w:lineRule="atLeast"/>
              <w:ind w:firstLine="0" w:firstLineChars="0"/>
              <w:jc w:val="center"/>
              <w:rPr>
                <w:rFonts w:ascii="宋体" w:hAnsi="宋体" w:cs="宋体"/>
                <w:bCs/>
                <w:sz w:val="21"/>
                <w:szCs w:val="21"/>
              </w:rPr>
            </w:pPr>
            <w:r>
              <w:rPr>
                <w:rFonts w:ascii="宋体" w:hAnsi="宋体" w:cs="宋体"/>
                <w:bCs/>
                <w:sz w:val="21"/>
                <w:szCs w:val="21"/>
              </w:rPr>
              <w:t>设备</w:t>
            </w:r>
            <w:r>
              <w:rPr>
                <w:rFonts w:hint="eastAsia" w:ascii="宋体" w:hAnsi="宋体" w:cs="宋体"/>
                <w:bCs/>
                <w:sz w:val="21"/>
                <w:szCs w:val="21"/>
              </w:rPr>
              <w:t>、</w:t>
            </w:r>
            <w:r>
              <w:rPr>
                <w:rFonts w:ascii="宋体" w:hAnsi="宋体" w:cs="宋体"/>
                <w:bCs/>
                <w:sz w:val="21"/>
                <w:szCs w:val="21"/>
              </w:rPr>
              <w:t>安全通道指引</w:t>
            </w: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000" w:type="pct"/>
            <w:gridSpan w:val="5"/>
            <w:vAlign w:val="center"/>
          </w:tcPr>
          <w:p>
            <w:pPr>
              <w:adjustRightInd w:val="0"/>
              <w:snapToGrid w:val="0"/>
              <w:spacing w:line="360" w:lineRule="atLeast"/>
              <w:ind w:firstLine="0" w:firstLineChars="0"/>
              <w:jc w:val="center"/>
              <w:rPr>
                <w:rFonts w:ascii="宋体" w:hAnsi="宋体" w:cs="宋体"/>
                <w:bCs/>
                <w:sz w:val="21"/>
                <w:szCs w:val="21"/>
              </w:rPr>
            </w:pPr>
            <w:r>
              <w:rPr>
                <w:rFonts w:hint="eastAsia" w:ascii="宋体" w:hAnsi="宋体" w:cs="宋体"/>
                <w:b/>
                <w:sz w:val="21"/>
                <w:szCs w:val="21"/>
              </w:rPr>
              <w:t>二、</w:t>
            </w:r>
            <w:r>
              <w:rPr>
                <w:rFonts w:ascii="宋体" w:hAnsi="宋体" w:cs="宋体"/>
                <w:b/>
                <w:sz w:val="21"/>
                <w:szCs w:val="21"/>
              </w:rPr>
              <w:t>控制事故设施</w:t>
            </w: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000" w:type="pct"/>
            <w:gridSpan w:val="5"/>
            <w:vAlign w:val="center"/>
          </w:tcPr>
          <w:p>
            <w:pPr>
              <w:spacing w:line="240" w:lineRule="auto"/>
              <w:ind w:firstLine="0" w:firstLineChars="0"/>
              <w:jc w:val="center"/>
              <w:rPr>
                <w:rFonts w:ascii="宋体" w:hAnsi="宋体" w:cs="宋体"/>
                <w:bCs/>
                <w:sz w:val="21"/>
                <w:szCs w:val="21"/>
              </w:rPr>
            </w:pPr>
            <w:r>
              <w:rPr>
                <w:rFonts w:hint="eastAsia" w:ascii="宋体" w:hAnsi="宋体" w:cs="宋体"/>
                <w:b/>
                <w:sz w:val="21"/>
                <w:szCs w:val="21"/>
              </w:rPr>
              <w:t>6.泄压和止逆设施</w:t>
            </w: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45" w:type="pct"/>
            <w:tcBorders>
              <w:right w:val="single" w:color="auto" w:sz="4" w:space="0"/>
            </w:tcBorders>
            <w:vAlign w:val="center"/>
          </w:tcPr>
          <w:p>
            <w:pPr>
              <w:spacing w:line="240" w:lineRule="auto"/>
              <w:ind w:firstLine="0" w:firstLineChars="0"/>
              <w:jc w:val="center"/>
              <w:rPr>
                <w:rFonts w:ascii="宋体" w:hAnsi="宋体" w:cs="宋体"/>
                <w:bCs/>
                <w:sz w:val="21"/>
                <w:szCs w:val="21"/>
              </w:rPr>
            </w:pPr>
            <w:r>
              <w:rPr>
                <w:rFonts w:hint="eastAsia" w:ascii="宋体" w:hAnsi="宋体" w:cs="宋体"/>
                <w:bCs/>
                <w:sz w:val="21"/>
                <w:szCs w:val="21"/>
              </w:rPr>
              <w:t>1</w:t>
            </w:r>
          </w:p>
        </w:tc>
        <w:tc>
          <w:tcPr>
            <w:tcW w:w="1156" w:type="pct"/>
            <w:tcBorders>
              <w:left w:val="single" w:color="auto" w:sz="4" w:space="0"/>
              <w:right w:val="single" w:color="auto" w:sz="4" w:space="0"/>
            </w:tcBorders>
            <w:vAlign w:val="center"/>
          </w:tcPr>
          <w:p>
            <w:pPr>
              <w:spacing w:line="240" w:lineRule="auto"/>
              <w:ind w:firstLine="0" w:firstLineChars="0"/>
              <w:jc w:val="center"/>
              <w:rPr>
                <w:rFonts w:ascii="宋体" w:hAnsi="宋体" w:cs="宋体"/>
                <w:bCs/>
                <w:sz w:val="21"/>
                <w:szCs w:val="21"/>
              </w:rPr>
            </w:pPr>
            <w:r>
              <w:rPr>
                <w:rFonts w:hint="eastAsia" w:ascii="宋体" w:hAnsi="宋体" w:cs="宋体"/>
                <w:bCs/>
                <w:sz w:val="21"/>
                <w:szCs w:val="21"/>
              </w:rPr>
              <w:t>轻质泄压墙体/屋面</w:t>
            </w:r>
          </w:p>
        </w:tc>
        <w:tc>
          <w:tcPr>
            <w:tcW w:w="1173" w:type="pct"/>
            <w:tcBorders>
              <w:left w:val="single" w:color="auto" w:sz="4" w:space="0"/>
              <w:right w:val="single" w:color="auto" w:sz="4" w:space="0"/>
            </w:tcBorders>
            <w:vAlign w:val="center"/>
          </w:tcPr>
          <w:p>
            <w:pPr>
              <w:spacing w:line="240" w:lineRule="auto"/>
              <w:ind w:firstLine="0" w:firstLineChars="0"/>
              <w:jc w:val="center"/>
              <w:rPr>
                <w:rFonts w:ascii="宋体" w:hAnsi="宋体" w:cs="宋体"/>
                <w:bCs/>
                <w:sz w:val="21"/>
                <w:szCs w:val="21"/>
              </w:rPr>
            </w:pPr>
            <w:r>
              <w:rPr>
                <w:rFonts w:hint="eastAsia" w:ascii="宋体" w:hAnsi="宋体" w:cs="宋体"/>
                <w:bCs/>
                <w:sz w:val="21"/>
                <w:szCs w:val="21"/>
              </w:rPr>
              <w:t>轻质墙体/屋面</w:t>
            </w:r>
          </w:p>
        </w:tc>
        <w:tc>
          <w:tcPr>
            <w:tcW w:w="1121" w:type="pct"/>
            <w:tcBorders>
              <w:left w:val="single" w:color="auto" w:sz="4" w:space="0"/>
              <w:right w:val="single" w:color="auto" w:sz="4" w:space="0"/>
            </w:tcBorders>
            <w:vAlign w:val="center"/>
          </w:tcPr>
          <w:p>
            <w:pPr>
              <w:spacing w:line="240" w:lineRule="auto"/>
              <w:ind w:firstLine="0" w:firstLineChars="0"/>
              <w:jc w:val="center"/>
              <w:rPr>
                <w:rFonts w:ascii="宋体" w:hAnsi="宋体" w:cs="宋体"/>
                <w:bCs/>
                <w:sz w:val="21"/>
                <w:szCs w:val="21"/>
              </w:rPr>
            </w:pPr>
          </w:p>
        </w:tc>
        <w:tc>
          <w:tcPr>
            <w:tcW w:w="1203" w:type="pct"/>
            <w:tcBorders>
              <w:left w:val="single" w:color="auto" w:sz="4" w:space="0"/>
            </w:tcBorders>
            <w:vAlign w:val="center"/>
          </w:tcPr>
          <w:p>
            <w:pPr>
              <w:spacing w:line="240" w:lineRule="auto"/>
              <w:ind w:firstLine="0" w:firstLineChars="0"/>
              <w:jc w:val="center"/>
              <w:rPr>
                <w:rFonts w:ascii="宋体" w:hAnsi="宋体" w:cs="宋体"/>
                <w:bCs/>
                <w:sz w:val="21"/>
                <w:szCs w:val="21"/>
              </w:rPr>
            </w:pPr>
            <w:r>
              <w:rPr>
                <w:rFonts w:hint="eastAsia" w:ascii="宋体" w:hAnsi="宋体" w:cs="宋体"/>
                <w:bCs/>
                <w:sz w:val="21"/>
                <w:szCs w:val="21"/>
              </w:rPr>
              <w:t>厂房</w:t>
            </w: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45" w:type="pct"/>
            <w:tcBorders>
              <w:right w:val="single" w:color="auto" w:sz="4" w:space="0"/>
            </w:tcBorders>
            <w:vAlign w:val="center"/>
          </w:tcPr>
          <w:p>
            <w:pPr>
              <w:spacing w:line="240" w:lineRule="auto"/>
              <w:ind w:firstLine="0" w:firstLineChars="0"/>
              <w:jc w:val="center"/>
              <w:rPr>
                <w:rFonts w:ascii="宋体" w:hAnsi="宋体" w:cs="宋体"/>
                <w:bCs/>
                <w:sz w:val="21"/>
                <w:szCs w:val="21"/>
              </w:rPr>
            </w:pPr>
            <w:r>
              <w:rPr>
                <w:rFonts w:hint="eastAsia" w:ascii="宋体" w:hAnsi="宋体" w:cs="宋体"/>
                <w:bCs/>
                <w:sz w:val="21"/>
                <w:szCs w:val="21"/>
              </w:rPr>
              <w:t>2</w:t>
            </w:r>
          </w:p>
        </w:tc>
        <w:tc>
          <w:tcPr>
            <w:tcW w:w="1156" w:type="pct"/>
            <w:tcBorders>
              <w:left w:val="single" w:color="auto" w:sz="4" w:space="0"/>
              <w:right w:val="single" w:color="auto" w:sz="4" w:space="0"/>
            </w:tcBorders>
            <w:vAlign w:val="center"/>
          </w:tcPr>
          <w:p>
            <w:pPr>
              <w:spacing w:line="240" w:lineRule="auto"/>
              <w:ind w:firstLine="0" w:firstLineChars="0"/>
              <w:jc w:val="center"/>
              <w:rPr>
                <w:rFonts w:ascii="宋体" w:hAnsi="宋体" w:cs="宋体"/>
                <w:bCs/>
                <w:sz w:val="21"/>
                <w:szCs w:val="21"/>
              </w:rPr>
            </w:pPr>
            <w:r>
              <w:rPr>
                <w:rFonts w:hint="eastAsia" w:ascii="宋体" w:hAnsi="宋体" w:cs="宋体"/>
                <w:bCs/>
                <w:sz w:val="21"/>
                <w:szCs w:val="21"/>
              </w:rPr>
              <w:t>安全阀</w:t>
            </w:r>
          </w:p>
        </w:tc>
        <w:tc>
          <w:tcPr>
            <w:tcW w:w="1173" w:type="pct"/>
            <w:tcBorders>
              <w:left w:val="single" w:color="auto" w:sz="4" w:space="0"/>
              <w:right w:val="single" w:color="auto" w:sz="4" w:space="0"/>
            </w:tcBorders>
            <w:vAlign w:val="center"/>
          </w:tcPr>
          <w:p>
            <w:pPr>
              <w:spacing w:line="240" w:lineRule="auto"/>
              <w:ind w:firstLine="0" w:firstLineChars="0"/>
              <w:jc w:val="center"/>
              <w:rPr>
                <w:rFonts w:ascii="宋体" w:hAnsi="宋体" w:cs="宋体"/>
                <w:bCs/>
                <w:sz w:val="21"/>
                <w:szCs w:val="21"/>
              </w:rPr>
            </w:pPr>
          </w:p>
        </w:tc>
        <w:tc>
          <w:tcPr>
            <w:tcW w:w="1121" w:type="pct"/>
            <w:tcBorders>
              <w:left w:val="single" w:color="auto" w:sz="4" w:space="0"/>
              <w:right w:val="single" w:color="auto" w:sz="4" w:space="0"/>
            </w:tcBorders>
            <w:vAlign w:val="center"/>
          </w:tcPr>
          <w:p>
            <w:pPr>
              <w:spacing w:line="240" w:lineRule="auto"/>
              <w:ind w:firstLine="0" w:firstLineChars="0"/>
              <w:jc w:val="center"/>
              <w:rPr>
                <w:rFonts w:ascii="宋体" w:hAnsi="宋体" w:cs="宋体"/>
                <w:bCs/>
                <w:sz w:val="21"/>
                <w:szCs w:val="21"/>
              </w:rPr>
            </w:pPr>
            <w:r>
              <w:rPr>
                <w:rFonts w:hint="eastAsia" w:ascii="宋体" w:hAnsi="宋体" w:cs="宋体"/>
                <w:sz w:val="21"/>
                <w:szCs w:val="21"/>
              </w:rPr>
              <w:t>3</w:t>
            </w:r>
          </w:p>
        </w:tc>
        <w:tc>
          <w:tcPr>
            <w:tcW w:w="1203" w:type="pct"/>
            <w:tcBorders>
              <w:left w:val="single" w:color="auto" w:sz="4" w:space="0"/>
            </w:tcBorders>
            <w:vAlign w:val="center"/>
          </w:tcPr>
          <w:p>
            <w:pPr>
              <w:spacing w:line="240" w:lineRule="auto"/>
              <w:ind w:firstLine="0" w:firstLineChars="0"/>
              <w:jc w:val="center"/>
              <w:rPr>
                <w:rFonts w:ascii="宋体" w:hAnsi="宋体" w:cs="宋体"/>
                <w:bCs/>
                <w:sz w:val="21"/>
                <w:szCs w:val="21"/>
              </w:rPr>
            </w:pPr>
            <w:r>
              <w:rPr>
                <w:rFonts w:hint="eastAsia" w:ascii="宋体" w:hAnsi="宋体" w:cs="Times New Roman"/>
                <w:sz w:val="21"/>
                <w:szCs w:val="21"/>
              </w:rPr>
              <w:t>空气储罐</w:t>
            </w: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000" w:type="pct"/>
            <w:gridSpan w:val="5"/>
            <w:vAlign w:val="center"/>
          </w:tcPr>
          <w:p>
            <w:pPr>
              <w:spacing w:line="240" w:lineRule="auto"/>
              <w:ind w:firstLine="0" w:firstLineChars="0"/>
              <w:jc w:val="center"/>
              <w:rPr>
                <w:rFonts w:ascii="宋体" w:hAnsi="宋体" w:cs="宋体"/>
                <w:bCs/>
                <w:sz w:val="21"/>
                <w:szCs w:val="21"/>
              </w:rPr>
            </w:pPr>
            <w:r>
              <w:rPr>
                <w:rFonts w:hint="eastAsia" w:ascii="宋体" w:hAnsi="宋体" w:cs="宋体"/>
                <w:b/>
                <w:sz w:val="21"/>
                <w:szCs w:val="21"/>
              </w:rPr>
              <w:t>7.紧急处理设施</w:t>
            </w: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45" w:type="pct"/>
            <w:vAlign w:val="center"/>
          </w:tcPr>
          <w:p>
            <w:pPr>
              <w:spacing w:line="240" w:lineRule="auto"/>
              <w:ind w:firstLine="0" w:firstLineChars="0"/>
              <w:jc w:val="center"/>
              <w:rPr>
                <w:rFonts w:ascii="宋体" w:hAnsi="宋体" w:cs="宋体"/>
                <w:b/>
                <w:sz w:val="21"/>
                <w:szCs w:val="21"/>
              </w:rPr>
            </w:pPr>
            <w:r>
              <w:rPr>
                <w:rFonts w:hint="eastAsia" w:ascii="宋体" w:hAnsi="宋体" w:cs="宋体"/>
                <w:bCs/>
                <w:sz w:val="21"/>
                <w:szCs w:val="21"/>
              </w:rPr>
              <w:t>1</w:t>
            </w:r>
          </w:p>
        </w:tc>
        <w:tc>
          <w:tcPr>
            <w:tcW w:w="1156" w:type="pct"/>
            <w:vAlign w:val="center"/>
          </w:tcPr>
          <w:p>
            <w:pPr>
              <w:spacing w:line="240" w:lineRule="auto"/>
              <w:ind w:firstLine="0" w:firstLineChars="0"/>
              <w:jc w:val="center"/>
              <w:rPr>
                <w:rFonts w:ascii="宋体" w:hAnsi="宋体" w:cs="宋体"/>
                <w:bCs/>
                <w:sz w:val="21"/>
                <w:szCs w:val="21"/>
              </w:rPr>
            </w:pPr>
            <w:r>
              <w:rPr>
                <w:rFonts w:ascii="宋体" w:hAnsi="宋体" w:cs="宋体"/>
                <w:bCs/>
                <w:sz w:val="21"/>
                <w:szCs w:val="21"/>
              </w:rPr>
              <w:t>紧急备用电源</w:t>
            </w:r>
          </w:p>
        </w:tc>
        <w:tc>
          <w:tcPr>
            <w:tcW w:w="1173" w:type="pct"/>
            <w:vAlign w:val="center"/>
          </w:tcPr>
          <w:p>
            <w:pPr>
              <w:spacing w:line="240" w:lineRule="auto"/>
              <w:ind w:firstLine="0" w:firstLineChars="0"/>
              <w:jc w:val="center"/>
              <w:rPr>
                <w:rFonts w:ascii="宋体" w:hAnsi="宋体" w:cs="宋体"/>
                <w:bCs/>
                <w:sz w:val="21"/>
                <w:szCs w:val="21"/>
              </w:rPr>
            </w:pPr>
            <w:r>
              <w:rPr>
                <w:rFonts w:hint="eastAsia" w:ascii="宋体" w:hAnsi="宋体" w:cs="宋体"/>
                <w:bCs/>
                <w:sz w:val="21"/>
                <w:szCs w:val="21"/>
              </w:rPr>
              <w:t>轻质墙体/屋面</w:t>
            </w:r>
          </w:p>
        </w:tc>
        <w:tc>
          <w:tcPr>
            <w:tcW w:w="1121" w:type="pct"/>
            <w:vAlign w:val="center"/>
          </w:tcPr>
          <w:p>
            <w:pPr>
              <w:spacing w:line="240" w:lineRule="auto"/>
              <w:ind w:firstLine="0" w:firstLineChars="0"/>
              <w:jc w:val="center"/>
              <w:rPr>
                <w:rFonts w:ascii="宋体" w:hAnsi="宋体" w:cs="宋体"/>
                <w:b/>
                <w:sz w:val="21"/>
                <w:szCs w:val="21"/>
              </w:rPr>
            </w:pPr>
          </w:p>
        </w:tc>
        <w:tc>
          <w:tcPr>
            <w:tcW w:w="1203" w:type="pct"/>
            <w:vAlign w:val="center"/>
          </w:tcPr>
          <w:p>
            <w:pPr>
              <w:spacing w:line="240" w:lineRule="auto"/>
              <w:ind w:firstLine="0" w:firstLineChars="0"/>
              <w:jc w:val="center"/>
              <w:rPr>
                <w:rFonts w:ascii="宋体" w:hAnsi="宋体" w:cs="宋体"/>
                <w:b/>
                <w:sz w:val="21"/>
                <w:szCs w:val="21"/>
              </w:rPr>
            </w:pPr>
            <w:r>
              <w:rPr>
                <w:rFonts w:hint="eastAsia" w:ascii="宋体" w:hAnsi="宋体" w:cs="宋体"/>
                <w:bCs/>
                <w:sz w:val="21"/>
                <w:szCs w:val="21"/>
              </w:rPr>
              <w:t>厂房</w:t>
            </w: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79" w:hRule="atLeast"/>
          <w:jc w:val="center"/>
        </w:trPr>
        <w:tc>
          <w:tcPr>
            <w:tcW w:w="5000" w:type="pct"/>
            <w:gridSpan w:val="5"/>
            <w:vAlign w:val="center"/>
          </w:tcPr>
          <w:p>
            <w:pPr>
              <w:pStyle w:val="27"/>
              <w:widowControl/>
              <w:shd w:val="clear" w:color="auto" w:fill="FFFFFF"/>
              <w:spacing w:before="0" w:beforeAutospacing="0" w:after="0" w:afterAutospacing="0" w:line="579" w:lineRule="exact"/>
              <w:ind w:firstLine="0" w:firstLineChars="0"/>
              <w:jc w:val="center"/>
              <w:rPr>
                <w:rFonts w:ascii="宋体" w:hAnsi="宋体" w:cs="宋体"/>
                <w:b/>
                <w:sz w:val="21"/>
                <w:szCs w:val="21"/>
              </w:rPr>
            </w:pPr>
            <w:r>
              <w:rPr>
                <w:rFonts w:ascii="宋体" w:hAnsi="宋体" w:cs="宋体"/>
                <w:b/>
                <w:kern w:val="2"/>
                <w:sz w:val="21"/>
                <w:szCs w:val="21"/>
              </w:rPr>
              <w:t>三、减少与消除事故影响设施</w:t>
            </w: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000" w:type="pct"/>
            <w:gridSpan w:val="5"/>
            <w:vAlign w:val="center"/>
          </w:tcPr>
          <w:p>
            <w:pPr>
              <w:spacing w:line="240" w:lineRule="auto"/>
              <w:ind w:firstLine="0" w:firstLineChars="0"/>
              <w:jc w:val="center"/>
              <w:rPr>
                <w:rFonts w:ascii="宋体" w:hAnsi="宋体" w:cs="宋体"/>
                <w:bCs/>
                <w:sz w:val="21"/>
                <w:szCs w:val="21"/>
              </w:rPr>
            </w:pPr>
            <w:r>
              <w:rPr>
                <w:rFonts w:hint="eastAsia" w:ascii="宋体" w:hAnsi="宋体" w:cs="宋体"/>
                <w:b/>
                <w:sz w:val="21"/>
                <w:szCs w:val="21"/>
              </w:rPr>
              <w:t>8.防止火灾蔓延设施</w:t>
            </w: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45" w:type="pct"/>
            <w:vAlign w:val="center"/>
          </w:tcPr>
          <w:p>
            <w:pPr>
              <w:adjustRightInd w:val="0"/>
              <w:snapToGrid w:val="0"/>
              <w:spacing w:line="360" w:lineRule="atLeast"/>
              <w:ind w:firstLine="0" w:firstLineChars="0"/>
              <w:jc w:val="center"/>
              <w:rPr>
                <w:rFonts w:cs="Times New Roman"/>
                <w:kern w:val="0"/>
                <w:sz w:val="21"/>
                <w:szCs w:val="21"/>
              </w:rPr>
            </w:pPr>
            <w:r>
              <w:rPr>
                <w:rFonts w:hint="eastAsia" w:cs="Times New Roman"/>
                <w:kern w:val="0"/>
                <w:sz w:val="21"/>
                <w:szCs w:val="21"/>
              </w:rPr>
              <w:t>1</w:t>
            </w:r>
          </w:p>
        </w:tc>
        <w:tc>
          <w:tcPr>
            <w:tcW w:w="1156" w:type="pct"/>
            <w:vAlign w:val="center"/>
          </w:tcPr>
          <w:p>
            <w:pPr>
              <w:adjustRightInd w:val="0"/>
              <w:snapToGrid w:val="0"/>
              <w:spacing w:line="360" w:lineRule="atLeast"/>
              <w:ind w:firstLine="0" w:firstLineChars="0"/>
              <w:jc w:val="center"/>
              <w:rPr>
                <w:rFonts w:cs="Times New Roman"/>
                <w:kern w:val="0"/>
                <w:sz w:val="21"/>
                <w:szCs w:val="21"/>
              </w:rPr>
            </w:pPr>
            <w:r>
              <w:rPr>
                <w:rFonts w:hint="eastAsia" w:cs="Times New Roman"/>
                <w:kern w:val="0"/>
                <w:sz w:val="21"/>
                <w:szCs w:val="21"/>
              </w:rPr>
              <w:t>防火墙</w:t>
            </w:r>
          </w:p>
        </w:tc>
        <w:tc>
          <w:tcPr>
            <w:tcW w:w="1173" w:type="pct"/>
            <w:vAlign w:val="center"/>
          </w:tcPr>
          <w:p>
            <w:pPr>
              <w:adjustRightInd w:val="0"/>
              <w:snapToGrid w:val="0"/>
              <w:spacing w:line="360" w:lineRule="atLeast"/>
              <w:ind w:firstLine="0" w:firstLineChars="0"/>
              <w:jc w:val="center"/>
              <w:rPr>
                <w:rFonts w:cs="Times New Roman"/>
                <w:kern w:val="0"/>
                <w:sz w:val="21"/>
                <w:szCs w:val="21"/>
              </w:rPr>
            </w:pPr>
            <w:r>
              <w:rPr>
                <w:rFonts w:hint="eastAsia" w:cs="Times New Roman"/>
                <w:kern w:val="0"/>
                <w:sz w:val="21"/>
                <w:szCs w:val="21"/>
              </w:rPr>
              <w:t>耐火2.0h</w:t>
            </w:r>
          </w:p>
        </w:tc>
        <w:tc>
          <w:tcPr>
            <w:tcW w:w="1121" w:type="pct"/>
            <w:vAlign w:val="center"/>
          </w:tcPr>
          <w:p>
            <w:pPr>
              <w:adjustRightInd w:val="0"/>
              <w:snapToGrid w:val="0"/>
              <w:spacing w:line="360" w:lineRule="atLeast"/>
              <w:ind w:firstLine="0" w:firstLineChars="0"/>
              <w:jc w:val="center"/>
              <w:rPr>
                <w:rFonts w:cs="Times New Roman"/>
                <w:kern w:val="0"/>
                <w:sz w:val="21"/>
                <w:szCs w:val="21"/>
              </w:rPr>
            </w:pPr>
            <w:r>
              <w:rPr>
                <w:rFonts w:hint="eastAsia" w:cs="Times New Roman"/>
                <w:kern w:val="0"/>
                <w:sz w:val="21"/>
                <w:szCs w:val="21"/>
              </w:rPr>
              <w:t>2处</w:t>
            </w:r>
          </w:p>
        </w:tc>
        <w:tc>
          <w:tcPr>
            <w:tcW w:w="1203" w:type="pct"/>
            <w:vAlign w:val="center"/>
          </w:tcPr>
          <w:p>
            <w:pPr>
              <w:adjustRightInd w:val="0"/>
              <w:snapToGrid w:val="0"/>
              <w:spacing w:line="360" w:lineRule="atLeast"/>
              <w:ind w:firstLine="0" w:firstLineChars="0"/>
              <w:jc w:val="center"/>
              <w:rPr>
                <w:rFonts w:cs="Times New Roman"/>
                <w:kern w:val="0"/>
                <w:sz w:val="21"/>
                <w:szCs w:val="21"/>
              </w:rPr>
            </w:pPr>
            <w:r>
              <w:rPr>
                <w:rFonts w:hint="eastAsia" w:cs="Times New Roman"/>
                <w:kern w:val="0"/>
                <w:sz w:val="21"/>
                <w:szCs w:val="21"/>
              </w:rPr>
              <w:t>仓库</w:t>
            </w: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45" w:type="pct"/>
            <w:vAlign w:val="center"/>
          </w:tcPr>
          <w:p>
            <w:pPr>
              <w:adjustRightInd w:val="0"/>
              <w:snapToGrid w:val="0"/>
              <w:spacing w:line="360" w:lineRule="atLeast"/>
              <w:ind w:firstLine="0" w:firstLineChars="0"/>
              <w:jc w:val="center"/>
              <w:rPr>
                <w:rFonts w:cs="Times New Roman"/>
                <w:kern w:val="0"/>
                <w:sz w:val="21"/>
                <w:szCs w:val="21"/>
              </w:rPr>
            </w:pPr>
            <w:r>
              <w:rPr>
                <w:rFonts w:hint="eastAsia" w:cs="Times New Roman"/>
                <w:kern w:val="0"/>
                <w:sz w:val="21"/>
                <w:szCs w:val="21"/>
              </w:rPr>
              <w:t>2</w:t>
            </w:r>
          </w:p>
        </w:tc>
        <w:tc>
          <w:tcPr>
            <w:tcW w:w="1156" w:type="pct"/>
            <w:vAlign w:val="center"/>
          </w:tcPr>
          <w:p>
            <w:pPr>
              <w:adjustRightInd w:val="0"/>
              <w:snapToGrid w:val="0"/>
              <w:spacing w:line="360" w:lineRule="atLeast"/>
              <w:ind w:firstLine="0" w:firstLineChars="0"/>
              <w:jc w:val="center"/>
              <w:rPr>
                <w:rFonts w:cs="Times New Roman"/>
                <w:kern w:val="0"/>
                <w:sz w:val="21"/>
                <w:szCs w:val="21"/>
              </w:rPr>
            </w:pPr>
            <w:r>
              <w:rPr>
                <w:rFonts w:hint="eastAsia" w:cs="Times New Roman"/>
                <w:kern w:val="0"/>
                <w:sz w:val="21"/>
                <w:szCs w:val="21"/>
              </w:rPr>
              <w:t>封闭楼梯间</w:t>
            </w:r>
          </w:p>
        </w:tc>
        <w:tc>
          <w:tcPr>
            <w:tcW w:w="1173" w:type="pct"/>
            <w:vAlign w:val="center"/>
          </w:tcPr>
          <w:p>
            <w:pPr>
              <w:adjustRightInd w:val="0"/>
              <w:snapToGrid w:val="0"/>
              <w:spacing w:line="360" w:lineRule="atLeast"/>
              <w:ind w:firstLine="0" w:firstLineChars="0"/>
              <w:jc w:val="center"/>
              <w:rPr>
                <w:rFonts w:cs="Times New Roman"/>
                <w:kern w:val="0"/>
                <w:sz w:val="21"/>
                <w:szCs w:val="21"/>
              </w:rPr>
            </w:pPr>
          </w:p>
        </w:tc>
        <w:tc>
          <w:tcPr>
            <w:tcW w:w="1121" w:type="pct"/>
            <w:vAlign w:val="center"/>
          </w:tcPr>
          <w:p>
            <w:pPr>
              <w:adjustRightInd w:val="0"/>
              <w:snapToGrid w:val="0"/>
              <w:spacing w:line="360" w:lineRule="atLeast"/>
              <w:ind w:firstLine="0" w:firstLineChars="0"/>
              <w:jc w:val="center"/>
              <w:rPr>
                <w:rFonts w:cs="Times New Roman"/>
                <w:kern w:val="0"/>
                <w:sz w:val="21"/>
                <w:szCs w:val="21"/>
              </w:rPr>
            </w:pPr>
            <w:r>
              <w:rPr>
                <w:rFonts w:hint="eastAsia" w:cs="Times New Roman"/>
                <w:kern w:val="0"/>
                <w:sz w:val="21"/>
                <w:szCs w:val="21"/>
              </w:rPr>
              <w:t>1处</w:t>
            </w:r>
          </w:p>
        </w:tc>
        <w:tc>
          <w:tcPr>
            <w:tcW w:w="1203" w:type="pct"/>
            <w:vAlign w:val="center"/>
          </w:tcPr>
          <w:p>
            <w:pPr>
              <w:adjustRightInd w:val="0"/>
              <w:snapToGrid w:val="0"/>
              <w:spacing w:line="360" w:lineRule="atLeast"/>
              <w:ind w:firstLine="0" w:firstLineChars="0"/>
              <w:jc w:val="center"/>
              <w:rPr>
                <w:rFonts w:cs="Times New Roman"/>
                <w:kern w:val="0"/>
                <w:sz w:val="21"/>
                <w:szCs w:val="21"/>
              </w:rPr>
            </w:pPr>
            <w:r>
              <w:rPr>
                <w:rFonts w:hint="eastAsia" w:cs="Times New Roman"/>
                <w:kern w:val="0"/>
                <w:sz w:val="21"/>
                <w:szCs w:val="21"/>
              </w:rPr>
              <w:t>办公楼</w:t>
            </w: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45" w:type="pct"/>
            <w:vAlign w:val="center"/>
          </w:tcPr>
          <w:p>
            <w:pPr>
              <w:adjustRightInd w:val="0"/>
              <w:snapToGrid w:val="0"/>
              <w:spacing w:line="360" w:lineRule="atLeast"/>
              <w:ind w:firstLine="0" w:firstLineChars="0"/>
              <w:jc w:val="center"/>
              <w:rPr>
                <w:rFonts w:cs="Times New Roman"/>
                <w:kern w:val="0"/>
                <w:sz w:val="21"/>
                <w:szCs w:val="21"/>
              </w:rPr>
            </w:pPr>
            <w:r>
              <w:rPr>
                <w:rFonts w:hint="eastAsia" w:cs="Times New Roman"/>
                <w:kern w:val="0"/>
                <w:sz w:val="21"/>
                <w:szCs w:val="21"/>
              </w:rPr>
              <w:t>3</w:t>
            </w:r>
          </w:p>
        </w:tc>
        <w:tc>
          <w:tcPr>
            <w:tcW w:w="1156" w:type="pct"/>
            <w:vAlign w:val="center"/>
          </w:tcPr>
          <w:p>
            <w:pPr>
              <w:adjustRightInd w:val="0"/>
              <w:snapToGrid w:val="0"/>
              <w:spacing w:line="360" w:lineRule="atLeast"/>
              <w:ind w:firstLine="0" w:firstLineChars="0"/>
              <w:jc w:val="center"/>
              <w:rPr>
                <w:rFonts w:cs="Times New Roman"/>
                <w:kern w:val="0"/>
                <w:sz w:val="21"/>
                <w:szCs w:val="21"/>
              </w:rPr>
            </w:pPr>
            <w:r>
              <w:rPr>
                <w:rFonts w:hint="eastAsia" w:cs="Times New Roman"/>
                <w:kern w:val="0"/>
                <w:sz w:val="21"/>
                <w:szCs w:val="21"/>
              </w:rPr>
              <w:t>防火门</w:t>
            </w:r>
          </w:p>
        </w:tc>
        <w:tc>
          <w:tcPr>
            <w:tcW w:w="1173" w:type="pct"/>
            <w:vAlign w:val="center"/>
          </w:tcPr>
          <w:p>
            <w:pPr>
              <w:adjustRightInd w:val="0"/>
              <w:snapToGrid w:val="0"/>
              <w:spacing w:line="360" w:lineRule="atLeast"/>
              <w:ind w:firstLine="0" w:firstLineChars="0"/>
              <w:jc w:val="center"/>
              <w:rPr>
                <w:rFonts w:cs="Times New Roman"/>
                <w:kern w:val="0"/>
                <w:sz w:val="21"/>
                <w:szCs w:val="21"/>
              </w:rPr>
            </w:pPr>
            <w:r>
              <w:rPr>
                <w:rFonts w:hint="eastAsia" w:cs="Times New Roman"/>
                <w:kern w:val="0"/>
                <w:sz w:val="21"/>
                <w:szCs w:val="21"/>
              </w:rPr>
              <w:t>乙级</w:t>
            </w:r>
          </w:p>
        </w:tc>
        <w:tc>
          <w:tcPr>
            <w:tcW w:w="1121" w:type="pct"/>
            <w:vAlign w:val="center"/>
          </w:tcPr>
          <w:p>
            <w:pPr>
              <w:adjustRightInd w:val="0"/>
              <w:snapToGrid w:val="0"/>
              <w:spacing w:line="360" w:lineRule="atLeast"/>
              <w:ind w:firstLine="0" w:firstLineChars="0"/>
              <w:jc w:val="center"/>
              <w:rPr>
                <w:rFonts w:cs="Times New Roman"/>
                <w:kern w:val="0"/>
                <w:sz w:val="21"/>
                <w:szCs w:val="21"/>
              </w:rPr>
            </w:pPr>
            <w:r>
              <w:rPr>
                <w:rFonts w:hint="eastAsia" w:cs="Times New Roman"/>
                <w:kern w:val="0"/>
                <w:sz w:val="21"/>
                <w:szCs w:val="21"/>
              </w:rPr>
              <w:t>2扇</w:t>
            </w:r>
          </w:p>
        </w:tc>
        <w:tc>
          <w:tcPr>
            <w:tcW w:w="1203" w:type="pct"/>
            <w:vAlign w:val="center"/>
          </w:tcPr>
          <w:p>
            <w:pPr>
              <w:adjustRightInd w:val="0"/>
              <w:snapToGrid w:val="0"/>
              <w:spacing w:line="360" w:lineRule="atLeast"/>
              <w:ind w:firstLine="0" w:firstLineChars="0"/>
              <w:jc w:val="center"/>
              <w:rPr>
                <w:rFonts w:cs="Times New Roman"/>
                <w:kern w:val="0"/>
                <w:sz w:val="21"/>
                <w:szCs w:val="21"/>
              </w:rPr>
            </w:pPr>
            <w:r>
              <w:rPr>
                <w:rFonts w:hint="eastAsia" w:cs="Times New Roman"/>
                <w:kern w:val="0"/>
                <w:sz w:val="21"/>
                <w:szCs w:val="21"/>
              </w:rPr>
              <w:t>消防泵房</w:t>
            </w: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000" w:type="pct"/>
            <w:gridSpan w:val="5"/>
            <w:vAlign w:val="center"/>
          </w:tcPr>
          <w:p>
            <w:pPr>
              <w:spacing w:line="240" w:lineRule="auto"/>
              <w:ind w:firstLine="0" w:firstLineChars="0"/>
              <w:jc w:val="center"/>
              <w:rPr>
                <w:rFonts w:ascii="宋体" w:hAnsi="宋体" w:cs="宋体"/>
                <w:b/>
                <w:sz w:val="21"/>
                <w:szCs w:val="21"/>
              </w:rPr>
            </w:pPr>
            <w:r>
              <w:rPr>
                <w:rFonts w:hint="eastAsia" w:ascii="宋体" w:hAnsi="宋体" w:cs="宋体"/>
                <w:b/>
                <w:sz w:val="21"/>
                <w:szCs w:val="21"/>
              </w:rPr>
              <w:t>9.消防灭火设施</w:t>
            </w: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45" w:type="pct"/>
            <w:vAlign w:val="center"/>
          </w:tcPr>
          <w:p>
            <w:pPr>
              <w:spacing w:line="240" w:lineRule="auto"/>
              <w:ind w:firstLine="0" w:firstLineChars="0"/>
              <w:jc w:val="center"/>
              <w:rPr>
                <w:rFonts w:ascii="宋体" w:hAnsi="宋体" w:cs="宋体"/>
                <w:b/>
                <w:sz w:val="21"/>
                <w:szCs w:val="21"/>
              </w:rPr>
            </w:pPr>
            <w:r>
              <w:rPr>
                <w:rFonts w:hint="eastAsia" w:ascii="宋体" w:hAnsi="宋体" w:cs="宋体"/>
                <w:b/>
                <w:sz w:val="21"/>
                <w:szCs w:val="21"/>
              </w:rPr>
              <w:t>序号</w:t>
            </w:r>
          </w:p>
        </w:tc>
        <w:tc>
          <w:tcPr>
            <w:tcW w:w="1156" w:type="pct"/>
            <w:vAlign w:val="center"/>
          </w:tcPr>
          <w:p>
            <w:pPr>
              <w:spacing w:line="240" w:lineRule="auto"/>
              <w:ind w:firstLine="0" w:firstLineChars="0"/>
              <w:jc w:val="center"/>
              <w:rPr>
                <w:rFonts w:ascii="宋体" w:hAnsi="宋体" w:cs="宋体"/>
                <w:b/>
                <w:sz w:val="21"/>
                <w:szCs w:val="21"/>
              </w:rPr>
            </w:pPr>
            <w:r>
              <w:rPr>
                <w:rFonts w:hint="eastAsia" w:ascii="宋体" w:hAnsi="宋体" w:cs="宋体"/>
                <w:b/>
                <w:sz w:val="21"/>
                <w:szCs w:val="21"/>
              </w:rPr>
              <w:t>灭火器形式</w:t>
            </w:r>
          </w:p>
        </w:tc>
        <w:tc>
          <w:tcPr>
            <w:tcW w:w="1173" w:type="pct"/>
            <w:vAlign w:val="center"/>
          </w:tcPr>
          <w:p>
            <w:pPr>
              <w:spacing w:line="240" w:lineRule="auto"/>
              <w:ind w:firstLine="0" w:firstLineChars="0"/>
              <w:jc w:val="center"/>
              <w:rPr>
                <w:rFonts w:ascii="宋体" w:hAnsi="宋体" w:cs="宋体"/>
                <w:b/>
                <w:sz w:val="21"/>
                <w:szCs w:val="21"/>
              </w:rPr>
            </w:pPr>
            <w:r>
              <w:rPr>
                <w:rFonts w:hint="eastAsia" w:ascii="宋体" w:hAnsi="宋体" w:cs="宋体"/>
                <w:b/>
                <w:sz w:val="21"/>
                <w:szCs w:val="21"/>
              </w:rPr>
              <w:t>规格</w:t>
            </w:r>
          </w:p>
        </w:tc>
        <w:tc>
          <w:tcPr>
            <w:tcW w:w="1121" w:type="pct"/>
            <w:vAlign w:val="center"/>
          </w:tcPr>
          <w:p>
            <w:pPr>
              <w:spacing w:line="240" w:lineRule="auto"/>
              <w:ind w:firstLine="0" w:firstLineChars="0"/>
              <w:jc w:val="center"/>
              <w:rPr>
                <w:rFonts w:ascii="宋体" w:hAnsi="宋体" w:cs="宋体"/>
                <w:b/>
                <w:sz w:val="21"/>
                <w:szCs w:val="21"/>
              </w:rPr>
            </w:pPr>
            <w:r>
              <w:rPr>
                <w:rFonts w:hint="eastAsia" w:ascii="宋体" w:hAnsi="宋体" w:cs="宋体"/>
                <w:b/>
                <w:sz w:val="21"/>
                <w:szCs w:val="21"/>
              </w:rPr>
              <w:t>数量</w:t>
            </w:r>
          </w:p>
        </w:tc>
        <w:tc>
          <w:tcPr>
            <w:tcW w:w="1203" w:type="pct"/>
            <w:vAlign w:val="center"/>
          </w:tcPr>
          <w:p>
            <w:pPr>
              <w:spacing w:line="240" w:lineRule="auto"/>
              <w:ind w:firstLine="0" w:firstLineChars="0"/>
              <w:jc w:val="center"/>
              <w:rPr>
                <w:rFonts w:ascii="宋体" w:hAnsi="宋体" w:cs="宋体"/>
                <w:b/>
                <w:sz w:val="21"/>
                <w:szCs w:val="21"/>
              </w:rPr>
            </w:pPr>
            <w:r>
              <w:rPr>
                <w:rFonts w:hint="eastAsia" w:ascii="宋体" w:hAnsi="宋体" w:cs="宋体"/>
                <w:b/>
                <w:sz w:val="21"/>
                <w:szCs w:val="21"/>
              </w:rPr>
              <w:t>配置场所</w:t>
            </w: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45"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1</w:t>
            </w:r>
          </w:p>
        </w:tc>
        <w:tc>
          <w:tcPr>
            <w:tcW w:w="1156" w:type="pct"/>
            <w:vAlign w:val="center"/>
          </w:tcPr>
          <w:p>
            <w:pPr>
              <w:spacing w:line="240" w:lineRule="auto"/>
              <w:ind w:firstLine="0" w:firstLineChars="0"/>
              <w:jc w:val="center"/>
              <w:rPr>
                <w:rFonts w:ascii="宋体" w:hAnsi="宋体" w:cs="宋体"/>
                <w:bCs/>
                <w:sz w:val="21"/>
                <w:szCs w:val="21"/>
              </w:rPr>
            </w:pPr>
            <w:r>
              <w:rPr>
                <w:rFonts w:ascii="宋体" w:hAnsi="宋体" w:cs="宋体"/>
                <w:bCs/>
                <w:sz w:val="21"/>
                <w:szCs w:val="21"/>
              </w:rPr>
              <w:t>手提式磷酸铵盐灭火器</w:t>
            </w:r>
          </w:p>
        </w:tc>
        <w:tc>
          <w:tcPr>
            <w:tcW w:w="1173" w:type="pct"/>
            <w:vAlign w:val="center"/>
          </w:tcPr>
          <w:p>
            <w:pPr>
              <w:spacing w:line="240" w:lineRule="auto"/>
              <w:ind w:firstLine="0" w:firstLineChars="0"/>
              <w:jc w:val="center"/>
              <w:rPr>
                <w:rFonts w:ascii="宋体" w:hAnsi="宋体" w:cs="宋体"/>
                <w:bCs/>
                <w:sz w:val="21"/>
                <w:szCs w:val="21"/>
              </w:rPr>
            </w:pPr>
            <w:r>
              <w:rPr>
                <w:rFonts w:ascii="宋体" w:hAnsi="宋体" w:cs="宋体"/>
                <w:bCs/>
                <w:sz w:val="21"/>
                <w:szCs w:val="21"/>
              </w:rPr>
              <w:t>MFZ/ABC4</w:t>
            </w:r>
          </w:p>
        </w:tc>
        <w:tc>
          <w:tcPr>
            <w:tcW w:w="1121" w:type="pct"/>
            <w:tcBorders>
              <w:bottom w:val="single" w:color="auto" w:sz="4" w:space="0"/>
            </w:tcBorders>
            <w:vAlign w:val="center"/>
          </w:tcPr>
          <w:p>
            <w:pPr>
              <w:spacing w:line="240" w:lineRule="auto"/>
              <w:ind w:firstLine="0" w:firstLineChars="0"/>
              <w:jc w:val="center"/>
              <w:rPr>
                <w:rFonts w:ascii="宋体" w:hAnsi="宋体" w:cs="宋体"/>
                <w:bCs/>
                <w:sz w:val="21"/>
                <w:szCs w:val="21"/>
              </w:rPr>
            </w:pPr>
            <w:r>
              <w:rPr>
                <w:rFonts w:hint="eastAsia" w:ascii="宋体" w:hAnsi="宋体" w:cs="宋体"/>
                <w:bCs/>
                <w:sz w:val="21"/>
                <w:szCs w:val="21"/>
              </w:rPr>
              <w:t>32</w:t>
            </w:r>
          </w:p>
        </w:tc>
        <w:tc>
          <w:tcPr>
            <w:tcW w:w="1203" w:type="pct"/>
            <w:vMerge w:val="restart"/>
            <w:vAlign w:val="center"/>
          </w:tcPr>
          <w:p>
            <w:pPr>
              <w:spacing w:line="240" w:lineRule="auto"/>
              <w:ind w:firstLine="0" w:firstLineChars="0"/>
              <w:jc w:val="center"/>
              <w:rPr>
                <w:rFonts w:ascii="宋体" w:hAnsi="宋体" w:cs="宋体"/>
                <w:bCs/>
                <w:sz w:val="21"/>
                <w:szCs w:val="21"/>
              </w:rPr>
            </w:pPr>
            <w:r>
              <w:rPr>
                <w:rFonts w:hint="eastAsia" w:ascii="宋体" w:hAnsi="宋体" w:cs="宋体"/>
                <w:bCs/>
                <w:sz w:val="21"/>
                <w:szCs w:val="21"/>
              </w:rPr>
              <w:t>机加工车间</w:t>
            </w: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45"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2</w:t>
            </w:r>
          </w:p>
        </w:tc>
        <w:tc>
          <w:tcPr>
            <w:tcW w:w="1156" w:type="pct"/>
            <w:vAlign w:val="center"/>
          </w:tcPr>
          <w:p>
            <w:pPr>
              <w:spacing w:line="240" w:lineRule="auto"/>
              <w:ind w:firstLine="0" w:firstLineChars="0"/>
              <w:jc w:val="center"/>
              <w:rPr>
                <w:rFonts w:ascii="宋体" w:hAnsi="宋体" w:cs="宋体"/>
                <w:bCs/>
                <w:sz w:val="21"/>
                <w:szCs w:val="21"/>
              </w:rPr>
            </w:pPr>
            <w:r>
              <w:rPr>
                <w:rFonts w:ascii="宋体" w:hAnsi="宋体" w:cs="宋体"/>
                <w:bCs/>
                <w:sz w:val="21"/>
                <w:szCs w:val="21"/>
              </w:rPr>
              <w:t>室内消火栓</w:t>
            </w:r>
          </w:p>
        </w:tc>
        <w:tc>
          <w:tcPr>
            <w:tcW w:w="1173" w:type="pct"/>
            <w:vAlign w:val="center"/>
          </w:tcPr>
          <w:p>
            <w:pPr>
              <w:spacing w:line="240" w:lineRule="auto"/>
              <w:ind w:firstLine="0" w:firstLineChars="0"/>
              <w:jc w:val="center"/>
              <w:rPr>
                <w:rFonts w:ascii="宋体" w:hAnsi="宋体" w:cs="宋体"/>
                <w:bCs/>
                <w:sz w:val="21"/>
                <w:szCs w:val="21"/>
              </w:rPr>
            </w:pPr>
            <w:r>
              <w:rPr>
                <w:rFonts w:ascii="宋体" w:hAnsi="宋体" w:cs="宋体"/>
                <w:bCs/>
                <w:sz w:val="21"/>
                <w:szCs w:val="21"/>
              </w:rPr>
              <w:t>SN65</w:t>
            </w:r>
          </w:p>
        </w:tc>
        <w:tc>
          <w:tcPr>
            <w:tcW w:w="1121" w:type="pct"/>
            <w:tcBorders>
              <w:top w:val="single" w:color="auto" w:sz="4" w:space="0"/>
            </w:tcBorders>
            <w:vAlign w:val="center"/>
          </w:tcPr>
          <w:p>
            <w:pPr>
              <w:spacing w:line="240" w:lineRule="auto"/>
              <w:ind w:firstLine="0" w:firstLineChars="0"/>
              <w:jc w:val="center"/>
              <w:rPr>
                <w:rFonts w:ascii="宋体" w:hAnsi="宋体" w:cs="宋体"/>
                <w:bCs/>
                <w:sz w:val="21"/>
                <w:szCs w:val="21"/>
              </w:rPr>
            </w:pPr>
            <w:r>
              <w:rPr>
                <w:rFonts w:hint="eastAsia" w:ascii="宋体" w:hAnsi="宋体" w:cs="宋体"/>
                <w:bCs/>
                <w:sz w:val="21"/>
                <w:szCs w:val="21"/>
              </w:rPr>
              <w:t>10</w:t>
            </w:r>
          </w:p>
        </w:tc>
        <w:tc>
          <w:tcPr>
            <w:tcW w:w="1203" w:type="pct"/>
            <w:vMerge w:val="continue"/>
            <w:vAlign w:val="center"/>
          </w:tcPr>
          <w:p>
            <w:pPr>
              <w:spacing w:line="240" w:lineRule="auto"/>
              <w:ind w:firstLine="0" w:firstLineChars="0"/>
              <w:jc w:val="center"/>
              <w:rPr>
                <w:rFonts w:ascii="宋体" w:hAnsi="宋体" w:cs="宋体"/>
                <w:bCs/>
                <w:sz w:val="21"/>
                <w:szCs w:val="21"/>
              </w:rPr>
            </w:pP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45"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3</w:t>
            </w:r>
          </w:p>
        </w:tc>
        <w:tc>
          <w:tcPr>
            <w:tcW w:w="1156" w:type="pct"/>
            <w:vAlign w:val="center"/>
          </w:tcPr>
          <w:p>
            <w:pPr>
              <w:spacing w:line="240" w:lineRule="auto"/>
              <w:ind w:firstLine="0" w:firstLineChars="0"/>
              <w:jc w:val="center"/>
              <w:rPr>
                <w:rFonts w:ascii="宋体" w:hAnsi="宋体" w:cs="宋体"/>
                <w:bCs/>
                <w:sz w:val="21"/>
                <w:szCs w:val="21"/>
              </w:rPr>
            </w:pPr>
            <w:r>
              <w:rPr>
                <w:rFonts w:ascii="宋体" w:hAnsi="宋体" w:cs="宋体"/>
                <w:bCs/>
                <w:sz w:val="21"/>
                <w:szCs w:val="21"/>
              </w:rPr>
              <w:t>手提式磷酸铵盐灭火器</w:t>
            </w:r>
          </w:p>
        </w:tc>
        <w:tc>
          <w:tcPr>
            <w:tcW w:w="1173" w:type="pct"/>
            <w:vAlign w:val="center"/>
          </w:tcPr>
          <w:p>
            <w:pPr>
              <w:spacing w:line="240" w:lineRule="auto"/>
              <w:ind w:firstLine="0" w:firstLineChars="0"/>
              <w:jc w:val="center"/>
              <w:rPr>
                <w:rFonts w:ascii="宋体" w:hAnsi="宋体" w:cs="宋体"/>
                <w:bCs/>
                <w:sz w:val="21"/>
                <w:szCs w:val="21"/>
              </w:rPr>
            </w:pPr>
            <w:r>
              <w:rPr>
                <w:rFonts w:ascii="宋体" w:hAnsi="宋体" w:cs="宋体"/>
                <w:bCs/>
                <w:sz w:val="21"/>
                <w:szCs w:val="21"/>
              </w:rPr>
              <w:t>MFZ/ABC4</w:t>
            </w:r>
          </w:p>
        </w:tc>
        <w:tc>
          <w:tcPr>
            <w:tcW w:w="1121" w:type="pct"/>
            <w:vAlign w:val="center"/>
          </w:tcPr>
          <w:p>
            <w:pPr>
              <w:spacing w:line="240" w:lineRule="auto"/>
              <w:ind w:firstLine="0" w:firstLineChars="0"/>
              <w:jc w:val="center"/>
              <w:rPr>
                <w:rFonts w:ascii="宋体" w:hAnsi="宋体" w:cs="宋体"/>
                <w:bCs/>
                <w:sz w:val="21"/>
                <w:szCs w:val="21"/>
              </w:rPr>
            </w:pPr>
            <w:r>
              <w:rPr>
                <w:rFonts w:hint="eastAsia" w:ascii="宋体" w:hAnsi="宋体" w:cs="宋体"/>
                <w:bCs/>
                <w:sz w:val="21"/>
                <w:szCs w:val="21"/>
              </w:rPr>
              <w:t>34</w:t>
            </w:r>
          </w:p>
        </w:tc>
        <w:tc>
          <w:tcPr>
            <w:tcW w:w="1203" w:type="pct"/>
            <w:vMerge w:val="restart"/>
            <w:vAlign w:val="center"/>
          </w:tcPr>
          <w:p>
            <w:pPr>
              <w:spacing w:line="240" w:lineRule="auto"/>
              <w:ind w:firstLine="0" w:firstLineChars="0"/>
              <w:jc w:val="center"/>
              <w:rPr>
                <w:rFonts w:ascii="宋体" w:hAnsi="宋体" w:cs="宋体"/>
                <w:bCs/>
                <w:sz w:val="21"/>
                <w:szCs w:val="21"/>
              </w:rPr>
            </w:pPr>
            <w:r>
              <w:rPr>
                <w:rFonts w:hint="eastAsia" w:ascii="宋体" w:hAnsi="宋体" w:cs="宋体"/>
                <w:bCs/>
                <w:sz w:val="21"/>
                <w:szCs w:val="21"/>
              </w:rPr>
              <w:t>铸造车间</w:t>
            </w: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45"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4</w:t>
            </w:r>
          </w:p>
        </w:tc>
        <w:tc>
          <w:tcPr>
            <w:tcW w:w="1156" w:type="pct"/>
            <w:vAlign w:val="center"/>
          </w:tcPr>
          <w:p>
            <w:pPr>
              <w:spacing w:line="240" w:lineRule="auto"/>
              <w:ind w:firstLine="0" w:firstLineChars="0"/>
              <w:jc w:val="center"/>
              <w:rPr>
                <w:rFonts w:ascii="宋体" w:hAnsi="宋体" w:cs="宋体"/>
                <w:bCs/>
                <w:sz w:val="21"/>
                <w:szCs w:val="21"/>
              </w:rPr>
            </w:pPr>
            <w:r>
              <w:rPr>
                <w:rFonts w:ascii="宋体" w:hAnsi="宋体" w:cs="宋体"/>
                <w:bCs/>
                <w:sz w:val="21"/>
                <w:szCs w:val="21"/>
              </w:rPr>
              <w:t>室内消火栓</w:t>
            </w:r>
          </w:p>
        </w:tc>
        <w:tc>
          <w:tcPr>
            <w:tcW w:w="1173" w:type="pct"/>
            <w:vAlign w:val="center"/>
          </w:tcPr>
          <w:p>
            <w:pPr>
              <w:spacing w:line="240" w:lineRule="auto"/>
              <w:ind w:firstLine="0" w:firstLineChars="0"/>
              <w:jc w:val="center"/>
              <w:rPr>
                <w:rFonts w:ascii="宋体" w:hAnsi="宋体" w:cs="宋体"/>
                <w:bCs/>
                <w:sz w:val="21"/>
                <w:szCs w:val="21"/>
              </w:rPr>
            </w:pPr>
            <w:r>
              <w:rPr>
                <w:rFonts w:ascii="宋体" w:hAnsi="宋体" w:cs="宋体"/>
                <w:bCs/>
                <w:sz w:val="21"/>
                <w:szCs w:val="21"/>
              </w:rPr>
              <w:t>SN65</w:t>
            </w:r>
          </w:p>
        </w:tc>
        <w:tc>
          <w:tcPr>
            <w:tcW w:w="1121" w:type="pct"/>
            <w:vAlign w:val="center"/>
          </w:tcPr>
          <w:p>
            <w:pPr>
              <w:spacing w:line="240" w:lineRule="auto"/>
              <w:ind w:firstLine="0" w:firstLineChars="0"/>
              <w:jc w:val="center"/>
              <w:rPr>
                <w:rFonts w:ascii="宋体" w:hAnsi="宋体" w:cs="宋体"/>
                <w:bCs/>
                <w:sz w:val="21"/>
                <w:szCs w:val="21"/>
              </w:rPr>
            </w:pPr>
            <w:r>
              <w:rPr>
                <w:rFonts w:hint="eastAsia" w:ascii="宋体" w:hAnsi="宋体" w:cs="宋体"/>
                <w:bCs/>
                <w:sz w:val="21"/>
                <w:szCs w:val="21"/>
              </w:rPr>
              <w:t>13</w:t>
            </w:r>
          </w:p>
        </w:tc>
        <w:tc>
          <w:tcPr>
            <w:tcW w:w="1203" w:type="pct"/>
            <w:vMerge w:val="continue"/>
            <w:vAlign w:val="center"/>
          </w:tcPr>
          <w:p>
            <w:pPr>
              <w:spacing w:line="240" w:lineRule="auto"/>
              <w:ind w:firstLine="0" w:firstLineChars="0"/>
              <w:jc w:val="center"/>
              <w:rPr>
                <w:rFonts w:ascii="宋体" w:hAnsi="宋体" w:cs="宋体"/>
                <w:bCs/>
                <w:sz w:val="21"/>
                <w:szCs w:val="21"/>
              </w:rPr>
            </w:pP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45"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5</w:t>
            </w:r>
          </w:p>
        </w:tc>
        <w:tc>
          <w:tcPr>
            <w:tcW w:w="1156" w:type="pct"/>
            <w:vAlign w:val="center"/>
          </w:tcPr>
          <w:p>
            <w:pPr>
              <w:spacing w:line="240" w:lineRule="auto"/>
              <w:ind w:firstLine="0" w:firstLineChars="0"/>
              <w:jc w:val="center"/>
              <w:rPr>
                <w:rFonts w:ascii="宋体" w:hAnsi="宋体" w:cs="宋体"/>
                <w:bCs/>
                <w:sz w:val="21"/>
                <w:szCs w:val="21"/>
              </w:rPr>
            </w:pPr>
            <w:r>
              <w:rPr>
                <w:rFonts w:ascii="宋体" w:hAnsi="宋体" w:cs="宋体"/>
                <w:bCs/>
                <w:sz w:val="21"/>
                <w:szCs w:val="21"/>
              </w:rPr>
              <w:t>手提式磷酸铵盐灭火器</w:t>
            </w:r>
          </w:p>
        </w:tc>
        <w:tc>
          <w:tcPr>
            <w:tcW w:w="1173" w:type="pct"/>
            <w:vAlign w:val="center"/>
          </w:tcPr>
          <w:p>
            <w:pPr>
              <w:spacing w:line="240" w:lineRule="auto"/>
              <w:ind w:firstLine="0" w:firstLineChars="0"/>
              <w:jc w:val="center"/>
              <w:rPr>
                <w:rFonts w:ascii="宋体" w:hAnsi="宋体" w:cs="宋体"/>
                <w:bCs/>
                <w:sz w:val="21"/>
                <w:szCs w:val="21"/>
              </w:rPr>
            </w:pPr>
            <w:r>
              <w:rPr>
                <w:rFonts w:ascii="宋体" w:hAnsi="宋体" w:cs="宋体"/>
                <w:bCs/>
                <w:sz w:val="21"/>
                <w:szCs w:val="21"/>
              </w:rPr>
              <w:t>MFZ/ABC4</w:t>
            </w:r>
          </w:p>
        </w:tc>
        <w:tc>
          <w:tcPr>
            <w:tcW w:w="1121" w:type="pct"/>
            <w:vAlign w:val="center"/>
          </w:tcPr>
          <w:p>
            <w:pPr>
              <w:spacing w:line="240" w:lineRule="auto"/>
              <w:ind w:firstLine="0" w:firstLineChars="0"/>
              <w:jc w:val="center"/>
              <w:rPr>
                <w:rFonts w:ascii="宋体" w:hAnsi="宋体" w:cs="宋体"/>
                <w:bCs/>
                <w:sz w:val="21"/>
                <w:szCs w:val="21"/>
              </w:rPr>
            </w:pPr>
            <w:r>
              <w:rPr>
                <w:rFonts w:hint="eastAsia" w:ascii="宋体" w:hAnsi="宋体" w:cs="宋体"/>
                <w:bCs/>
                <w:sz w:val="21"/>
                <w:szCs w:val="21"/>
              </w:rPr>
              <w:t>12</w:t>
            </w:r>
          </w:p>
        </w:tc>
        <w:tc>
          <w:tcPr>
            <w:tcW w:w="1203" w:type="pct"/>
            <w:vAlign w:val="center"/>
          </w:tcPr>
          <w:p>
            <w:pPr>
              <w:spacing w:line="240" w:lineRule="auto"/>
              <w:ind w:firstLine="0" w:firstLineChars="0"/>
              <w:jc w:val="center"/>
              <w:rPr>
                <w:rFonts w:ascii="宋体" w:hAnsi="宋体" w:cs="宋体"/>
                <w:bCs/>
                <w:sz w:val="21"/>
                <w:szCs w:val="21"/>
              </w:rPr>
            </w:pPr>
            <w:r>
              <w:rPr>
                <w:rFonts w:hint="eastAsia" w:ascii="宋体" w:hAnsi="宋体" w:cs="宋体"/>
                <w:bCs/>
                <w:sz w:val="21"/>
                <w:szCs w:val="21"/>
              </w:rPr>
              <w:t>带顶露天跨</w:t>
            </w: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45"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6</w:t>
            </w:r>
          </w:p>
        </w:tc>
        <w:tc>
          <w:tcPr>
            <w:tcW w:w="1156" w:type="pct"/>
            <w:vAlign w:val="center"/>
          </w:tcPr>
          <w:p>
            <w:pPr>
              <w:spacing w:line="240" w:lineRule="auto"/>
              <w:ind w:firstLine="0" w:firstLineChars="0"/>
              <w:jc w:val="center"/>
              <w:rPr>
                <w:rFonts w:ascii="宋体" w:hAnsi="宋体" w:cs="宋体"/>
                <w:bCs/>
                <w:sz w:val="21"/>
                <w:szCs w:val="21"/>
              </w:rPr>
            </w:pPr>
            <w:r>
              <w:rPr>
                <w:rFonts w:ascii="宋体" w:hAnsi="宋体" w:cs="宋体"/>
                <w:bCs/>
                <w:sz w:val="21"/>
                <w:szCs w:val="21"/>
              </w:rPr>
              <w:t>手提式磷酸铵盐灭火器</w:t>
            </w:r>
          </w:p>
        </w:tc>
        <w:tc>
          <w:tcPr>
            <w:tcW w:w="1173" w:type="pct"/>
            <w:vAlign w:val="center"/>
          </w:tcPr>
          <w:p>
            <w:pPr>
              <w:spacing w:line="240" w:lineRule="auto"/>
              <w:ind w:firstLine="0" w:firstLineChars="0"/>
              <w:jc w:val="center"/>
              <w:rPr>
                <w:rFonts w:ascii="宋体" w:hAnsi="宋体" w:cs="宋体"/>
                <w:bCs/>
                <w:sz w:val="21"/>
                <w:szCs w:val="21"/>
              </w:rPr>
            </w:pPr>
            <w:r>
              <w:rPr>
                <w:rFonts w:ascii="宋体" w:hAnsi="宋体" w:cs="宋体"/>
                <w:bCs/>
                <w:sz w:val="21"/>
                <w:szCs w:val="21"/>
              </w:rPr>
              <w:t>MFZ/ABC4</w:t>
            </w:r>
          </w:p>
        </w:tc>
        <w:tc>
          <w:tcPr>
            <w:tcW w:w="1121" w:type="pct"/>
            <w:vAlign w:val="center"/>
          </w:tcPr>
          <w:p>
            <w:pPr>
              <w:spacing w:line="240" w:lineRule="auto"/>
              <w:ind w:firstLine="0" w:firstLineChars="0"/>
              <w:jc w:val="center"/>
              <w:rPr>
                <w:rFonts w:ascii="宋体" w:hAnsi="宋体" w:cs="宋体"/>
                <w:bCs/>
                <w:sz w:val="21"/>
                <w:szCs w:val="21"/>
              </w:rPr>
            </w:pPr>
            <w:r>
              <w:rPr>
                <w:rFonts w:hint="eastAsia" w:ascii="宋体" w:hAnsi="宋体" w:cs="宋体"/>
                <w:bCs/>
                <w:sz w:val="21"/>
                <w:szCs w:val="21"/>
              </w:rPr>
              <w:t>6</w:t>
            </w:r>
          </w:p>
        </w:tc>
        <w:tc>
          <w:tcPr>
            <w:tcW w:w="1203" w:type="pct"/>
            <w:vMerge w:val="restart"/>
            <w:vAlign w:val="center"/>
          </w:tcPr>
          <w:p>
            <w:pPr>
              <w:spacing w:line="240" w:lineRule="auto"/>
              <w:ind w:firstLine="0" w:firstLineChars="0"/>
              <w:jc w:val="center"/>
              <w:rPr>
                <w:rFonts w:ascii="宋体" w:hAnsi="宋体" w:cs="宋体"/>
                <w:bCs/>
                <w:sz w:val="21"/>
                <w:szCs w:val="21"/>
              </w:rPr>
            </w:pPr>
            <w:r>
              <w:rPr>
                <w:rFonts w:hint="eastAsia" w:ascii="宋体" w:hAnsi="宋体" w:cs="宋体"/>
                <w:bCs/>
                <w:sz w:val="21"/>
                <w:szCs w:val="21"/>
              </w:rPr>
              <w:t>辅助车间</w:t>
            </w: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45"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5</w:t>
            </w:r>
          </w:p>
        </w:tc>
        <w:tc>
          <w:tcPr>
            <w:tcW w:w="1156" w:type="pct"/>
            <w:vAlign w:val="center"/>
          </w:tcPr>
          <w:p>
            <w:pPr>
              <w:spacing w:line="240" w:lineRule="auto"/>
              <w:ind w:firstLine="0" w:firstLineChars="0"/>
              <w:jc w:val="center"/>
              <w:rPr>
                <w:rFonts w:ascii="宋体" w:hAnsi="宋体" w:cs="宋体"/>
                <w:bCs/>
                <w:sz w:val="21"/>
                <w:szCs w:val="21"/>
              </w:rPr>
            </w:pPr>
            <w:r>
              <w:rPr>
                <w:rFonts w:ascii="宋体" w:hAnsi="宋体" w:cs="宋体"/>
                <w:bCs/>
                <w:sz w:val="21"/>
                <w:szCs w:val="21"/>
              </w:rPr>
              <w:t>室内消火栓</w:t>
            </w:r>
          </w:p>
        </w:tc>
        <w:tc>
          <w:tcPr>
            <w:tcW w:w="1173" w:type="pct"/>
            <w:vAlign w:val="center"/>
          </w:tcPr>
          <w:p>
            <w:pPr>
              <w:spacing w:line="240" w:lineRule="auto"/>
              <w:ind w:firstLine="0" w:firstLineChars="0"/>
              <w:jc w:val="center"/>
              <w:rPr>
                <w:rFonts w:ascii="宋体" w:hAnsi="宋体" w:cs="宋体"/>
                <w:bCs/>
                <w:sz w:val="21"/>
                <w:szCs w:val="21"/>
              </w:rPr>
            </w:pPr>
            <w:r>
              <w:rPr>
                <w:rFonts w:ascii="宋体" w:hAnsi="宋体" w:cs="宋体"/>
                <w:bCs/>
                <w:sz w:val="21"/>
                <w:szCs w:val="21"/>
              </w:rPr>
              <w:t>SN65</w:t>
            </w:r>
          </w:p>
        </w:tc>
        <w:tc>
          <w:tcPr>
            <w:tcW w:w="1121" w:type="pct"/>
            <w:vAlign w:val="center"/>
          </w:tcPr>
          <w:p>
            <w:pPr>
              <w:spacing w:line="240" w:lineRule="auto"/>
              <w:ind w:firstLine="0" w:firstLineChars="0"/>
              <w:jc w:val="center"/>
              <w:rPr>
                <w:rFonts w:ascii="宋体" w:hAnsi="宋体" w:cs="宋体"/>
                <w:bCs/>
                <w:sz w:val="21"/>
                <w:szCs w:val="21"/>
              </w:rPr>
            </w:pPr>
            <w:r>
              <w:rPr>
                <w:rFonts w:hint="eastAsia" w:ascii="宋体" w:hAnsi="宋体" w:cs="宋体"/>
                <w:bCs/>
                <w:sz w:val="21"/>
                <w:szCs w:val="21"/>
              </w:rPr>
              <w:t>2</w:t>
            </w:r>
          </w:p>
        </w:tc>
        <w:tc>
          <w:tcPr>
            <w:tcW w:w="1203" w:type="pct"/>
            <w:vMerge w:val="continue"/>
            <w:vAlign w:val="center"/>
          </w:tcPr>
          <w:p>
            <w:pPr>
              <w:spacing w:line="240" w:lineRule="auto"/>
              <w:ind w:firstLine="0" w:firstLineChars="0"/>
              <w:jc w:val="center"/>
              <w:rPr>
                <w:rFonts w:ascii="宋体" w:hAnsi="宋体" w:cs="宋体"/>
                <w:bCs/>
                <w:sz w:val="21"/>
                <w:szCs w:val="21"/>
              </w:rPr>
            </w:pP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45"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6</w:t>
            </w:r>
          </w:p>
        </w:tc>
        <w:tc>
          <w:tcPr>
            <w:tcW w:w="1156" w:type="pct"/>
            <w:vAlign w:val="center"/>
          </w:tcPr>
          <w:p>
            <w:pPr>
              <w:spacing w:line="240" w:lineRule="auto"/>
              <w:ind w:firstLine="0" w:firstLineChars="0"/>
              <w:jc w:val="center"/>
              <w:rPr>
                <w:rFonts w:ascii="宋体" w:hAnsi="宋体" w:cs="宋体"/>
                <w:bCs/>
                <w:sz w:val="21"/>
                <w:szCs w:val="21"/>
              </w:rPr>
            </w:pPr>
            <w:r>
              <w:rPr>
                <w:rFonts w:ascii="宋体" w:hAnsi="宋体" w:cs="宋体"/>
                <w:bCs/>
                <w:sz w:val="21"/>
                <w:szCs w:val="21"/>
              </w:rPr>
              <w:t>手提式磷酸铵盐灭火器</w:t>
            </w:r>
          </w:p>
        </w:tc>
        <w:tc>
          <w:tcPr>
            <w:tcW w:w="1173" w:type="pct"/>
            <w:vAlign w:val="center"/>
          </w:tcPr>
          <w:p>
            <w:pPr>
              <w:spacing w:line="240" w:lineRule="auto"/>
              <w:ind w:firstLine="0" w:firstLineChars="0"/>
              <w:jc w:val="center"/>
              <w:rPr>
                <w:rFonts w:ascii="宋体" w:hAnsi="宋体" w:cs="宋体"/>
                <w:bCs/>
                <w:sz w:val="21"/>
                <w:szCs w:val="21"/>
              </w:rPr>
            </w:pPr>
            <w:r>
              <w:rPr>
                <w:rFonts w:ascii="宋体" w:hAnsi="宋体" w:cs="宋体"/>
                <w:bCs/>
                <w:sz w:val="21"/>
                <w:szCs w:val="21"/>
              </w:rPr>
              <w:t>MFZ/ABC4</w:t>
            </w:r>
          </w:p>
        </w:tc>
        <w:tc>
          <w:tcPr>
            <w:tcW w:w="1121" w:type="pct"/>
            <w:vAlign w:val="center"/>
          </w:tcPr>
          <w:p>
            <w:pPr>
              <w:spacing w:line="240" w:lineRule="auto"/>
              <w:ind w:firstLine="0" w:firstLineChars="0"/>
              <w:jc w:val="center"/>
              <w:rPr>
                <w:rFonts w:ascii="宋体" w:hAnsi="宋体" w:cs="宋体"/>
                <w:bCs/>
                <w:sz w:val="21"/>
                <w:szCs w:val="21"/>
              </w:rPr>
            </w:pPr>
            <w:r>
              <w:rPr>
                <w:rFonts w:hint="eastAsia" w:ascii="宋体" w:hAnsi="宋体" w:cs="宋体"/>
                <w:bCs/>
                <w:sz w:val="21"/>
                <w:szCs w:val="21"/>
              </w:rPr>
              <w:t>14</w:t>
            </w:r>
          </w:p>
        </w:tc>
        <w:tc>
          <w:tcPr>
            <w:tcW w:w="1203" w:type="pct"/>
            <w:vMerge w:val="restart"/>
            <w:vAlign w:val="center"/>
          </w:tcPr>
          <w:p>
            <w:pPr>
              <w:spacing w:line="240" w:lineRule="auto"/>
              <w:ind w:firstLine="0" w:firstLineChars="0"/>
              <w:jc w:val="center"/>
              <w:rPr>
                <w:rFonts w:ascii="宋体" w:hAnsi="宋体" w:cs="宋体"/>
                <w:bCs/>
                <w:sz w:val="21"/>
                <w:szCs w:val="21"/>
              </w:rPr>
            </w:pPr>
            <w:r>
              <w:rPr>
                <w:rFonts w:hint="eastAsia" w:ascii="宋体" w:hAnsi="宋体" w:cs="宋体"/>
                <w:bCs/>
                <w:sz w:val="21"/>
                <w:szCs w:val="21"/>
              </w:rPr>
              <w:t>仓库</w:t>
            </w: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45"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7</w:t>
            </w:r>
          </w:p>
        </w:tc>
        <w:tc>
          <w:tcPr>
            <w:tcW w:w="1156" w:type="pct"/>
            <w:vAlign w:val="center"/>
          </w:tcPr>
          <w:p>
            <w:pPr>
              <w:spacing w:line="240" w:lineRule="auto"/>
              <w:ind w:firstLine="0" w:firstLineChars="0"/>
              <w:jc w:val="center"/>
              <w:rPr>
                <w:rFonts w:ascii="宋体" w:hAnsi="宋体" w:cs="宋体"/>
                <w:bCs/>
                <w:sz w:val="21"/>
                <w:szCs w:val="21"/>
              </w:rPr>
            </w:pPr>
            <w:r>
              <w:rPr>
                <w:rFonts w:ascii="宋体" w:hAnsi="宋体" w:cs="宋体"/>
                <w:bCs/>
                <w:sz w:val="21"/>
                <w:szCs w:val="21"/>
              </w:rPr>
              <w:t>室内消火栓</w:t>
            </w:r>
          </w:p>
        </w:tc>
        <w:tc>
          <w:tcPr>
            <w:tcW w:w="1173" w:type="pct"/>
            <w:vAlign w:val="center"/>
          </w:tcPr>
          <w:p>
            <w:pPr>
              <w:spacing w:line="240" w:lineRule="auto"/>
              <w:ind w:firstLine="0" w:firstLineChars="0"/>
              <w:jc w:val="center"/>
              <w:rPr>
                <w:rFonts w:ascii="宋体" w:hAnsi="宋体" w:cs="宋体"/>
                <w:bCs/>
                <w:sz w:val="21"/>
                <w:szCs w:val="21"/>
              </w:rPr>
            </w:pPr>
            <w:r>
              <w:rPr>
                <w:rFonts w:ascii="宋体" w:hAnsi="宋体" w:cs="宋体"/>
                <w:bCs/>
                <w:sz w:val="21"/>
                <w:szCs w:val="21"/>
              </w:rPr>
              <w:t>SN65</w:t>
            </w:r>
          </w:p>
        </w:tc>
        <w:tc>
          <w:tcPr>
            <w:tcW w:w="1121" w:type="pct"/>
            <w:vAlign w:val="center"/>
          </w:tcPr>
          <w:p>
            <w:pPr>
              <w:spacing w:line="240" w:lineRule="auto"/>
              <w:ind w:firstLine="0" w:firstLineChars="0"/>
              <w:jc w:val="center"/>
              <w:rPr>
                <w:rFonts w:ascii="宋体" w:hAnsi="宋体" w:cs="宋体"/>
                <w:bCs/>
                <w:sz w:val="21"/>
                <w:szCs w:val="21"/>
              </w:rPr>
            </w:pPr>
            <w:r>
              <w:rPr>
                <w:rFonts w:hint="eastAsia" w:ascii="宋体" w:hAnsi="宋体" w:cs="宋体"/>
                <w:bCs/>
                <w:sz w:val="21"/>
                <w:szCs w:val="21"/>
              </w:rPr>
              <w:t>6</w:t>
            </w:r>
          </w:p>
        </w:tc>
        <w:tc>
          <w:tcPr>
            <w:tcW w:w="1203" w:type="pct"/>
            <w:vMerge w:val="continue"/>
            <w:vAlign w:val="center"/>
          </w:tcPr>
          <w:p>
            <w:pPr>
              <w:spacing w:line="240" w:lineRule="auto"/>
              <w:ind w:firstLine="0" w:firstLineChars="0"/>
              <w:jc w:val="center"/>
              <w:rPr>
                <w:rFonts w:ascii="宋体" w:hAnsi="宋体" w:cs="宋体"/>
                <w:bCs/>
                <w:sz w:val="21"/>
                <w:szCs w:val="21"/>
              </w:rPr>
            </w:pP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45"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8</w:t>
            </w:r>
          </w:p>
        </w:tc>
        <w:tc>
          <w:tcPr>
            <w:tcW w:w="1156" w:type="pct"/>
            <w:vAlign w:val="center"/>
          </w:tcPr>
          <w:p>
            <w:pPr>
              <w:spacing w:line="240" w:lineRule="auto"/>
              <w:ind w:firstLine="0" w:firstLineChars="0"/>
              <w:jc w:val="center"/>
              <w:rPr>
                <w:rFonts w:ascii="宋体" w:hAnsi="宋体" w:cs="宋体"/>
                <w:bCs/>
                <w:sz w:val="21"/>
                <w:szCs w:val="21"/>
              </w:rPr>
            </w:pPr>
            <w:r>
              <w:rPr>
                <w:rFonts w:ascii="宋体" w:hAnsi="宋体" w:cs="宋体"/>
                <w:bCs/>
                <w:sz w:val="21"/>
                <w:szCs w:val="21"/>
              </w:rPr>
              <w:t>手提式磷酸铵盐灭火器</w:t>
            </w:r>
          </w:p>
        </w:tc>
        <w:tc>
          <w:tcPr>
            <w:tcW w:w="1173" w:type="pct"/>
            <w:vAlign w:val="center"/>
          </w:tcPr>
          <w:p>
            <w:pPr>
              <w:spacing w:line="240" w:lineRule="auto"/>
              <w:ind w:firstLine="0" w:firstLineChars="0"/>
              <w:jc w:val="center"/>
              <w:rPr>
                <w:rFonts w:ascii="宋体" w:hAnsi="宋体" w:cs="宋体"/>
                <w:bCs/>
                <w:sz w:val="21"/>
                <w:szCs w:val="21"/>
              </w:rPr>
            </w:pPr>
            <w:r>
              <w:rPr>
                <w:rFonts w:ascii="宋体" w:hAnsi="宋体" w:cs="宋体"/>
                <w:bCs/>
                <w:sz w:val="21"/>
                <w:szCs w:val="21"/>
              </w:rPr>
              <w:t>MFZ/ABC4</w:t>
            </w:r>
          </w:p>
        </w:tc>
        <w:tc>
          <w:tcPr>
            <w:tcW w:w="1121" w:type="pct"/>
            <w:vAlign w:val="center"/>
          </w:tcPr>
          <w:p>
            <w:pPr>
              <w:spacing w:line="240" w:lineRule="auto"/>
              <w:ind w:firstLine="0" w:firstLineChars="0"/>
              <w:jc w:val="center"/>
              <w:rPr>
                <w:rFonts w:ascii="宋体" w:hAnsi="宋体" w:cs="宋体"/>
                <w:bCs/>
                <w:sz w:val="21"/>
                <w:szCs w:val="21"/>
              </w:rPr>
            </w:pPr>
            <w:r>
              <w:rPr>
                <w:rFonts w:hint="eastAsia" w:ascii="宋体" w:hAnsi="宋体" w:cs="宋体"/>
                <w:bCs/>
                <w:sz w:val="21"/>
                <w:szCs w:val="21"/>
              </w:rPr>
              <w:t>8</w:t>
            </w:r>
          </w:p>
        </w:tc>
        <w:tc>
          <w:tcPr>
            <w:tcW w:w="1203" w:type="pct"/>
            <w:vAlign w:val="center"/>
          </w:tcPr>
          <w:p>
            <w:pPr>
              <w:spacing w:line="240" w:lineRule="auto"/>
              <w:ind w:firstLine="0" w:firstLineChars="0"/>
              <w:jc w:val="center"/>
              <w:rPr>
                <w:rFonts w:ascii="宋体" w:hAnsi="宋体" w:cs="宋体"/>
                <w:bCs/>
                <w:sz w:val="21"/>
                <w:szCs w:val="21"/>
              </w:rPr>
            </w:pPr>
            <w:r>
              <w:rPr>
                <w:rFonts w:hint="eastAsia" w:ascii="宋体" w:hAnsi="宋体" w:cs="宋体"/>
                <w:bCs/>
                <w:sz w:val="21"/>
                <w:szCs w:val="21"/>
              </w:rPr>
              <w:t>办公楼</w:t>
            </w: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45"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9</w:t>
            </w:r>
          </w:p>
        </w:tc>
        <w:tc>
          <w:tcPr>
            <w:tcW w:w="1156" w:type="pct"/>
            <w:vAlign w:val="center"/>
          </w:tcPr>
          <w:p>
            <w:pPr>
              <w:spacing w:line="240" w:lineRule="auto"/>
              <w:ind w:firstLine="0" w:firstLineChars="0"/>
              <w:jc w:val="center"/>
              <w:rPr>
                <w:rFonts w:ascii="宋体" w:hAnsi="宋体" w:cs="宋体"/>
                <w:bCs/>
                <w:sz w:val="21"/>
                <w:szCs w:val="21"/>
              </w:rPr>
            </w:pPr>
            <w:r>
              <w:rPr>
                <w:rFonts w:ascii="宋体" w:hAnsi="宋体" w:cs="宋体"/>
                <w:bCs/>
                <w:sz w:val="21"/>
                <w:szCs w:val="21"/>
              </w:rPr>
              <w:t>手提式磷酸铵盐灭火器</w:t>
            </w:r>
          </w:p>
        </w:tc>
        <w:tc>
          <w:tcPr>
            <w:tcW w:w="1173" w:type="pct"/>
            <w:vAlign w:val="center"/>
          </w:tcPr>
          <w:p>
            <w:pPr>
              <w:spacing w:line="240" w:lineRule="auto"/>
              <w:ind w:firstLine="0" w:firstLineChars="0"/>
              <w:jc w:val="center"/>
              <w:rPr>
                <w:rFonts w:ascii="宋体" w:hAnsi="宋体" w:cs="宋体"/>
                <w:bCs/>
                <w:sz w:val="21"/>
                <w:szCs w:val="21"/>
              </w:rPr>
            </w:pPr>
            <w:r>
              <w:rPr>
                <w:rFonts w:ascii="宋体" w:hAnsi="宋体" w:cs="宋体"/>
                <w:bCs/>
                <w:sz w:val="21"/>
                <w:szCs w:val="21"/>
              </w:rPr>
              <w:t>MFZ/ABC4</w:t>
            </w:r>
          </w:p>
        </w:tc>
        <w:tc>
          <w:tcPr>
            <w:tcW w:w="1121" w:type="pct"/>
            <w:vAlign w:val="center"/>
          </w:tcPr>
          <w:p>
            <w:pPr>
              <w:spacing w:line="240" w:lineRule="auto"/>
              <w:ind w:firstLine="0" w:firstLineChars="0"/>
              <w:jc w:val="center"/>
              <w:rPr>
                <w:rFonts w:ascii="宋体" w:hAnsi="宋体" w:cs="宋体"/>
                <w:bCs/>
                <w:sz w:val="21"/>
                <w:szCs w:val="21"/>
              </w:rPr>
            </w:pPr>
            <w:r>
              <w:rPr>
                <w:rFonts w:hint="eastAsia" w:ascii="宋体" w:hAnsi="宋体" w:cs="宋体"/>
                <w:bCs/>
                <w:sz w:val="21"/>
                <w:szCs w:val="21"/>
              </w:rPr>
              <w:t>2</w:t>
            </w:r>
          </w:p>
        </w:tc>
        <w:tc>
          <w:tcPr>
            <w:tcW w:w="1203" w:type="pct"/>
            <w:vAlign w:val="center"/>
          </w:tcPr>
          <w:p>
            <w:pPr>
              <w:spacing w:line="240" w:lineRule="auto"/>
              <w:ind w:firstLine="0" w:firstLineChars="0"/>
              <w:jc w:val="center"/>
              <w:rPr>
                <w:rFonts w:ascii="宋体" w:hAnsi="宋体" w:cs="宋体"/>
                <w:bCs/>
                <w:sz w:val="21"/>
                <w:szCs w:val="21"/>
              </w:rPr>
            </w:pPr>
            <w:r>
              <w:rPr>
                <w:rFonts w:hint="eastAsia" w:ascii="宋体" w:hAnsi="宋体" w:cs="宋体"/>
                <w:bCs/>
                <w:sz w:val="21"/>
                <w:szCs w:val="21"/>
              </w:rPr>
              <w:t>门卫</w:t>
            </w: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45"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10</w:t>
            </w:r>
          </w:p>
        </w:tc>
        <w:tc>
          <w:tcPr>
            <w:tcW w:w="1156" w:type="pct"/>
            <w:vAlign w:val="center"/>
          </w:tcPr>
          <w:p>
            <w:pPr>
              <w:spacing w:line="240" w:lineRule="auto"/>
              <w:ind w:firstLine="0" w:firstLineChars="0"/>
              <w:jc w:val="center"/>
              <w:rPr>
                <w:rFonts w:ascii="宋体" w:hAnsi="宋体" w:cs="宋体"/>
                <w:bCs/>
                <w:sz w:val="21"/>
                <w:szCs w:val="21"/>
              </w:rPr>
            </w:pPr>
            <w:r>
              <w:rPr>
                <w:rFonts w:ascii="宋体" w:hAnsi="宋体" w:cs="宋体"/>
                <w:bCs/>
                <w:sz w:val="21"/>
                <w:szCs w:val="21"/>
              </w:rPr>
              <w:t>室外消火栓</w:t>
            </w:r>
          </w:p>
        </w:tc>
        <w:tc>
          <w:tcPr>
            <w:tcW w:w="1173" w:type="pct"/>
            <w:vAlign w:val="center"/>
          </w:tcPr>
          <w:p>
            <w:pPr>
              <w:spacing w:line="240" w:lineRule="auto"/>
              <w:ind w:firstLine="0" w:firstLineChars="0"/>
              <w:jc w:val="center"/>
              <w:rPr>
                <w:rFonts w:ascii="宋体" w:hAnsi="宋体" w:cs="宋体"/>
                <w:bCs/>
                <w:sz w:val="21"/>
                <w:szCs w:val="21"/>
              </w:rPr>
            </w:pPr>
            <w:r>
              <w:rPr>
                <w:rFonts w:ascii="宋体" w:hAnsi="宋体" w:cs="宋体"/>
                <w:bCs/>
                <w:sz w:val="21"/>
                <w:szCs w:val="21"/>
              </w:rPr>
              <w:t>SS100-1.0</w:t>
            </w:r>
          </w:p>
        </w:tc>
        <w:tc>
          <w:tcPr>
            <w:tcW w:w="1121" w:type="pct"/>
            <w:vAlign w:val="center"/>
          </w:tcPr>
          <w:p>
            <w:pPr>
              <w:spacing w:line="240" w:lineRule="auto"/>
              <w:ind w:firstLine="0" w:firstLineChars="0"/>
              <w:jc w:val="center"/>
              <w:rPr>
                <w:rFonts w:ascii="宋体" w:hAnsi="宋体" w:cs="宋体"/>
                <w:bCs/>
                <w:sz w:val="21"/>
                <w:szCs w:val="21"/>
              </w:rPr>
            </w:pPr>
            <w:r>
              <w:rPr>
                <w:rFonts w:hint="eastAsia" w:ascii="宋体" w:hAnsi="宋体" w:cs="宋体"/>
                <w:bCs/>
                <w:sz w:val="21"/>
                <w:szCs w:val="21"/>
              </w:rPr>
              <w:t>3</w:t>
            </w:r>
          </w:p>
        </w:tc>
        <w:tc>
          <w:tcPr>
            <w:tcW w:w="1203" w:type="pct"/>
            <w:vAlign w:val="center"/>
          </w:tcPr>
          <w:p>
            <w:pPr>
              <w:spacing w:line="240" w:lineRule="auto"/>
              <w:ind w:firstLine="0" w:firstLineChars="0"/>
              <w:jc w:val="center"/>
              <w:rPr>
                <w:rFonts w:ascii="宋体" w:hAnsi="宋体" w:cs="宋体"/>
                <w:bCs/>
                <w:sz w:val="21"/>
                <w:szCs w:val="21"/>
              </w:rPr>
            </w:pPr>
            <w:r>
              <w:rPr>
                <w:rFonts w:hint="eastAsia" w:ascii="宋体" w:hAnsi="宋体" w:cs="宋体"/>
                <w:bCs/>
                <w:sz w:val="21"/>
                <w:szCs w:val="21"/>
              </w:rPr>
              <w:t>厂区</w:t>
            </w: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000" w:type="pct"/>
            <w:gridSpan w:val="5"/>
            <w:vAlign w:val="center"/>
          </w:tcPr>
          <w:p>
            <w:pPr>
              <w:spacing w:line="240" w:lineRule="auto"/>
              <w:ind w:firstLine="0" w:firstLineChars="0"/>
              <w:jc w:val="center"/>
              <w:rPr>
                <w:rFonts w:ascii="宋体" w:hAnsi="宋体" w:cs="宋体"/>
                <w:sz w:val="21"/>
                <w:szCs w:val="21"/>
              </w:rPr>
            </w:pPr>
            <w:r>
              <w:rPr>
                <w:rFonts w:hint="eastAsia" w:ascii="宋体" w:hAnsi="宋体" w:cs="宋体"/>
                <w:b/>
                <w:sz w:val="21"/>
                <w:szCs w:val="21"/>
              </w:rPr>
              <w:t>10.紧急个体处置设施</w:t>
            </w: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45"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1</w:t>
            </w:r>
          </w:p>
        </w:tc>
        <w:tc>
          <w:tcPr>
            <w:tcW w:w="1156"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应急照明灯</w:t>
            </w:r>
          </w:p>
        </w:tc>
        <w:tc>
          <w:tcPr>
            <w:tcW w:w="1173"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可充电式，</w:t>
            </w:r>
            <w:r>
              <w:rPr>
                <w:rFonts w:hint="eastAsia" w:ascii="宋体" w:hAnsi="宋体" w:cs="宋体"/>
                <w:bCs/>
                <w:sz w:val="21"/>
                <w:szCs w:val="21"/>
              </w:rPr>
              <w:t>≥30min</w:t>
            </w:r>
          </w:p>
        </w:tc>
        <w:tc>
          <w:tcPr>
            <w:tcW w:w="1121"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30台</w:t>
            </w:r>
          </w:p>
        </w:tc>
        <w:tc>
          <w:tcPr>
            <w:tcW w:w="1203"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生产车间、仓库</w:t>
            </w: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000" w:type="pct"/>
            <w:gridSpan w:val="5"/>
            <w:vAlign w:val="center"/>
          </w:tcPr>
          <w:p>
            <w:pPr>
              <w:spacing w:line="240" w:lineRule="auto"/>
              <w:ind w:firstLine="0" w:firstLineChars="0"/>
              <w:jc w:val="center"/>
              <w:rPr>
                <w:rFonts w:ascii="宋体" w:hAnsi="宋体" w:cs="宋体"/>
                <w:sz w:val="21"/>
                <w:szCs w:val="21"/>
              </w:rPr>
            </w:pPr>
            <w:r>
              <w:rPr>
                <w:rFonts w:hint="eastAsia" w:ascii="宋体" w:hAnsi="宋体" w:cs="宋体"/>
                <w:b/>
                <w:sz w:val="21"/>
                <w:szCs w:val="21"/>
              </w:rPr>
              <w:t>11.逃生避难设施</w:t>
            </w: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45"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1</w:t>
            </w:r>
          </w:p>
        </w:tc>
        <w:tc>
          <w:tcPr>
            <w:tcW w:w="1156"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封闭楼梯间</w:t>
            </w:r>
          </w:p>
        </w:tc>
        <w:tc>
          <w:tcPr>
            <w:tcW w:w="1173" w:type="pct"/>
            <w:vAlign w:val="center"/>
          </w:tcPr>
          <w:p>
            <w:pPr>
              <w:spacing w:line="240" w:lineRule="auto"/>
              <w:ind w:firstLine="0" w:firstLineChars="0"/>
              <w:jc w:val="center"/>
              <w:rPr>
                <w:rFonts w:ascii="宋体" w:hAnsi="宋体" w:cs="宋体"/>
                <w:sz w:val="21"/>
                <w:szCs w:val="21"/>
              </w:rPr>
            </w:pPr>
          </w:p>
        </w:tc>
        <w:tc>
          <w:tcPr>
            <w:tcW w:w="1121"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1处</w:t>
            </w:r>
          </w:p>
        </w:tc>
        <w:tc>
          <w:tcPr>
            <w:tcW w:w="1203" w:type="pct"/>
            <w:vAlign w:val="center"/>
          </w:tcPr>
          <w:p>
            <w:pPr>
              <w:spacing w:line="240" w:lineRule="auto"/>
              <w:ind w:firstLine="0" w:firstLineChars="0"/>
              <w:jc w:val="center"/>
              <w:rPr>
                <w:rFonts w:ascii="宋体" w:hAnsi="宋体" w:cs="宋体"/>
                <w:sz w:val="21"/>
                <w:szCs w:val="21"/>
              </w:rPr>
            </w:pPr>
            <w:r>
              <w:rPr>
                <w:rFonts w:hint="eastAsia" w:cs="Times New Roman"/>
                <w:sz w:val="21"/>
                <w:szCs w:val="20"/>
              </w:rPr>
              <w:t>办公楼</w:t>
            </w: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45"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2</w:t>
            </w:r>
          </w:p>
        </w:tc>
        <w:tc>
          <w:tcPr>
            <w:tcW w:w="1156"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安全出口</w:t>
            </w:r>
          </w:p>
        </w:tc>
        <w:tc>
          <w:tcPr>
            <w:tcW w:w="1173" w:type="pct"/>
            <w:vAlign w:val="center"/>
          </w:tcPr>
          <w:p>
            <w:pPr>
              <w:spacing w:line="240" w:lineRule="auto"/>
              <w:ind w:firstLine="0" w:firstLineChars="0"/>
              <w:jc w:val="center"/>
              <w:rPr>
                <w:rFonts w:ascii="宋体" w:hAnsi="宋体" w:cs="宋体"/>
                <w:sz w:val="21"/>
                <w:szCs w:val="21"/>
              </w:rPr>
            </w:pPr>
          </w:p>
        </w:tc>
        <w:tc>
          <w:tcPr>
            <w:tcW w:w="1121"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20个</w:t>
            </w:r>
          </w:p>
        </w:tc>
        <w:tc>
          <w:tcPr>
            <w:tcW w:w="1203" w:type="pct"/>
            <w:vAlign w:val="center"/>
          </w:tcPr>
          <w:p>
            <w:pPr>
              <w:spacing w:line="240" w:lineRule="auto"/>
              <w:ind w:firstLine="0" w:firstLineChars="0"/>
              <w:jc w:val="center"/>
              <w:rPr>
                <w:rFonts w:ascii="宋体" w:hAnsi="宋体" w:cs="宋体"/>
                <w:sz w:val="21"/>
                <w:szCs w:val="21"/>
              </w:rPr>
            </w:pPr>
            <w:r>
              <w:rPr>
                <w:rFonts w:hint="eastAsia" w:cs="Times New Roman"/>
                <w:sz w:val="21"/>
                <w:szCs w:val="20"/>
              </w:rPr>
              <w:t>办公楼</w:t>
            </w:r>
            <w:r>
              <w:rPr>
                <w:rFonts w:hint="eastAsia" w:ascii="宋体" w:hAnsi="宋体" w:cs="宋体"/>
                <w:sz w:val="21"/>
                <w:szCs w:val="21"/>
              </w:rPr>
              <w:t>、生产车间、仓库、门卫室</w:t>
            </w: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000" w:type="pct"/>
            <w:gridSpan w:val="5"/>
            <w:vAlign w:val="center"/>
          </w:tcPr>
          <w:p>
            <w:pPr>
              <w:spacing w:line="240" w:lineRule="auto"/>
              <w:ind w:firstLine="0" w:firstLineChars="0"/>
              <w:jc w:val="center"/>
              <w:rPr>
                <w:rFonts w:ascii="宋体" w:hAnsi="宋体" w:cs="宋体"/>
                <w:sz w:val="21"/>
                <w:szCs w:val="21"/>
              </w:rPr>
            </w:pPr>
            <w:r>
              <w:rPr>
                <w:rFonts w:hint="eastAsia" w:ascii="宋体" w:hAnsi="宋体" w:cs="宋体"/>
                <w:b/>
                <w:sz w:val="21"/>
                <w:szCs w:val="21"/>
              </w:rPr>
              <w:t>12.应急救援器材配备</w:t>
            </w: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45" w:type="pct"/>
            <w:vAlign w:val="center"/>
          </w:tcPr>
          <w:p>
            <w:pPr>
              <w:spacing w:line="360" w:lineRule="exact"/>
              <w:ind w:firstLine="0" w:firstLineChars="0"/>
              <w:jc w:val="center"/>
              <w:rPr>
                <w:rFonts w:ascii="宋体" w:hAnsi="宋体" w:cs="宋体"/>
                <w:b/>
                <w:sz w:val="21"/>
                <w:szCs w:val="21"/>
              </w:rPr>
            </w:pPr>
            <w:r>
              <w:rPr>
                <w:rFonts w:hint="eastAsia" w:ascii="宋体" w:hAnsi="宋体" w:cs="宋体"/>
                <w:b/>
                <w:sz w:val="21"/>
                <w:szCs w:val="21"/>
              </w:rPr>
              <w:t>序号</w:t>
            </w:r>
          </w:p>
        </w:tc>
        <w:tc>
          <w:tcPr>
            <w:tcW w:w="1156" w:type="pct"/>
            <w:vAlign w:val="center"/>
          </w:tcPr>
          <w:p>
            <w:pPr>
              <w:spacing w:line="360" w:lineRule="exact"/>
              <w:ind w:firstLine="0" w:firstLineChars="0"/>
              <w:jc w:val="center"/>
              <w:rPr>
                <w:rFonts w:ascii="宋体" w:hAnsi="宋体" w:cs="宋体"/>
                <w:b/>
                <w:sz w:val="21"/>
                <w:szCs w:val="21"/>
              </w:rPr>
            </w:pPr>
            <w:r>
              <w:rPr>
                <w:rFonts w:hint="eastAsia" w:ascii="宋体" w:hAnsi="宋体" w:cs="宋体"/>
                <w:b/>
                <w:sz w:val="21"/>
                <w:szCs w:val="21"/>
              </w:rPr>
              <w:t>器材设备名称</w:t>
            </w:r>
          </w:p>
        </w:tc>
        <w:tc>
          <w:tcPr>
            <w:tcW w:w="1173" w:type="pct"/>
            <w:vAlign w:val="center"/>
          </w:tcPr>
          <w:p>
            <w:pPr>
              <w:spacing w:line="360" w:lineRule="exact"/>
              <w:ind w:firstLine="0" w:firstLineChars="0"/>
              <w:jc w:val="center"/>
              <w:rPr>
                <w:rFonts w:ascii="宋体" w:hAnsi="宋体" w:cs="宋体"/>
                <w:b/>
                <w:sz w:val="21"/>
                <w:szCs w:val="21"/>
              </w:rPr>
            </w:pPr>
            <w:r>
              <w:rPr>
                <w:rFonts w:hint="eastAsia" w:ascii="宋体" w:hAnsi="宋体" w:cs="宋体"/>
                <w:b/>
                <w:sz w:val="21"/>
                <w:szCs w:val="21"/>
              </w:rPr>
              <w:t>规格型号</w:t>
            </w:r>
          </w:p>
        </w:tc>
        <w:tc>
          <w:tcPr>
            <w:tcW w:w="1121" w:type="pct"/>
            <w:vAlign w:val="center"/>
          </w:tcPr>
          <w:p>
            <w:pPr>
              <w:spacing w:line="360" w:lineRule="exact"/>
              <w:ind w:firstLine="0" w:firstLineChars="0"/>
              <w:jc w:val="center"/>
              <w:rPr>
                <w:rFonts w:ascii="宋体" w:hAnsi="宋体" w:cs="宋体"/>
                <w:b/>
                <w:sz w:val="21"/>
                <w:szCs w:val="21"/>
              </w:rPr>
            </w:pPr>
            <w:r>
              <w:rPr>
                <w:rFonts w:hint="eastAsia" w:ascii="宋体" w:hAnsi="宋体" w:cs="宋体"/>
                <w:b/>
                <w:sz w:val="21"/>
                <w:szCs w:val="21"/>
              </w:rPr>
              <w:t>数量</w:t>
            </w:r>
          </w:p>
        </w:tc>
        <w:tc>
          <w:tcPr>
            <w:tcW w:w="1203" w:type="pct"/>
            <w:vAlign w:val="center"/>
          </w:tcPr>
          <w:p>
            <w:pPr>
              <w:spacing w:line="360" w:lineRule="exact"/>
              <w:ind w:firstLine="0" w:firstLineChars="0"/>
              <w:jc w:val="center"/>
              <w:rPr>
                <w:rFonts w:ascii="宋体" w:hAnsi="宋体" w:cs="宋体"/>
                <w:b/>
                <w:sz w:val="21"/>
                <w:szCs w:val="21"/>
              </w:rPr>
            </w:pPr>
            <w:r>
              <w:rPr>
                <w:rFonts w:hint="eastAsia" w:ascii="宋体" w:hAnsi="宋体" w:cs="宋体"/>
                <w:b/>
                <w:sz w:val="21"/>
                <w:szCs w:val="21"/>
              </w:rPr>
              <w:t>备注</w:t>
            </w: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45" w:type="pct"/>
            <w:vAlign w:val="center"/>
          </w:tcPr>
          <w:p>
            <w:pPr>
              <w:widowControl/>
              <w:spacing w:line="240" w:lineRule="auto"/>
              <w:ind w:firstLine="0" w:firstLineChars="0"/>
              <w:jc w:val="center"/>
              <w:rPr>
                <w:rFonts w:ascii="宋体" w:hAnsi="宋体" w:cs="宋体"/>
                <w:sz w:val="21"/>
                <w:szCs w:val="21"/>
              </w:rPr>
            </w:pPr>
            <w:r>
              <w:rPr>
                <w:rFonts w:ascii="宋体" w:hAnsi="宋体" w:cs="Times New Roman"/>
                <w:kern w:val="0"/>
                <w:sz w:val="21"/>
                <w:szCs w:val="21"/>
              </w:rPr>
              <w:t>1</w:t>
            </w:r>
          </w:p>
        </w:tc>
        <w:tc>
          <w:tcPr>
            <w:tcW w:w="1156" w:type="pct"/>
            <w:vAlign w:val="center"/>
          </w:tcPr>
          <w:p>
            <w:pPr>
              <w:spacing w:line="360" w:lineRule="exact"/>
              <w:ind w:firstLine="0" w:firstLineChars="0"/>
              <w:jc w:val="center"/>
              <w:rPr>
                <w:rFonts w:ascii="宋体" w:hAnsi="宋体" w:cs="宋体"/>
                <w:sz w:val="21"/>
                <w:szCs w:val="21"/>
              </w:rPr>
            </w:pPr>
            <w:r>
              <w:rPr>
                <w:rFonts w:hint="eastAsia" w:ascii="宋体" w:hAnsi="宋体" w:cs="宋体"/>
                <w:sz w:val="21"/>
                <w:szCs w:val="21"/>
              </w:rPr>
              <w:t>消防器材</w:t>
            </w:r>
          </w:p>
        </w:tc>
        <w:tc>
          <w:tcPr>
            <w:tcW w:w="1173" w:type="pct"/>
            <w:vAlign w:val="center"/>
          </w:tcPr>
          <w:p>
            <w:pPr>
              <w:spacing w:line="360" w:lineRule="exact"/>
              <w:ind w:firstLine="0" w:firstLineChars="0"/>
              <w:jc w:val="center"/>
              <w:rPr>
                <w:rFonts w:ascii="宋体" w:hAnsi="宋体" w:cs="宋体"/>
                <w:sz w:val="21"/>
                <w:szCs w:val="21"/>
              </w:rPr>
            </w:pPr>
            <w:r>
              <w:rPr>
                <w:rFonts w:hint="eastAsia" w:ascii="宋体" w:hAnsi="宋体" w:cs="宋体"/>
                <w:sz w:val="21"/>
                <w:szCs w:val="21"/>
              </w:rPr>
              <w:t>见消防器材配备表</w:t>
            </w:r>
          </w:p>
        </w:tc>
        <w:tc>
          <w:tcPr>
            <w:tcW w:w="1121" w:type="pct"/>
            <w:vAlign w:val="center"/>
          </w:tcPr>
          <w:p>
            <w:pPr>
              <w:spacing w:line="360" w:lineRule="exact"/>
              <w:ind w:firstLine="0" w:firstLineChars="0"/>
              <w:jc w:val="center"/>
              <w:rPr>
                <w:rFonts w:ascii="宋体" w:hAnsi="宋体" w:cs="宋体"/>
                <w:sz w:val="21"/>
                <w:szCs w:val="21"/>
              </w:rPr>
            </w:pPr>
            <w:r>
              <w:rPr>
                <w:rFonts w:hint="eastAsia" w:ascii="宋体" w:hAnsi="宋体" w:cs="宋体"/>
                <w:sz w:val="21"/>
                <w:szCs w:val="21"/>
              </w:rPr>
              <w:t>批</w:t>
            </w:r>
          </w:p>
        </w:tc>
        <w:tc>
          <w:tcPr>
            <w:tcW w:w="1203" w:type="pct"/>
            <w:vAlign w:val="center"/>
          </w:tcPr>
          <w:p>
            <w:pPr>
              <w:spacing w:line="360" w:lineRule="exact"/>
              <w:ind w:firstLine="0" w:firstLineChars="0"/>
              <w:jc w:val="center"/>
              <w:rPr>
                <w:rFonts w:ascii="宋体" w:hAnsi="宋体" w:cs="宋体"/>
                <w:sz w:val="21"/>
                <w:szCs w:val="21"/>
              </w:rPr>
            </w:pP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45" w:type="pct"/>
            <w:vAlign w:val="center"/>
          </w:tcPr>
          <w:p>
            <w:pPr>
              <w:widowControl/>
              <w:spacing w:line="240" w:lineRule="auto"/>
              <w:ind w:firstLine="0" w:firstLineChars="0"/>
              <w:jc w:val="center"/>
              <w:rPr>
                <w:rFonts w:ascii="宋体" w:hAnsi="宋体" w:cs="宋体"/>
                <w:sz w:val="21"/>
                <w:szCs w:val="21"/>
              </w:rPr>
            </w:pPr>
            <w:r>
              <w:rPr>
                <w:rFonts w:ascii="宋体" w:hAnsi="宋体" w:cs="Times New Roman"/>
                <w:kern w:val="0"/>
                <w:sz w:val="21"/>
                <w:szCs w:val="21"/>
              </w:rPr>
              <w:t>2</w:t>
            </w:r>
          </w:p>
        </w:tc>
        <w:tc>
          <w:tcPr>
            <w:tcW w:w="1156" w:type="pct"/>
            <w:vAlign w:val="center"/>
          </w:tcPr>
          <w:p>
            <w:pPr>
              <w:spacing w:line="360" w:lineRule="exact"/>
              <w:ind w:firstLine="0" w:firstLineChars="0"/>
              <w:jc w:val="center"/>
              <w:rPr>
                <w:rFonts w:ascii="宋体" w:hAnsi="宋体" w:cs="宋体"/>
                <w:sz w:val="21"/>
                <w:szCs w:val="21"/>
              </w:rPr>
            </w:pPr>
            <w:r>
              <w:rPr>
                <w:rFonts w:hint="eastAsia" w:ascii="宋体" w:hAnsi="宋体" w:cs="宋体"/>
                <w:sz w:val="21"/>
                <w:szCs w:val="21"/>
              </w:rPr>
              <w:t>急救药箱（含解毒、烧伤等药品）</w:t>
            </w:r>
          </w:p>
        </w:tc>
        <w:tc>
          <w:tcPr>
            <w:tcW w:w="1173" w:type="pct"/>
            <w:vAlign w:val="center"/>
          </w:tcPr>
          <w:p>
            <w:pPr>
              <w:spacing w:line="360" w:lineRule="exact"/>
              <w:ind w:firstLine="0" w:firstLineChars="0"/>
              <w:jc w:val="center"/>
              <w:rPr>
                <w:rFonts w:ascii="宋体" w:hAnsi="宋体" w:cs="宋体"/>
                <w:sz w:val="21"/>
                <w:szCs w:val="21"/>
              </w:rPr>
            </w:pPr>
          </w:p>
        </w:tc>
        <w:tc>
          <w:tcPr>
            <w:tcW w:w="1121" w:type="pct"/>
            <w:vAlign w:val="center"/>
          </w:tcPr>
          <w:p>
            <w:pPr>
              <w:spacing w:line="360" w:lineRule="exact"/>
              <w:ind w:firstLine="0" w:firstLineChars="0"/>
              <w:jc w:val="center"/>
              <w:rPr>
                <w:rFonts w:ascii="宋体" w:hAnsi="宋体" w:cs="宋体"/>
                <w:sz w:val="21"/>
                <w:szCs w:val="21"/>
              </w:rPr>
            </w:pPr>
            <w:r>
              <w:rPr>
                <w:rFonts w:hint="eastAsia" w:ascii="宋体" w:hAnsi="宋体" w:cs="宋体"/>
                <w:sz w:val="21"/>
                <w:szCs w:val="21"/>
              </w:rPr>
              <w:t>2只</w:t>
            </w:r>
          </w:p>
        </w:tc>
        <w:tc>
          <w:tcPr>
            <w:tcW w:w="1203" w:type="pct"/>
            <w:vAlign w:val="center"/>
          </w:tcPr>
          <w:p>
            <w:pPr>
              <w:spacing w:line="360" w:lineRule="exact"/>
              <w:ind w:firstLine="0" w:firstLineChars="0"/>
              <w:jc w:val="center"/>
              <w:rPr>
                <w:rFonts w:ascii="宋体" w:hAnsi="宋体" w:cs="宋体"/>
                <w:sz w:val="21"/>
                <w:szCs w:val="21"/>
              </w:rPr>
            </w:pP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45" w:type="pct"/>
            <w:vAlign w:val="center"/>
          </w:tcPr>
          <w:p>
            <w:pPr>
              <w:widowControl/>
              <w:spacing w:line="240" w:lineRule="auto"/>
              <w:ind w:firstLine="0" w:firstLineChars="0"/>
              <w:jc w:val="center"/>
              <w:rPr>
                <w:rFonts w:ascii="宋体" w:hAnsi="宋体" w:cs="宋体"/>
                <w:sz w:val="21"/>
                <w:szCs w:val="21"/>
              </w:rPr>
            </w:pPr>
            <w:r>
              <w:rPr>
                <w:rFonts w:ascii="宋体" w:hAnsi="宋体" w:cs="Times New Roman"/>
                <w:kern w:val="0"/>
                <w:sz w:val="21"/>
                <w:szCs w:val="21"/>
              </w:rPr>
              <w:t>3</w:t>
            </w:r>
          </w:p>
        </w:tc>
        <w:tc>
          <w:tcPr>
            <w:tcW w:w="1156" w:type="pct"/>
            <w:vAlign w:val="center"/>
          </w:tcPr>
          <w:p>
            <w:pPr>
              <w:spacing w:line="360" w:lineRule="exact"/>
              <w:ind w:firstLine="0" w:firstLineChars="0"/>
              <w:jc w:val="center"/>
              <w:rPr>
                <w:rFonts w:ascii="宋体" w:hAnsi="宋体" w:cs="宋体"/>
                <w:sz w:val="21"/>
                <w:szCs w:val="21"/>
              </w:rPr>
            </w:pPr>
            <w:r>
              <w:rPr>
                <w:rFonts w:hint="eastAsia" w:ascii="宋体" w:hAnsi="宋体" w:cs="宋体"/>
                <w:sz w:val="21"/>
                <w:szCs w:val="21"/>
              </w:rPr>
              <w:t>绝热防护服</w:t>
            </w:r>
          </w:p>
        </w:tc>
        <w:tc>
          <w:tcPr>
            <w:tcW w:w="1173" w:type="pct"/>
            <w:vAlign w:val="center"/>
          </w:tcPr>
          <w:p>
            <w:pPr>
              <w:spacing w:line="360" w:lineRule="exact"/>
              <w:ind w:firstLine="0" w:firstLineChars="0"/>
              <w:jc w:val="center"/>
              <w:rPr>
                <w:rFonts w:ascii="宋体" w:hAnsi="宋体" w:cs="宋体"/>
                <w:sz w:val="21"/>
                <w:szCs w:val="21"/>
              </w:rPr>
            </w:pPr>
          </w:p>
        </w:tc>
        <w:tc>
          <w:tcPr>
            <w:tcW w:w="1121" w:type="pct"/>
            <w:vAlign w:val="center"/>
          </w:tcPr>
          <w:p>
            <w:pPr>
              <w:spacing w:line="360" w:lineRule="exact"/>
              <w:ind w:firstLine="0" w:firstLineChars="0"/>
              <w:jc w:val="center"/>
              <w:rPr>
                <w:rFonts w:ascii="宋体" w:hAnsi="宋体" w:cs="宋体"/>
                <w:sz w:val="21"/>
                <w:szCs w:val="21"/>
              </w:rPr>
            </w:pPr>
            <w:r>
              <w:rPr>
                <w:rFonts w:hint="eastAsia" w:ascii="宋体" w:hAnsi="宋体" w:cs="宋体"/>
                <w:sz w:val="21"/>
                <w:szCs w:val="21"/>
              </w:rPr>
              <w:t>4套</w:t>
            </w:r>
          </w:p>
        </w:tc>
        <w:tc>
          <w:tcPr>
            <w:tcW w:w="1203" w:type="pct"/>
            <w:vAlign w:val="center"/>
          </w:tcPr>
          <w:p>
            <w:pPr>
              <w:spacing w:line="360" w:lineRule="exact"/>
              <w:ind w:firstLine="0" w:firstLineChars="0"/>
              <w:jc w:val="center"/>
              <w:rPr>
                <w:rFonts w:ascii="宋体" w:hAnsi="宋体" w:cs="宋体"/>
                <w:sz w:val="21"/>
                <w:szCs w:val="21"/>
              </w:rPr>
            </w:pP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45" w:type="pct"/>
            <w:vAlign w:val="center"/>
          </w:tcPr>
          <w:p>
            <w:pPr>
              <w:widowControl/>
              <w:spacing w:line="240" w:lineRule="auto"/>
              <w:ind w:firstLine="0" w:firstLineChars="0"/>
              <w:jc w:val="center"/>
              <w:rPr>
                <w:rFonts w:ascii="宋体" w:hAnsi="宋体" w:cs="宋体"/>
                <w:sz w:val="21"/>
                <w:szCs w:val="21"/>
              </w:rPr>
            </w:pPr>
            <w:r>
              <w:rPr>
                <w:rFonts w:hint="eastAsia" w:ascii="宋体" w:hAnsi="宋体" w:cs="Times New Roman"/>
                <w:kern w:val="0"/>
                <w:sz w:val="21"/>
                <w:szCs w:val="21"/>
              </w:rPr>
              <w:t>4</w:t>
            </w:r>
          </w:p>
        </w:tc>
        <w:tc>
          <w:tcPr>
            <w:tcW w:w="1156" w:type="pct"/>
            <w:vAlign w:val="center"/>
          </w:tcPr>
          <w:p>
            <w:pPr>
              <w:spacing w:line="240" w:lineRule="auto"/>
              <w:ind w:firstLine="0" w:firstLineChars="0"/>
              <w:jc w:val="center"/>
              <w:rPr>
                <w:rFonts w:ascii="宋体" w:hAnsi="宋体" w:cs="宋体"/>
                <w:sz w:val="21"/>
                <w:szCs w:val="20"/>
              </w:rPr>
            </w:pPr>
            <w:r>
              <w:rPr>
                <w:rFonts w:hint="eastAsia" w:ascii="宋体" w:hAnsi="宋体" w:cs="宋体"/>
                <w:sz w:val="21"/>
                <w:szCs w:val="20"/>
              </w:rPr>
              <w:t>绝热手套</w:t>
            </w:r>
          </w:p>
        </w:tc>
        <w:tc>
          <w:tcPr>
            <w:tcW w:w="1173" w:type="pct"/>
            <w:vAlign w:val="center"/>
          </w:tcPr>
          <w:p>
            <w:pPr>
              <w:widowControl/>
              <w:overflowPunct w:val="0"/>
              <w:spacing w:line="360" w:lineRule="exact"/>
              <w:ind w:firstLine="0" w:firstLineChars="0"/>
              <w:jc w:val="center"/>
              <w:rPr>
                <w:rFonts w:ascii="宋体" w:hAnsi="宋体" w:cs="宋体"/>
                <w:sz w:val="21"/>
                <w:szCs w:val="21"/>
              </w:rPr>
            </w:pPr>
          </w:p>
        </w:tc>
        <w:tc>
          <w:tcPr>
            <w:tcW w:w="1121" w:type="pct"/>
            <w:vAlign w:val="center"/>
          </w:tcPr>
          <w:p>
            <w:pPr>
              <w:spacing w:line="360" w:lineRule="exact"/>
              <w:ind w:firstLine="0" w:firstLineChars="0"/>
              <w:jc w:val="center"/>
              <w:rPr>
                <w:rFonts w:ascii="宋体" w:hAnsi="宋体" w:cs="宋体"/>
                <w:sz w:val="21"/>
                <w:szCs w:val="21"/>
              </w:rPr>
            </w:pPr>
            <w:r>
              <w:rPr>
                <w:rFonts w:hint="eastAsia" w:ascii="宋体" w:hAnsi="宋体" w:cs="宋体"/>
                <w:sz w:val="21"/>
                <w:szCs w:val="21"/>
              </w:rPr>
              <w:t>4套</w:t>
            </w:r>
          </w:p>
        </w:tc>
        <w:tc>
          <w:tcPr>
            <w:tcW w:w="1203" w:type="pct"/>
            <w:vAlign w:val="center"/>
          </w:tcPr>
          <w:p>
            <w:pPr>
              <w:spacing w:line="240" w:lineRule="auto"/>
              <w:ind w:firstLine="0" w:firstLineChars="0"/>
              <w:jc w:val="center"/>
              <w:rPr>
                <w:rFonts w:ascii="宋体" w:hAnsi="宋体" w:cs="宋体"/>
                <w:sz w:val="21"/>
                <w:szCs w:val="21"/>
              </w:rPr>
            </w:pP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45" w:type="pct"/>
            <w:vAlign w:val="center"/>
          </w:tcPr>
          <w:p>
            <w:pPr>
              <w:widowControl/>
              <w:spacing w:line="240" w:lineRule="auto"/>
              <w:ind w:firstLine="0" w:firstLineChars="0"/>
              <w:jc w:val="center"/>
              <w:rPr>
                <w:rFonts w:ascii="宋体" w:hAnsi="宋体" w:cs="宋体"/>
                <w:sz w:val="21"/>
                <w:szCs w:val="21"/>
              </w:rPr>
            </w:pPr>
            <w:r>
              <w:rPr>
                <w:rFonts w:hint="eastAsia" w:ascii="宋体" w:hAnsi="宋体" w:cs="Times New Roman"/>
                <w:kern w:val="0"/>
                <w:sz w:val="21"/>
                <w:szCs w:val="21"/>
              </w:rPr>
              <w:t>5</w:t>
            </w:r>
          </w:p>
        </w:tc>
        <w:tc>
          <w:tcPr>
            <w:tcW w:w="1156" w:type="pct"/>
            <w:vAlign w:val="center"/>
          </w:tcPr>
          <w:p>
            <w:pPr>
              <w:spacing w:line="360" w:lineRule="exact"/>
              <w:ind w:firstLine="0" w:firstLineChars="0"/>
              <w:jc w:val="center"/>
              <w:rPr>
                <w:rFonts w:ascii="宋体" w:hAnsi="宋体" w:cs="宋体"/>
                <w:sz w:val="21"/>
                <w:szCs w:val="21"/>
              </w:rPr>
            </w:pPr>
            <w:r>
              <w:rPr>
                <w:rFonts w:hint="eastAsia" w:ascii="宋体" w:hAnsi="宋体" w:cs="宋体"/>
                <w:sz w:val="21"/>
                <w:szCs w:val="21"/>
              </w:rPr>
              <w:t>口罩</w:t>
            </w:r>
          </w:p>
        </w:tc>
        <w:tc>
          <w:tcPr>
            <w:tcW w:w="1173" w:type="pct"/>
            <w:vAlign w:val="center"/>
          </w:tcPr>
          <w:p>
            <w:pPr>
              <w:spacing w:line="360" w:lineRule="exact"/>
              <w:ind w:firstLine="0" w:firstLineChars="0"/>
              <w:jc w:val="center"/>
              <w:rPr>
                <w:rFonts w:ascii="宋体" w:hAnsi="宋体" w:cs="宋体"/>
                <w:sz w:val="21"/>
                <w:szCs w:val="21"/>
              </w:rPr>
            </w:pPr>
            <w:r>
              <w:rPr>
                <w:rFonts w:hint="eastAsia" w:ascii="宋体" w:hAnsi="宋体" w:cs="宋体"/>
                <w:sz w:val="21"/>
                <w:szCs w:val="21"/>
              </w:rPr>
              <w:t>医用</w:t>
            </w:r>
          </w:p>
        </w:tc>
        <w:tc>
          <w:tcPr>
            <w:tcW w:w="1121" w:type="pct"/>
            <w:vAlign w:val="center"/>
          </w:tcPr>
          <w:p>
            <w:pPr>
              <w:spacing w:line="360" w:lineRule="exact"/>
              <w:ind w:firstLine="0" w:firstLineChars="0"/>
              <w:jc w:val="center"/>
              <w:rPr>
                <w:rFonts w:ascii="宋体" w:hAnsi="宋体" w:cs="宋体"/>
                <w:sz w:val="21"/>
                <w:szCs w:val="21"/>
              </w:rPr>
            </w:pPr>
            <w:r>
              <w:rPr>
                <w:rFonts w:hint="eastAsia" w:ascii="宋体" w:hAnsi="宋体" w:cs="宋体"/>
                <w:sz w:val="21"/>
                <w:szCs w:val="21"/>
              </w:rPr>
              <w:t>60只</w:t>
            </w:r>
          </w:p>
        </w:tc>
        <w:tc>
          <w:tcPr>
            <w:tcW w:w="1203" w:type="pct"/>
            <w:vAlign w:val="center"/>
          </w:tcPr>
          <w:p>
            <w:pPr>
              <w:spacing w:line="360" w:lineRule="exact"/>
              <w:ind w:firstLine="0" w:firstLineChars="0"/>
              <w:jc w:val="center"/>
              <w:rPr>
                <w:rFonts w:ascii="宋体" w:hAnsi="宋体" w:cs="宋体"/>
                <w:sz w:val="21"/>
                <w:szCs w:val="21"/>
              </w:rPr>
            </w:pP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45" w:type="pct"/>
            <w:vAlign w:val="center"/>
          </w:tcPr>
          <w:p>
            <w:pPr>
              <w:widowControl/>
              <w:spacing w:line="240" w:lineRule="auto"/>
              <w:ind w:firstLine="0" w:firstLineChars="0"/>
              <w:jc w:val="center"/>
              <w:rPr>
                <w:rFonts w:ascii="宋体" w:hAnsi="宋体" w:cs="宋体"/>
                <w:sz w:val="21"/>
                <w:szCs w:val="21"/>
              </w:rPr>
            </w:pPr>
            <w:r>
              <w:rPr>
                <w:rFonts w:hint="eastAsia" w:ascii="宋体" w:hAnsi="宋体" w:cs="Times New Roman"/>
                <w:kern w:val="0"/>
                <w:sz w:val="21"/>
                <w:szCs w:val="21"/>
              </w:rPr>
              <w:t>6</w:t>
            </w:r>
          </w:p>
        </w:tc>
        <w:tc>
          <w:tcPr>
            <w:tcW w:w="1156"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自给正压式呼吸器</w:t>
            </w:r>
          </w:p>
        </w:tc>
        <w:tc>
          <w:tcPr>
            <w:tcW w:w="1173" w:type="pct"/>
            <w:vAlign w:val="center"/>
          </w:tcPr>
          <w:p>
            <w:pPr>
              <w:spacing w:line="360" w:lineRule="exact"/>
              <w:ind w:firstLine="0" w:firstLineChars="0"/>
              <w:jc w:val="center"/>
              <w:rPr>
                <w:rFonts w:ascii="宋体" w:hAnsi="宋体" w:cs="宋体"/>
                <w:sz w:val="21"/>
                <w:szCs w:val="21"/>
              </w:rPr>
            </w:pPr>
          </w:p>
        </w:tc>
        <w:tc>
          <w:tcPr>
            <w:tcW w:w="1121"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2套</w:t>
            </w:r>
          </w:p>
        </w:tc>
        <w:tc>
          <w:tcPr>
            <w:tcW w:w="1203" w:type="pct"/>
            <w:vAlign w:val="center"/>
          </w:tcPr>
          <w:p>
            <w:pPr>
              <w:spacing w:line="240" w:lineRule="auto"/>
              <w:ind w:firstLine="0" w:firstLineChars="0"/>
              <w:jc w:val="center"/>
              <w:rPr>
                <w:rFonts w:ascii="宋体" w:hAnsi="宋体" w:cs="宋体"/>
                <w:sz w:val="21"/>
                <w:szCs w:val="21"/>
              </w:rPr>
            </w:pP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45" w:type="pct"/>
            <w:vAlign w:val="center"/>
          </w:tcPr>
          <w:p>
            <w:pPr>
              <w:widowControl/>
              <w:spacing w:line="240" w:lineRule="auto"/>
              <w:ind w:firstLine="0" w:firstLineChars="0"/>
              <w:jc w:val="center"/>
              <w:rPr>
                <w:rFonts w:ascii="宋体" w:hAnsi="宋体" w:cs="宋体"/>
                <w:sz w:val="21"/>
                <w:szCs w:val="21"/>
              </w:rPr>
            </w:pPr>
            <w:r>
              <w:rPr>
                <w:rFonts w:hint="eastAsia" w:ascii="宋体" w:hAnsi="宋体" w:cs="Times New Roman"/>
                <w:kern w:val="0"/>
                <w:sz w:val="21"/>
                <w:szCs w:val="21"/>
              </w:rPr>
              <w:t>7</w:t>
            </w:r>
          </w:p>
        </w:tc>
        <w:tc>
          <w:tcPr>
            <w:tcW w:w="1156"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一般消防防护服</w:t>
            </w:r>
          </w:p>
        </w:tc>
        <w:tc>
          <w:tcPr>
            <w:tcW w:w="1173" w:type="pct"/>
            <w:vAlign w:val="center"/>
          </w:tcPr>
          <w:p>
            <w:pPr>
              <w:spacing w:line="360" w:lineRule="exact"/>
              <w:ind w:firstLine="0" w:firstLineChars="0"/>
              <w:jc w:val="center"/>
              <w:rPr>
                <w:rFonts w:ascii="宋体" w:hAnsi="宋体" w:cs="宋体"/>
                <w:sz w:val="21"/>
                <w:szCs w:val="21"/>
              </w:rPr>
            </w:pPr>
          </w:p>
        </w:tc>
        <w:tc>
          <w:tcPr>
            <w:tcW w:w="1121"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10套</w:t>
            </w:r>
          </w:p>
        </w:tc>
        <w:tc>
          <w:tcPr>
            <w:tcW w:w="1203" w:type="pct"/>
            <w:vAlign w:val="center"/>
          </w:tcPr>
          <w:p>
            <w:pPr>
              <w:spacing w:line="240" w:lineRule="auto"/>
              <w:ind w:firstLine="0" w:firstLineChars="0"/>
              <w:jc w:val="center"/>
              <w:rPr>
                <w:rFonts w:ascii="宋体" w:hAnsi="宋体" w:cs="宋体"/>
                <w:sz w:val="21"/>
                <w:szCs w:val="21"/>
              </w:rPr>
            </w:pP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45" w:type="pct"/>
            <w:vAlign w:val="center"/>
          </w:tcPr>
          <w:p>
            <w:pPr>
              <w:widowControl/>
              <w:spacing w:line="240" w:lineRule="auto"/>
              <w:ind w:firstLine="0" w:firstLineChars="0"/>
              <w:jc w:val="center"/>
              <w:rPr>
                <w:rFonts w:ascii="宋体" w:hAnsi="宋体" w:cs="宋体"/>
                <w:sz w:val="21"/>
                <w:szCs w:val="21"/>
              </w:rPr>
            </w:pPr>
            <w:r>
              <w:rPr>
                <w:rFonts w:hint="eastAsia" w:ascii="宋体" w:hAnsi="宋体" w:cs="Times New Roman"/>
                <w:kern w:val="0"/>
                <w:sz w:val="21"/>
                <w:szCs w:val="21"/>
              </w:rPr>
              <w:t>8</w:t>
            </w:r>
          </w:p>
        </w:tc>
        <w:tc>
          <w:tcPr>
            <w:tcW w:w="1156"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防静电工作服</w:t>
            </w:r>
          </w:p>
        </w:tc>
        <w:tc>
          <w:tcPr>
            <w:tcW w:w="1173" w:type="pct"/>
            <w:vAlign w:val="center"/>
          </w:tcPr>
          <w:p>
            <w:pPr>
              <w:spacing w:line="360" w:lineRule="exact"/>
              <w:ind w:firstLine="0" w:firstLineChars="0"/>
              <w:jc w:val="center"/>
              <w:rPr>
                <w:rFonts w:ascii="宋体" w:hAnsi="宋体" w:cs="宋体"/>
                <w:sz w:val="21"/>
                <w:szCs w:val="21"/>
              </w:rPr>
            </w:pPr>
          </w:p>
        </w:tc>
        <w:tc>
          <w:tcPr>
            <w:tcW w:w="1121"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10套</w:t>
            </w:r>
          </w:p>
        </w:tc>
        <w:tc>
          <w:tcPr>
            <w:tcW w:w="1203" w:type="pct"/>
            <w:vAlign w:val="center"/>
          </w:tcPr>
          <w:p>
            <w:pPr>
              <w:spacing w:line="240" w:lineRule="auto"/>
              <w:ind w:firstLine="0" w:firstLineChars="0"/>
              <w:jc w:val="center"/>
              <w:rPr>
                <w:rFonts w:ascii="宋体" w:hAnsi="宋体" w:cs="宋体"/>
                <w:sz w:val="21"/>
                <w:szCs w:val="21"/>
              </w:rPr>
            </w:pP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45" w:type="pct"/>
            <w:vAlign w:val="center"/>
          </w:tcPr>
          <w:p>
            <w:pPr>
              <w:widowControl/>
              <w:spacing w:line="240" w:lineRule="auto"/>
              <w:ind w:firstLine="0" w:firstLineChars="0"/>
              <w:jc w:val="center"/>
              <w:rPr>
                <w:rFonts w:ascii="宋体" w:hAnsi="宋体" w:cs="宋体"/>
                <w:sz w:val="21"/>
                <w:szCs w:val="21"/>
              </w:rPr>
            </w:pPr>
            <w:r>
              <w:rPr>
                <w:rFonts w:hint="eastAsia" w:ascii="宋体" w:hAnsi="宋体" w:cs="Times New Roman"/>
                <w:kern w:val="0"/>
                <w:sz w:val="21"/>
                <w:szCs w:val="21"/>
              </w:rPr>
              <w:t>9</w:t>
            </w:r>
          </w:p>
        </w:tc>
        <w:tc>
          <w:tcPr>
            <w:tcW w:w="1156"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胶鞋</w:t>
            </w:r>
          </w:p>
        </w:tc>
        <w:tc>
          <w:tcPr>
            <w:tcW w:w="1173" w:type="pct"/>
            <w:vAlign w:val="center"/>
          </w:tcPr>
          <w:p>
            <w:pPr>
              <w:spacing w:line="360" w:lineRule="exact"/>
              <w:ind w:firstLine="0" w:firstLineChars="0"/>
              <w:jc w:val="center"/>
              <w:rPr>
                <w:rFonts w:ascii="宋体" w:hAnsi="宋体" w:cs="宋体"/>
                <w:sz w:val="21"/>
                <w:szCs w:val="21"/>
              </w:rPr>
            </w:pPr>
          </w:p>
        </w:tc>
        <w:tc>
          <w:tcPr>
            <w:tcW w:w="1121"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30双</w:t>
            </w:r>
          </w:p>
        </w:tc>
        <w:tc>
          <w:tcPr>
            <w:tcW w:w="1203" w:type="pct"/>
            <w:vAlign w:val="center"/>
          </w:tcPr>
          <w:p>
            <w:pPr>
              <w:spacing w:line="240" w:lineRule="auto"/>
              <w:ind w:firstLine="0" w:firstLineChars="0"/>
              <w:jc w:val="center"/>
              <w:rPr>
                <w:rFonts w:ascii="宋体" w:hAnsi="宋体" w:cs="宋体"/>
                <w:sz w:val="21"/>
                <w:szCs w:val="21"/>
              </w:rPr>
            </w:pP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45" w:type="pct"/>
            <w:vAlign w:val="center"/>
          </w:tcPr>
          <w:p>
            <w:pPr>
              <w:widowControl/>
              <w:spacing w:line="240" w:lineRule="auto"/>
              <w:ind w:firstLine="0" w:firstLineChars="0"/>
              <w:jc w:val="center"/>
              <w:rPr>
                <w:rFonts w:ascii="宋体" w:hAnsi="宋体" w:cs="宋体"/>
                <w:sz w:val="21"/>
                <w:szCs w:val="21"/>
              </w:rPr>
            </w:pPr>
            <w:r>
              <w:rPr>
                <w:rFonts w:hint="eastAsia" w:ascii="宋体" w:hAnsi="宋体" w:cs="Times New Roman"/>
                <w:kern w:val="0"/>
                <w:sz w:val="21"/>
                <w:szCs w:val="21"/>
              </w:rPr>
              <w:t>10</w:t>
            </w:r>
          </w:p>
        </w:tc>
        <w:tc>
          <w:tcPr>
            <w:tcW w:w="1156"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空气呼吸器</w:t>
            </w:r>
          </w:p>
        </w:tc>
        <w:tc>
          <w:tcPr>
            <w:tcW w:w="1173" w:type="pct"/>
            <w:vAlign w:val="center"/>
          </w:tcPr>
          <w:p>
            <w:pPr>
              <w:spacing w:line="360" w:lineRule="exact"/>
              <w:ind w:firstLine="0" w:firstLineChars="0"/>
              <w:jc w:val="center"/>
              <w:rPr>
                <w:rFonts w:ascii="宋体" w:hAnsi="宋体" w:cs="宋体"/>
                <w:sz w:val="21"/>
                <w:szCs w:val="21"/>
              </w:rPr>
            </w:pPr>
          </w:p>
        </w:tc>
        <w:tc>
          <w:tcPr>
            <w:tcW w:w="1121"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2个</w:t>
            </w:r>
          </w:p>
        </w:tc>
        <w:tc>
          <w:tcPr>
            <w:tcW w:w="1203" w:type="pct"/>
            <w:vAlign w:val="center"/>
          </w:tcPr>
          <w:p>
            <w:pPr>
              <w:spacing w:line="240" w:lineRule="auto"/>
              <w:ind w:firstLine="0" w:firstLineChars="0"/>
              <w:jc w:val="center"/>
              <w:rPr>
                <w:rFonts w:ascii="宋体" w:hAnsi="宋体" w:cs="宋体"/>
                <w:sz w:val="21"/>
                <w:szCs w:val="21"/>
              </w:rPr>
            </w:pP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45" w:type="pct"/>
            <w:vAlign w:val="center"/>
          </w:tcPr>
          <w:p>
            <w:pPr>
              <w:widowControl/>
              <w:spacing w:line="240" w:lineRule="auto"/>
              <w:ind w:firstLine="0" w:firstLineChars="0"/>
              <w:jc w:val="center"/>
              <w:rPr>
                <w:rFonts w:ascii="宋体" w:hAnsi="宋体" w:cs="宋体"/>
                <w:sz w:val="21"/>
                <w:szCs w:val="21"/>
              </w:rPr>
            </w:pPr>
            <w:r>
              <w:rPr>
                <w:rFonts w:hint="eastAsia" w:ascii="宋体" w:hAnsi="宋体" w:cs="Times New Roman"/>
                <w:kern w:val="0"/>
                <w:sz w:val="21"/>
                <w:szCs w:val="21"/>
              </w:rPr>
              <w:t>11</w:t>
            </w:r>
          </w:p>
        </w:tc>
        <w:tc>
          <w:tcPr>
            <w:tcW w:w="1156"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氧气包</w:t>
            </w:r>
          </w:p>
        </w:tc>
        <w:tc>
          <w:tcPr>
            <w:tcW w:w="1173" w:type="pct"/>
            <w:vAlign w:val="center"/>
          </w:tcPr>
          <w:p>
            <w:pPr>
              <w:spacing w:line="360" w:lineRule="exact"/>
              <w:ind w:firstLine="0" w:firstLineChars="0"/>
              <w:jc w:val="center"/>
              <w:rPr>
                <w:rFonts w:ascii="宋体" w:hAnsi="宋体" w:cs="宋体"/>
                <w:sz w:val="21"/>
                <w:szCs w:val="21"/>
              </w:rPr>
            </w:pPr>
          </w:p>
        </w:tc>
        <w:tc>
          <w:tcPr>
            <w:tcW w:w="1121"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5个</w:t>
            </w:r>
          </w:p>
        </w:tc>
        <w:tc>
          <w:tcPr>
            <w:tcW w:w="1203" w:type="pct"/>
            <w:vAlign w:val="center"/>
          </w:tcPr>
          <w:p>
            <w:pPr>
              <w:spacing w:line="240" w:lineRule="auto"/>
              <w:ind w:firstLine="0" w:firstLineChars="0"/>
              <w:jc w:val="center"/>
              <w:rPr>
                <w:rFonts w:ascii="宋体" w:hAnsi="宋体" w:cs="宋体"/>
                <w:sz w:val="21"/>
                <w:szCs w:val="21"/>
              </w:rPr>
            </w:pP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45" w:type="pct"/>
            <w:vAlign w:val="center"/>
          </w:tcPr>
          <w:p>
            <w:pPr>
              <w:widowControl/>
              <w:spacing w:line="240" w:lineRule="auto"/>
              <w:ind w:firstLine="0" w:firstLineChars="0"/>
              <w:jc w:val="center"/>
              <w:rPr>
                <w:rFonts w:ascii="宋体" w:hAnsi="宋体" w:cs="宋体"/>
                <w:sz w:val="21"/>
                <w:szCs w:val="21"/>
              </w:rPr>
            </w:pPr>
            <w:r>
              <w:rPr>
                <w:rFonts w:hint="eastAsia" w:ascii="宋体" w:hAnsi="宋体" w:cs="Times New Roman"/>
                <w:kern w:val="0"/>
                <w:sz w:val="21"/>
                <w:szCs w:val="21"/>
              </w:rPr>
              <w:t>12</w:t>
            </w:r>
          </w:p>
        </w:tc>
        <w:tc>
          <w:tcPr>
            <w:tcW w:w="1156"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胶布</w:t>
            </w:r>
          </w:p>
        </w:tc>
        <w:tc>
          <w:tcPr>
            <w:tcW w:w="1173" w:type="pct"/>
            <w:vAlign w:val="center"/>
          </w:tcPr>
          <w:p>
            <w:pPr>
              <w:spacing w:line="360" w:lineRule="exact"/>
              <w:ind w:firstLine="0" w:firstLineChars="0"/>
              <w:jc w:val="center"/>
              <w:rPr>
                <w:rFonts w:ascii="宋体" w:hAnsi="宋体" w:cs="宋体"/>
                <w:sz w:val="21"/>
                <w:szCs w:val="21"/>
              </w:rPr>
            </w:pPr>
            <w:r>
              <w:rPr>
                <w:rFonts w:hint="eastAsia" w:ascii="宋体" w:hAnsi="宋体" w:cs="宋体"/>
                <w:sz w:val="21"/>
                <w:szCs w:val="21"/>
              </w:rPr>
              <w:t>医用</w:t>
            </w:r>
          </w:p>
        </w:tc>
        <w:tc>
          <w:tcPr>
            <w:tcW w:w="1121"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5卷</w:t>
            </w:r>
          </w:p>
        </w:tc>
        <w:tc>
          <w:tcPr>
            <w:tcW w:w="1203" w:type="pct"/>
            <w:vAlign w:val="center"/>
          </w:tcPr>
          <w:p>
            <w:pPr>
              <w:spacing w:line="240" w:lineRule="auto"/>
              <w:ind w:firstLine="0" w:firstLineChars="0"/>
              <w:jc w:val="center"/>
              <w:rPr>
                <w:rFonts w:ascii="宋体" w:hAnsi="宋体" w:cs="宋体"/>
                <w:sz w:val="21"/>
                <w:szCs w:val="21"/>
              </w:rPr>
            </w:pP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45" w:type="pct"/>
            <w:vAlign w:val="center"/>
          </w:tcPr>
          <w:p>
            <w:pPr>
              <w:widowControl/>
              <w:spacing w:line="240" w:lineRule="auto"/>
              <w:ind w:firstLine="0" w:firstLineChars="0"/>
              <w:jc w:val="center"/>
              <w:rPr>
                <w:rFonts w:ascii="宋体" w:hAnsi="宋体" w:cs="宋体"/>
                <w:sz w:val="21"/>
                <w:szCs w:val="21"/>
              </w:rPr>
            </w:pPr>
            <w:r>
              <w:rPr>
                <w:rFonts w:hint="eastAsia" w:ascii="宋体" w:hAnsi="宋体" w:cs="Times New Roman"/>
                <w:kern w:val="0"/>
                <w:sz w:val="21"/>
                <w:szCs w:val="21"/>
              </w:rPr>
              <w:t>13</w:t>
            </w:r>
          </w:p>
        </w:tc>
        <w:tc>
          <w:tcPr>
            <w:tcW w:w="1156"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纱布</w:t>
            </w:r>
          </w:p>
        </w:tc>
        <w:tc>
          <w:tcPr>
            <w:tcW w:w="1173" w:type="pct"/>
            <w:vAlign w:val="center"/>
          </w:tcPr>
          <w:p>
            <w:pPr>
              <w:spacing w:line="360" w:lineRule="exact"/>
              <w:ind w:firstLine="0" w:firstLineChars="0"/>
              <w:jc w:val="center"/>
              <w:rPr>
                <w:rFonts w:ascii="宋体" w:hAnsi="宋体" w:cs="宋体"/>
                <w:sz w:val="21"/>
                <w:szCs w:val="21"/>
              </w:rPr>
            </w:pPr>
            <w:r>
              <w:rPr>
                <w:rFonts w:hint="eastAsia" w:ascii="宋体" w:hAnsi="宋体" w:cs="宋体"/>
                <w:sz w:val="21"/>
                <w:szCs w:val="21"/>
              </w:rPr>
              <w:t>医用</w:t>
            </w:r>
          </w:p>
        </w:tc>
        <w:tc>
          <w:tcPr>
            <w:tcW w:w="1121"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5盒</w:t>
            </w:r>
          </w:p>
        </w:tc>
        <w:tc>
          <w:tcPr>
            <w:tcW w:w="1203" w:type="pct"/>
            <w:vAlign w:val="center"/>
          </w:tcPr>
          <w:p>
            <w:pPr>
              <w:spacing w:line="240" w:lineRule="auto"/>
              <w:ind w:firstLine="0" w:firstLineChars="0"/>
              <w:jc w:val="center"/>
              <w:rPr>
                <w:rFonts w:ascii="宋体" w:hAnsi="宋体" w:cs="宋体"/>
                <w:sz w:val="21"/>
                <w:szCs w:val="21"/>
              </w:rPr>
            </w:pP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45" w:type="pct"/>
            <w:vAlign w:val="center"/>
          </w:tcPr>
          <w:p>
            <w:pPr>
              <w:widowControl/>
              <w:spacing w:line="240" w:lineRule="auto"/>
              <w:ind w:firstLine="0" w:firstLineChars="0"/>
              <w:jc w:val="center"/>
              <w:rPr>
                <w:rFonts w:ascii="宋体" w:hAnsi="宋体" w:cs="宋体"/>
                <w:sz w:val="21"/>
                <w:szCs w:val="21"/>
              </w:rPr>
            </w:pPr>
            <w:r>
              <w:rPr>
                <w:rFonts w:hint="eastAsia" w:ascii="宋体" w:hAnsi="宋体" w:cs="Times New Roman"/>
                <w:kern w:val="0"/>
                <w:sz w:val="21"/>
                <w:szCs w:val="21"/>
              </w:rPr>
              <w:t>14</w:t>
            </w:r>
          </w:p>
        </w:tc>
        <w:tc>
          <w:tcPr>
            <w:tcW w:w="1156"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棉签</w:t>
            </w:r>
          </w:p>
        </w:tc>
        <w:tc>
          <w:tcPr>
            <w:tcW w:w="1173" w:type="pct"/>
            <w:vAlign w:val="center"/>
          </w:tcPr>
          <w:p>
            <w:pPr>
              <w:spacing w:line="360" w:lineRule="exact"/>
              <w:ind w:firstLine="0" w:firstLineChars="0"/>
              <w:jc w:val="center"/>
              <w:rPr>
                <w:rFonts w:ascii="宋体" w:hAnsi="宋体" w:cs="宋体"/>
                <w:sz w:val="21"/>
                <w:szCs w:val="21"/>
              </w:rPr>
            </w:pPr>
            <w:r>
              <w:rPr>
                <w:rFonts w:hint="eastAsia" w:ascii="宋体" w:hAnsi="宋体" w:cs="宋体"/>
                <w:sz w:val="21"/>
                <w:szCs w:val="21"/>
              </w:rPr>
              <w:t>医用</w:t>
            </w:r>
          </w:p>
        </w:tc>
        <w:tc>
          <w:tcPr>
            <w:tcW w:w="1121"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5袋</w:t>
            </w:r>
          </w:p>
        </w:tc>
        <w:tc>
          <w:tcPr>
            <w:tcW w:w="1203" w:type="pct"/>
            <w:vAlign w:val="center"/>
          </w:tcPr>
          <w:p>
            <w:pPr>
              <w:spacing w:line="240" w:lineRule="auto"/>
              <w:ind w:firstLine="0" w:firstLineChars="0"/>
              <w:jc w:val="center"/>
              <w:rPr>
                <w:rFonts w:ascii="宋体" w:hAnsi="宋体" w:cs="宋体"/>
                <w:sz w:val="21"/>
                <w:szCs w:val="21"/>
              </w:rPr>
            </w:pP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45" w:type="pct"/>
            <w:vAlign w:val="center"/>
          </w:tcPr>
          <w:p>
            <w:pPr>
              <w:widowControl/>
              <w:spacing w:line="240" w:lineRule="auto"/>
              <w:ind w:firstLine="0" w:firstLineChars="0"/>
              <w:jc w:val="center"/>
              <w:rPr>
                <w:rFonts w:ascii="宋体" w:hAnsi="宋体" w:cs="宋体"/>
                <w:sz w:val="21"/>
                <w:szCs w:val="21"/>
              </w:rPr>
            </w:pPr>
            <w:r>
              <w:rPr>
                <w:rFonts w:hint="eastAsia" w:ascii="宋体" w:hAnsi="宋体" w:cs="Times New Roman"/>
                <w:kern w:val="0"/>
                <w:sz w:val="21"/>
                <w:szCs w:val="21"/>
              </w:rPr>
              <w:t>15</w:t>
            </w:r>
          </w:p>
        </w:tc>
        <w:tc>
          <w:tcPr>
            <w:tcW w:w="1156"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担架</w:t>
            </w:r>
          </w:p>
        </w:tc>
        <w:tc>
          <w:tcPr>
            <w:tcW w:w="1173" w:type="pct"/>
            <w:vAlign w:val="center"/>
          </w:tcPr>
          <w:p>
            <w:pPr>
              <w:spacing w:line="360" w:lineRule="exact"/>
              <w:ind w:firstLine="0" w:firstLineChars="0"/>
              <w:jc w:val="center"/>
              <w:rPr>
                <w:rFonts w:ascii="宋体" w:hAnsi="宋体" w:cs="宋体"/>
                <w:sz w:val="21"/>
                <w:szCs w:val="21"/>
              </w:rPr>
            </w:pPr>
          </w:p>
        </w:tc>
        <w:tc>
          <w:tcPr>
            <w:tcW w:w="1121"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1副</w:t>
            </w:r>
          </w:p>
        </w:tc>
        <w:tc>
          <w:tcPr>
            <w:tcW w:w="1203" w:type="pct"/>
            <w:vAlign w:val="center"/>
          </w:tcPr>
          <w:p>
            <w:pPr>
              <w:spacing w:line="240" w:lineRule="auto"/>
              <w:ind w:firstLine="0" w:firstLineChars="0"/>
              <w:jc w:val="center"/>
              <w:rPr>
                <w:rFonts w:ascii="宋体" w:hAnsi="宋体" w:cs="宋体"/>
                <w:sz w:val="21"/>
                <w:szCs w:val="21"/>
              </w:rPr>
            </w:pP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45" w:type="pct"/>
            <w:vAlign w:val="center"/>
          </w:tcPr>
          <w:p>
            <w:pPr>
              <w:widowControl/>
              <w:spacing w:line="240" w:lineRule="auto"/>
              <w:ind w:firstLine="0" w:firstLineChars="0"/>
              <w:jc w:val="center"/>
              <w:rPr>
                <w:rFonts w:ascii="宋体" w:hAnsi="宋体" w:cs="宋体"/>
                <w:sz w:val="21"/>
                <w:szCs w:val="21"/>
              </w:rPr>
            </w:pPr>
            <w:r>
              <w:rPr>
                <w:rFonts w:hint="eastAsia" w:ascii="宋体" w:hAnsi="宋体" w:cs="Times New Roman"/>
                <w:kern w:val="0"/>
                <w:sz w:val="21"/>
                <w:szCs w:val="21"/>
              </w:rPr>
              <w:t>16</w:t>
            </w:r>
          </w:p>
        </w:tc>
        <w:tc>
          <w:tcPr>
            <w:tcW w:w="1156"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安全绳</w:t>
            </w:r>
          </w:p>
        </w:tc>
        <w:tc>
          <w:tcPr>
            <w:tcW w:w="1173" w:type="pct"/>
            <w:vAlign w:val="center"/>
          </w:tcPr>
          <w:p>
            <w:pPr>
              <w:spacing w:line="360" w:lineRule="exact"/>
              <w:ind w:firstLine="0" w:firstLineChars="0"/>
              <w:jc w:val="center"/>
              <w:rPr>
                <w:rFonts w:ascii="宋体" w:hAnsi="宋体" w:cs="宋体"/>
                <w:sz w:val="21"/>
                <w:szCs w:val="21"/>
              </w:rPr>
            </w:pPr>
          </w:p>
        </w:tc>
        <w:tc>
          <w:tcPr>
            <w:tcW w:w="1121"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5条</w:t>
            </w:r>
          </w:p>
        </w:tc>
        <w:tc>
          <w:tcPr>
            <w:tcW w:w="1203" w:type="pct"/>
            <w:vAlign w:val="center"/>
          </w:tcPr>
          <w:p>
            <w:pPr>
              <w:spacing w:line="240" w:lineRule="auto"/>
              <w:ind w:firstLine="0" w:firstLineChars="0"/>
              <w:jc w:val="center"/>
              <w:rPr>
                <w:rFonts w:ascii="宋体" w:hAnsi="宋体" w:cs="宋体"/>
                <w:sz w:val="21"/>
                <w:szCs w:val="21"/>
              </w:rPr>
            </w:pP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45" w:type="pct"/>
            <w:vAlign w:val="center"/>
          </w:tcPr>
          <w:p>
            <w:pPr>
              <w:spacing w:line="240" w:lineRule="auto"/>
              <w:ind w:firstLine="0" w:firstLineChars="0"/>
              <w:jc w:val="center"/>
              <w:rPr>
                <w:rFonts w:ascii="宋体" w:hAnsi="宋体" w:cs="宋体"/>
                <w:sz w:val="21"/>
                <w:szCs w:val="21"/>
              </w:rPr>
            </w:pPr>
            <w:r>
              <w:rPr>
                <w:rFonts w:hint="eastAsia" w:ascii="宋体" w:hAnsi="宋体" w:cs="Times New Roman"/>
                <w:sz w:val="21"/>
                <w:szCs w:val="21"/>
              </w:rPr>
              <w:t>17</w:t>
            </w:r>
          </w:p>
        </w:tc>
        <w:tc>
          <w:tcPr>
            <w:tcW w:w="1156"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消防斧</w:t>
            </w:r>
          </w:p>
        </w:tc>
        <w:tc>
          <w:tcPr>
            <w:tcW w:w="1173" w:type="pct"/>
            <w:vAlign w:val="center"/>
          </w:tcPr>
          <w:p>
            <w:pPr>
              <w:spacing w:line="360" w:lineRule="exact"/>
              <w:ind w:firstLine="0" w:firstLineChars="0"/>
              <w:jc w:val="center"/>
              <w:rPr>
                <w:rFonts w:ascii="宋体" w:hAnsi="宋体" w:cs="宋体"/>
                <w:sz w:val="21"/>
                <w:szCs w:val="21"/>
              </w:rPr>
            </w:pPr>
          </w:p>
        </w:tc>
        <w:tc>
          <w:tcPr>
            <w:tcW w:w="1121"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2把</w:t>
            </w:r>
          </w:p>
        </w:tc>
        <w:tc>
          <w:tcPr>
            <w:tcW w:w="1203" w:type="pct"/>
            <w:vAlign w:val="center"/>
          </w:tcPr>
          <w:p>
            <w:pPr>
              <w:spacing w:line="240" w:lineRule="auto"/>
              <w:ind w:firstLine="0" w:firstLineChars="0"/>
              <w:jc w:val="center"/>
              <w:rPr>
                <w:rFonts w:ascii="宋体" w:hAnsi="宋体" w:cs="宋体"/>
                <w:sz w:val="21"/>
                <w:szCs w:val="21"/>
              </w:rPr>
            </w:pP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45" w:type="pct"/>
            <w:vAlign w:val="center"/>
          </w:tcPr>
          <w:p>
            <w:pPr>
              <w:spacing w:line="240" w:lineRule="auto"/>
              <w:ind w:firstLine="0" w:firstLineChars="0"/>
              <w:jc w:val="center"/>
              <w:rPr>
                <w:rFonts w:ascii="宋体" w:hAnsi="宋体" w:cs="宋体"/>
                <w:sz w:val="21"/>
                <w:szCs w:val="21"/>
              </w:rPr>
            </w:pPr>
            <w:r>
              <w:rPr>
                <w:rFonts w:hint="eastAsia" w:ascii="宋体" w:hAnsi="宋体" w:cs="Times New Roman"/>
                <w:sz w:val="21"/>
                <w:szCs w:val="21"/>
              </w:rPr>
              <w:t>18</w:t>
            </w:r>
          </w:p>
        </w:tc>
        <w:tc>
          <w:tcPr>
            <w:tcW w:w="1156"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应急救援工具箱</w:t>
            </w:r>
          </w:p>
        </w:tc>
        <w:tc>
          <w:tcPr>
            <w:tcW w:w="1173" w:type="pct"/>
            <w:vAlign w:val="center"/>
          </w:tcPr>
          <w:p>
            <w:pPr>
              <w:spacing w:line="360" w:lineRule="exact"/>
              <w:ind w:firstLine="0" w:firstLineChars="0"/>
              <w:jc w:val="center"/>
              <w:rPr>
                <w:rFonts w:ascii="宋体" w:hAnsi="宋体" w:cs="宋体"/>
                <w:sz w:val="21"/>
                <w:szCs w:val="21"/>
              </w:rPr>
            </w:pPr>
          </w:p>
        </w:tc>
        <w:tc>
          <w:tcPr>
            <w:tcW w:w="1121"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1套</w:t>
            </w:r>
          </w:p>
        </w:tc>
        <w:tc>
          <w:tcPr>
            <w:tcW w:w="1203" w:type="pct"/>
            <w:vAlign w:val="center"/>
          </w:tcPr>
          <w:p>
            <w:pPr>
              <w:spacing w:line="240" w:lineRule="auto"/>
              <w:ind w:firstLine="0" w:firstLineChars="0"/>
              <w:jc w:val="center"/>
              <w:rPr>
                <w:rFonts w:ascii="宋体" w:hAnsi="宋体" w:cs="宋体"/>
                <w:sz w:val="21"/>
                <w:szCs w:val="21"/>
              </w:rPr>
            </w:pP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45" w:type="pct"/>
            <w:vAlign w:val="center"/>
          </w:tcPr>
          <w:p>
            <w:pPr>
              <w:spacing w:line="240" w:lineRule="auto"/>
              <w:ind w:firstLine="0" w:firstLineChars="0"/>
              <w:jc w:val="center"/>
              <w:rPr>
                <w:rFonts w:hint="default" w:ascii="宋体" w:hAnsi="宋体" w:eastAsia="宋体" w:cs="Times New Roman"/>
                <w:sz w:val="21"/>
                <w:szCs w:val="21"/>
                <w:lang w:val="en-US" w:eastAsia="zh-CN"/>
              </w:rPr>
            </w:pPr>
            <w:r>
              <w:rPr>
                <w:rFonts w:hint="eastAsia" w:ascii="宋体" w:hAnsi="宋体" w:cs="Times New Roman"/>
                <w:sz w:val="21"/>
                <w:szCs w:val="21"/>
                <w:lang w:val="en-US" w:eastAsia="zh-CN"/>
              </w:rPr>
              <w:t>20</w:t>
            </w:r>
          </w:p>
        </w:tc>
        <w:tc>
          <w:tcPr>
            <w:tcW w:w="1156" w:type="pct"/>
            <w:vAlign w:val="center"/>
          </w:tcPr>
          <w:p>
            <w:pPr>
              <w:spacing w:line="240" w:lineRule="auto"/>
              <w:ind w:firstLine="0" w:firstLineChars="0"/>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全身式安全带</w:t>
            </w:r>
          </w:p>
        </w:tc>
        <w:tc>
          <w:tcPr>
            <w:tcW w:w="1173" w:type="pct"/>
            <w:vAlign w:val="center"/>
          </w:tcPr>
          <w:p>
            <w:pPr>
              <w:spacing w:line="360" w:lineRule="exact"/>
              <w:ind w:firstLine="0" w:firstLineChars="0"/>
              <w:jc w:val="center"/>
              <w:rPr>
                <w:rFonts w:ascii="宋体" w:hAnsi="宋体" w:cs="宋体"/>
                <w:sz w:val="21"/>
                <w:szCs w:val="21"/>
              </w:rPr>
            </w:pPr>
          </w:p>
        </w:tc>
        <w:tc>
          <w:tcPr>
            <w:tcW w:w="1121" w:type="pct"/>
            <w:vAlign w:val="center"/>
          </w:tcPr>
          <w:p>
            <w:pPr>
              <w:spacing w:line="240" w:lineRule="auto"/>
              <w:ind w:firstLine="0" w:firstLineChars="0"/>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2套</w:t>
            </w:r>
          </w:p>
        </w:tc>
        <w:tc>
          <w:tcPr>
            <w:tcW w:w="1203" w:type="pct"/>
            <w:vAlign w:val="center"/>
          </w:tcPr>
          <w:p>
            <w:pPr>
              <w:spacing w:line="240" w:lineRule="auto"/>
              <w:ind w:firstLine="0" w:firstLineChars="0"/>
              <w:jc w:val="center"/>
              <w:rPr>
                <w:rFonts w:ascii="宋体" w:hAnsi="宋体" w:cs="宋体"/>
                <w:sz w:val="21"/>
                <w:szCs w:val="21"/>
              </w:rPr>
            </w:pP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45" w:type="pct"/>
            <w:vAlign w:val="center"/>
          </w:tcPr>
          <w:p>
            <w:pPr>
              <w:spacing w:line="240" w:lineRule="auto"/>
              <w:ind w:firstLine="0" w:firstLineChars="0"/>
              <w:jc w:val="center"/>
              <w:rPr>
                <w:rFonts w:hint="default" w:ascii="宋体" w:hAnsi="宋体" w:eastAsia="宋体" w:cs="Times New Roman"/>
                <w:sz w:val="21"/>
                <w:szCs w:val="21"/>
                <w:lang w:val="en-US" w:eastAsia="zh-CN"/>
              </w:rPr>
            </w:pPr>
            <w:r>
              <w:rPr>
                <w:rFonts w:hint="eastAsia" w:ascii="宋体" w:hAnsi="宋体" w:cs="Times New Roman"/>
                <w:sz w:val="21"/>
                <w:szCs w:val="21"/>
                <w:lang w:val="en-US" w:eastAsia="zh-CN"/>
              </w:rPr>
              <w:t>21</w:t>
            </w:r>
          </w:p>
        </w:tc>
        <w:tc>
          <w:tcPr>
            <w:tcW w:w="1156" w:type="pct"/>
            <w:vAlign w:val="center"/>
          </w:tcPr>
          <w:p>
            <w:pPr>
              <w:spacing w:line="240" w:lineRule="auto"/>
              <w:ind w:firstLine="0" w:firstLineChars="0"/>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防毒面具</w:t>
            </w:r>
          </w:p>
        </w:tc>
        <w:tc>
          <w:tcPr>
            <w:tcW w:w="1173" w:type="pct"/>
            <w:vAlign w:val="center"/>
          </w:tcPr>
          <w:p>
            <w:pPr>
              <w:spacing w:line="360" w:lineRule="exact"/>
              <w:ind w:firstLine="0" w:firstLineChars="0"/>
              <w:jc w:val="center"/>
              <w:rPr>
                <w:rFonts w:ascii="宋体" w:hAnsi="宋体" w:cs="宋体"/>
                <w:sz w:val="21"/>
                <w:szCs w:val="21"/>
              </w:rPr>
            </w:pPr>
          </w:p>
        </w:tc>
        <w:tc>
          <w:tcPr>
            <w:tcW w:w="1121" w:type="pct"/>
            <w:vAlign w:val="center"/>
          </w:tcPr>
          <w:p>
            <w:pPr>
              <w:spacing w:line="240" w:lineRule="auto"/>
              <w:ind w:firstLine="0" w:firstLineChars="0"/>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5副</w:t>
            </w:r>
          </w:p>
        </w:tc>
        <w:tc>
          <w:tcPr>
            <w:tcW w:w="1203" w:type="pct"/>
            <w:vAlign w:val="center"/>
          </w:tcPr>
          <w:p>
            <w:pPr>
              <w:spacing w:line="240" w:lineRule="auto"/>
              <w:ind w:firstLine="0" w:firstLineChars="0"/>
              <w:jc w:val="center"/>
              <w:rPr>
                <w:rFonts w:ascii="宋体" w:hAnsi="宋体" w:cs="宋体"/>
                <w:sz w:val="21"/>
                <w:szCs w:val="21"/>
              </w:rPr>
            </w:pP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45" w:type="pct"/>
            <w:vAlign w:val="center"/>
          </w:tcPr>
          <w:p>
            <w:pPr>
              <w:spacing w:line="240" w:lineRule="auto"/>
              <w:ind w:firstLine="0" w:firstLineChars="0"/>
              <w:jc w:val="center"/>
              <w:rPr>
                <w:rFonts w:hint="default" w:ascii="宋体" w:hAnsi="宋体" w:cs="Times New Roman"/>
                <w:sz w:val="21"/>
                <w:szCs w:val="21"/>
                <w:lang w:val="en-US" w:eastAsia="zh-CN"/>
              </w:rPr>
            </w:pPr>
            <w:r>
              <w:rPr>
                <w:rFonts w:hint="eastAsia" w:ascii="宋体" w:hAnsi="宋体" w:cs="Times New Roman"/>
                <w:sz w:val="21"/>
                <w:szCs w:val="21"/>
                <w:lang w:val="en-US" w:eastAsia="zh-CN"/>
              </w:rPr>
              <w:t>22</w:t>
            </w:r>
          </w:p>
        </w:tc>
        <w:tc>
          <w:tcPr>
            <w:tcW w:w="1156" w:type="pct"/>
            <w:vAlign w:val="center"/>
          </w:tcPr>
          <w:p>
            <w:pPr>
              <w:spacing w:line="240" w:lineRule="auto"/>
              <w:ind w:firstLine="0" w:firstLineChars="0"/>
              <w:jc w:val="center"/>
              <w:rPr>
                <w:rFonts w:hint="default" w:ascii="宋体" w:hAnsi="宋体" w:cs="宋体"/>
                <w:sz w:val="21"/>
                <w:szCs w:val="21"/>
                <w:lang w:val="en-US" w:eastAsia="zh-CN"/>
              </w:rPr>
            </w:pPr>
            <w:r>
              <w:rPr>
                <w:rFonts w:hint="eastAsia" w:ascii="宋体" w:hAnsi="宋体" w:cs="宋体"/>
                <w:sz w:val="21"/>
                <w:szCs w:val="21"/>
                <w:lang w:val="en-US" w:eastAsia="zh-CN"/>
              </w:rPr>
              <w:t>对讲机</w:t>
            </w:r>
          </w:p>
        </w:tc>
        <w:tc>
          <w:tcPr>
            <w:tcW w:w="1173" w:type="pct"/>
            <w:vAlign w:val="center"/>
          </w:tcPr>
          <w:p>
            <w:pPr>
              <w:spacing w:line="360" w:lineRule="exact"/>
              <w:ind w:firstLine="0" w:firstLineChars="0"/>
              <w:jc w:val="center"/>
              <w:rPr>
                <w:rFonts w:ascii="宋体" w:hAnsi="宋体" w:cs="宋体"/>
                <w:sz w:val="21"/>
                <w:szCs w:val="21"/>
              </w:rPr>
            </w:pPr>
          </w:p>
        </w:tc>
        <w:tc>
          <w:tcPr>
            <w:tcW w:w="1121" w:type="pct"/>
            <w:vAlign w:val="center"/>
          </w:tcPr>
          <w:p>
            <w:pPr>
              <w:spacing w:line="240" w:lineRule="auto"/>
              <w:ind w:firstLine="0" w:firstLineChars="0"/>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2对</w:t>
            </w:r>
          </w:p>
        </w:tc>
        <w:tc>
          <w:tcPr>
            <w:tcW w:w="1203" w:type="pct"/>
            <w:vAlign w:val="center"/>
          </w:tcPr>
          <w:p>
            <w:pPr>
              <w:spacing w:line="240" w:lineRule="auto"/>
              <w:ind w:firstLine="0" w:firstLineChars="0"/>
              <w:jc w:val="center"/>
              <w:rPr>
                <w:rFonts w:ascii="宋体" w:hAnsi="宋体" w:cs="宋体"/>
                <w:sz w:val="21"/>
                <w:szCs w:val="21"/>
              </w:rPr>
            </w:pP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45" w:type="pct"/>
            <w:vAlign w:val="center"/>
          </w:tcPr>
          <w:p>
            <w:pPr>
              <w:spacing w:line="240" w:lineRule="auto"/>
              <w:ind w:firstLine="0" w:firstLineChars="0"/>
              <w:jc w:val="center"/>
              <w:rPr>
                <w:rFonts w:hint="default" w:ascii="宋体" w:hAnsi="宋体" w:eastAsia="宋体" w:cs="Times New Roman"/>
                <w:sz w:val="21"/>
                <w:szCs w:val="21"/>
                <w:lang w:val="en-US" w:eastAsia="zh-CN"/>
              </w:rPr>
            </w:pPr>
            <w:r>
              <w:rPr>
                <w:rFonts w:hint="eastAsia" w:ascii="宋体" w:hAnsi="宋体" w:cs="Times New Roman"/>
                <w:sz w:val="21"/>
                <w:szCs w:val="21"/>
                <w:lang w:val="en-US" w:eastAsia="zh-CN"/>
              </w:rPr>
              <w:t>23</w:t>
            </w:r>
          </w:p>
        </w:tc>
        <w:tc>
          <w:tcPr>
            <w:tcW w:w="1156" w:type="pct"/>
            <w:vAlign w:val="center"/>
          </w:tcPr>
          <w:p>
            <w:pPr>
              <w:spacing w:line="240" w:lineRule="auto"/>
              <w:ind w:firstLine="0" w:firstLineChars="0"/>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应急手电</w:t>
            </w:r>
          </w:p>
        </w:tc>
        <w:tc>
          <w:tcPr>
            <w:tcW w:w="1173" w:type="pct"/>
            <w:vAlign w:val="center"/>
          </w:tcPr>
          <w:p>
            <w:pPr>
              <w:spacing w:line="360" w:lineRule="exact"/>
              <w:ind w:firstLine="0" w:firstLineChars="0"/>
              <w:jc w:val="center"/>
              <w:rPr>
                <w:rFonts w:ascii="宋体" w:hAnsi="宋体" w:cs="宋体"/>
                <w:sz w:val="21"/>
                <w:szCs w:val="21"/>
              </w:rPr>
            </w:pPr>
          </w:p>
        </w:tc>
        <w:tc>
          <w:tcPr>
            <w:tcW w:w="1121" w:type="pct"/>
            <w:vAlign w:val="center"/>
          </w:tcPr>
          <w:p>
            <w:pPr>
              <w:spacing w:line="240" w:lineRule="auto"/>
              <w:ind w:firstLine="0" w:firstLineChars="0"/>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4只</w:t>
            </w:r>
          </w:p>
        </w:tc>
        <w:tc>
          <w:tcPr>
            <w:tcW w:w="1203" w:type="pct"/>
            <w:vAlign w:val="center"/>
          </w:tcPr>
          <w:p>
            <w:pPr>
              <w:spacing w:line="240" w:lineRule="auto"/>
              <w:ind w:firstLine="0" w:firstLineChars="0"/>
              <w:jc w:val="center"/>
              <w:rPr>
                <w:rFonts w:ascii="宋体" w:hAnsi="宋体" w:cs="宋体"/>
                <w:sz w:val="21"/>
                <w:szCs w:val="21"/>
              </w:rPr>
            </w:pP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000" w:type="pct"/>
            <w:gridSpan w:val="5"/>
            <w:vAlign w:val="center"/>
          </w:tcPr>
          <w:p>
            <w:pPr>
              <w:widowControl/>
              <w:tabs>
                <w:tab w:val="center" w:pos="4211"/>
                <w:tab w:val="left" w:pos="6283"/>
              </w:tabs>
              <w:spacing w:line="240" w:lineRule="auto"/>
              <w:ind w:firstLine="0" w:firstLineChars="0"/>
              <w:jc w:val="left"/>
              <w:rPr>
                <w:rFonts w:hint="default" w:ascii="宋体" w:hAnsi="宋体" w:eastAsia="宋体" w:cs="宋体"/>
                <w:kern w:val="0"/>
                <w:sz w:val="21"/>
                <w:szCs w:val="21"/>
                <w:lang w:val="en-US" w:eastAsia="zh-CN"/>
              </w:rPr>
            </w:pPr>
            <w:r>
              <w:rPr>
                <w:rFonts w:hint="eastAsia" w:ascii="宋体" w:hAnsi="宋体" w:cs="宋体"/>
                <w:b/>
                <w:sz w:val="21"/>
                <w:szCs w:val="21"/>
                <w:lang w:eastAsia="zh-CN"/>
              </w:rPr>
              <w:tab/>
            </w:r>
            <w:r>
              <w:rPr>
                <w:rFonts w:hint="eastAsia" w:ascii="宋体" w:hAnsi="宋体" w:cs="宋体"/>
                <w:b/>
                <w:sz w:val="21"/>
                <w:szCs w:val="21"/>
              </w:rPr>
              <w:t>13.个体防护设施一览表</w:t>
            </w:r>
            <w:r>
              <w:rPr>
                <w:rFonts w:hint="eastAsia" w:ascii="宋体" w:hAnsi="宋体" w:cs="宋体"/>
                <w:b/>
                <w:sz w:val="21"/>
                <w:szCs w:val="21"/>
                <w:lang w:eastAsia="zh-CN"/>
              </w:rPr>
              <w:tab/>
            </w: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45" w:type="pct"/>
            <w:vAlign w:val="center"/>
          </w:tcPr>
          <w:p>
            <w:pPr>
              <w:widowControl/>
              <w:spacing w:line="240" w:lineRule="auto"/>
              <w:ind w:firstLine="0" w:firstLineChars="0"/>
              <w:jc w:val="center"/>
              <w:rPr>
                <w:rFonts w:ascii="宋体" w:hAnsi="宋体" w:cs="宋体"/>
                <w:b/>
                <w:bCs/>
                <w:kern w:val="0"/>
                <w:sz w:val="21"/>
                <w:szCs w:val="21"/>
              </w:rPr>
            </w:pPr>
            <w:r>
              <w:rPr>
                <w:rFonts w:hint="eastAsia" w:ascii="宋体" w:hAnsi="宋体" w:cs="宋体"/>
                <w:b/>
                <w:bCs/>
                <w:kern w:val="0"/>
                <w:sz w:val="21"/>
                <w:szCs w:val="21"/>
              </w:rPr>
              <w:t>序号</w:t>
            </w:r>
          </w:p>
        </w:tc>
        <w:tc>
          <w:tcPr>
            <w:tcW w:w="1156" w:type="pct"/>
            <w:vAlign w:val="center"/>
          </w:tcPr>
          <w:p>
            <w:pPr>
              <w:widowControl/>
              <w:spacing w:line="240" w:lineRule="auto"/>
              <w:ind w:firstLine="0" w:firstLineChars="0"/>
              <w:jc w:val="center"/>
              <w:rPr>
                <w:rFonts w:ascii="宋体" w:hAnsi="宋体" w:cs="宋体"/>
                <w:b/>
                <w:bCs/>
                <w:kern w:val="0"/>
                <w:sz w:val="21"/>
                <w:szCs w:val="21"/>
              </w:rPr>
            </w:pPr>
            <w:r>
              <w:rPr>
                <w:rFonts w:hint="eastAsia" w:ascii="宋体" w:hAnsi="宋体" w:cs="宋体"/>
                <w:b/>
                <w:bCs/>
                <w:kern w:val="0"/>
                <w:sz w:val="21"/>
                <w:szCs w:val="21"/>
              </w:rPr>
              <w:t>防护器材名称</w:t>
            </w:r>
          </w:p>
        </w:tc>
        <w:tc>
          <w:tcPr>
            <w:tcW w:w="1173" w:type="pct"/>
            <w:vAlign w:val="center"/>
          </w:tcPr>
          <w:p>
            <w:pPr>
              <w:widowControl/>
              <w:spacing w:line="240" w:lineRule="auto"/>
              <w:ind w:firstLine="0" w:firstLineChars="0"/>
              <w:jc w:val="center"/>
              <w:rPr>
                <w:rFonts w:ascii="宋体" w:hAnsi="宋体" w:cs="宋体"/>
                <w:b/>
                <w:bCs/>
                <w:kern w:val="0"/>
                <w:sz w:val="21"/>
                <w:szCs w:val="21"/>
              </w:rPr>
            </w:pPr>
            <w:r>
              <w:rPr>
                <w:rFonts w:hint="eastAsia" w:ascii="宋体" w:hAnsi="宋体" w:cs="宋体"/>
                <w:b/>
                <w:bCs/>
                <w:kern w:val="0"/>
                <w:sz w:val="21"/>
                <w:szCs w:val="21"/>
              </w:rPr>
              <w:t>配置数量</w:t>
            </w:r>
          </w:p>
        </w:tc>
        <w:tc>
          <w:tcPr>
            <w:tcW w:w="1121" w:type="pct"/>
            <w:vAlign w:val="center"/>
          </w:tcPr>
          <w:p>
            <w:pPr>
              <w:widowControl/>
              <w:spacing w:line="240" w:lineRule="auto"/>
              <w:ind w:firstLine="0" w:firstLineChars="0"/>
              <w:jc w:val="center"/>
              <w:rPr>
                <w:rFonts w:ascii="宋体" w:hAnsi="宋体" w:cs="宋体"/>
                <w:b/>
                <w:bCs/>
                <w:kern w:val="0"/>
                <w:sz w:val="21"/>
                <w:szCs w:val="21"/>
              </w:rPr>
            </w:pPr>
            <w:r>
              <w:rPr>
                <w:rFonts w:hint="eastAsia" w:ascii="宋体" w:hAnsi="宋体" w:cs="宋体"/>
                <w:b/>
                <w:bCs/>
                <w:kern w:val="0"/>
                <w:sz w:val="21"/>
                <w:szCs w:val="21"/>
              </w:rPr>
              <w:t>设置岗位</w:t>
            </w:r>
          </w:p>
        </w:tc>
        <w:tc>
          <w:tcPr>
            <w:tcW w:w="1203" w:type="pct"/>
            <w:vAlign w:val="center"/>
          </w:tcPr>
          <w:p>
            <w:pPr>
              <w:widowControl/>
              <w:spacing w:line="240" w:lineRule="auto"/>
              <w:ind w:firstLine="0" w:firstLineChars="0"/>
              <w:jc w:val="center"/>
              <w:rPr>
                <w:rFonts w:ascii="宋体" w:hAnsi="宋体" w:cs="宋体"/>
                <w:b/>
                <w:bCs/>
                <w:kern w:val="0"/>
                <w:sz w:val="21"/>
                <w:szCs w:val="21"/>
              </w:rPr>
            </w:pPr>
            <w:r>
              <w:rPr>
                <w:rFonts w:hint="eastAsia" w:ascii="宋体" w:hAnsi="宋体" w:cs="宋体"/>
                <w:b/>
                <w:bCs/>
                <w:kern w:val="0"/>
                <w:sz w:val="21"/>
                <w:szCs w:val="21"/>
              </w:rPr>
              <w:t>备注</w:t>
            </w: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45" w:type="pct"/>
            <w:vAlign w:val="center"/>
          </w:tcPr>
          <w:p>
            <w:pPr>
              <w:adjustRightInd w:val="0"/>
              <w:snapToGrid w:val="0"/>
              <w:spacing w:line="240" w:lineRule="auto"/>
              <w:ind w:firstLine="0" w:firstLineChars="0"/>
              <w:jc w:val="center"/>
              <w:rPr>
                <w:rFonts w:ascii="宋体" w:hAnsi="宋体" w:cs="宋体"/>
                <w:kern w:val="0"/>
                <w:sz w:val="21"/>
                <w:szCs w:val="21"/>
              </w:rPr>
            </w:pPr>
            <w:r>
              <w:rPr>
                <w:rFonts w:cs="Times New Roman"/>
                <w:kern w:val="0"/>
                <w:sz w:val="21"/>
                <w:szCs w:val="20"/>
              </w:rPr>
              <w:t>1</w:t>
            </w:r>
          </w:p>
        </w:tc>
        <w:tc>
          <w:tcPr>
            <w:tcW w:w="1156" w:type="pct"/>
            <w:vAlign w:val="center"/>
          </w:tcPr>
          <w:p>
            <w:pPr>
              <w:widowControl/>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安全鞋、安全帽</w:t>
            </w:r>
          </w:p>
        </w:tc>
        <w:tc>
          <w:tcPr>
            <w:tcW w:w="1173" w:type="pct"/>
            <w:vAlign w:val="center"/>
          </w:tcPr>
          <w:p>
            <w:pPr>
              <w:adjustRightInd w:val="0"/>
              <w:snapToGrid w:val="0"/>
              <w:spacing w:line="240" w:lineRule="auto"/>
              <w:ind w:firstLine="0" w:firstLineChars="0"/>
              <w:jc w:val="center"/>
              <w:rPr>
                <w:rFonts w:ascii="宋体" w:hAnsi="宋体" w:cs="宋体"/>
                <w:kern w:val="0"/>
                <w:sz w:val="21"/>
                <w:szCs w:val="21"/>
              </w:rPr>
            </w:pPr>
            <w:r>
              <w:rPr>
                <w:rFonts w:hint="eastAsia" w:cs="Times New Roman"/>
                <w:snapToGrid w:val="0"/>
                <w:kern w:val="0"/>
                <w:sz w:val="21"/>
                <w:szCs w:val="20"/>
              </w:rPr>
              <w:t>100套</w:t>
            </w:r>
          </w:p>
        </w:tc>
        <w:tc>
          <w:tcPr>
            <w:tcW w:w="1121" w:type="pct"/>
            <w:vAlign w:val="center"/>
          </w:tcPr>
          <w:p>
            <w:pPr>
              <w:adjustRightInd w:val="0"/>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全体操作人员及管理人员</w:t>
            </w:r>
          </w:p>
        </w:tc>
        <w:tc>
          <w:tcPr>
            <w:tcW w:w="1203" w:type="pct"/>
            <w:vAlign w:val="center"/>
          </w:tcPr>
          <w:p>
            <w:pPr>
              <w:adjustRightInd w:val="0"/>
              <w:snapToGrid w:val="0"/>
              <w:spacing w:line="240" w:lineRule="auto"/>
              <w:ind w:firstLine="0" w:firstLineChars="0"/>
              <w:jc w:val="center"/>
              <w:rPr>
                <w:rFonts w:ascii="宋体" w:hAnsi="宋体" w:cs="宋体"/>
                <w:kern w:val="0"/>
                <w:sz w:val="21"/>
                <w:szCs w:val="21"/>
              </w:rPr>
            </w:pP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45" w:type="pct"/>
            <w:vAlign w:val="center"/>
          </w:tcPr>
          <w:p>
            <w:pPr>
              <w:adjustRightInd w:val="0"/>
              <w:snapToGrid w:val="0"/>
              <w:spacing w:line="240" w:lineRule="auto"/>
              <w:ind w:firstLine="0" w:firstLineChars="0"/>
              <w:jc w:val="center"/>
              <w:rPr>
                <w:rFonts w:ascii="宋体" w:hAnsi="宋体" w:cs="宋体"/>
                <w:kern w:val="0"/>
                <w:sz w:val="21"/>
                <w:szCs w:val="21"/>
              </w:rPr>
            </w:pPr>
            <w:r>
              <w:rPr>
                <w:rFonts w:cs="Times New Roman"/>
                <w:kern w:val="0"/>
                <w:sz w:val="21"/>
                <w:szCs w:val="20"/>
              </w:rPr>
              <w:t>2</w:t>
            </w:r>
          </w:p>
        </w:tc>
        <w:tc>
          <w:tcPr>
            <w:tcW w:w="1156" w:type="pct"/>
            <w:vAlign w:val="center"/>
          </w:tcPr>
          <w:p>
            <w:pPr>
              <w:widowControl/>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工作服</w:t>
            </w:r>
          </w:p>
        </w:tc>
        <w:tc>
          <w:tcPr>
            <w:tcW w:w="1173" w:type="pct"/>
            <w:vAlign w:val="center"/>
          </w:tcPr>
          <w:p>
            <w:pPr>
              <w:adjustRightInd w:val="0"/>
              <w:snapToGrid w:val="0"/>
              <w:spacing w:line="240" w:lineRule="auto"/>
              <w:ind w:firstLine="0" w:firstLineChars="0"/>
              <w:jc w:val="center"/>
              <w:rPr>
                <w:rFonts w:ascii="宋体" w:hAnsi="宋体" w:cs="宋体"/>
                <w:kern w:val="0"/>
                <w:sz w:val="21"/>
                <w:szCs w:val="21"/>
              </w:rPr>
            </w:pPr>
            <w:r>
              <w:rPr>
                <w:rFonts w:hint="eastAsia" w:cs="Times New Roman"/>
                <w:snapToGrid w:val="0"/>
                <w:kern w:val="0"/>
                <w:sz w:val="21"/>
                <w:szCs w:val="20"/>
              </w:rPr>
              <w:t>100套</w:t>
            </w:r>
          </w:p>
        </w:tc>
        <w:tc>
          <w:tcPr>
            <w:tcW w:w="1121" w:type="pct"/>
            <w:vAlign w:val="center"/>
          </w:tcPr>
          <w:p>
            <w:pPr>
              <w:adjustRightInd w:val="0"/>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全体操作人员及管理人员</w:t>
            </w:r>
          </w:p>
        </w:tc>
        <w:tc>
          <w:tcPr>
            <w:tcW w:w="1203" w:type="pct"/>
            <w:vAlign w:val="center"/>
          </w:tcPr>
          <w:p>
            <w:pPr>
              <w:adjustRightInd w:val="0"/>
              <w:snapToGrid w:val="0"/>
              <w:spacing w:line="240" w:lineRule="auto"/>
              <w:ind w:firstLine="0" w:firstLineChars="0"/>
              <w:jc w:val="center"/>
              <w:rPr>
                <w:rFonts w:ascii="宋体" w:hAnsi="宋体" w:cs="宋体"/>
                <w:kern w:val="0"/>
                <w:sz w:val="21"/>
                <w:szCs w:val="21"/>
              </w:rPr>
            </w:pP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45" w:type="pct"/>
            <w:vAlign w:val="center"/>
          </w:tcPr>
          <w:p>
            <w:pPr>
              <w:adjustRightInd w:val="0"/>
              <w:snapToGrid w:val="0"/>
              <w:spacing w:line="240" w:lineRule="auto"/>
              <w:ind w:firstLine="0" w:firstLineChars="0"/>
              <w:jc w:val="center"/>
              <w:rPr>
                <w:rFonts w:cs="Times New Roman"/>
                <w:kern w:val="0"/>
                <w:sz w:val="21"/>
                <w:szCs w:val="20"/>
              </w:rPr>
            </w:pPr>
          </w:p>
        </w:tc>
        <w:tc>
          <w:tcPr>
            <w:tcW w:w="1156" w:type="pct"/>
            <w:vAlign w:val="center"/>
          </w:tcPr>
          <w:p>
            <w:pPr>
              <w:widowControl/>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防静电工作服</w:t>
            </w:r>
          </w:p>
        </w:tc>
        <w:tc>
          <w:tcPr>
            <w:tcW w:w="1173" w:type="pct"/>
            <w:vAlign w:val="center"/>
          </w:tcPr>
          <w:p>
            <w:pPr>
              <w:adjustRightInd w:val="0"/>
              <w:snapToGrid w:val="0"/>
              <w:spacing w:line="240" w:lineRule="auto"/>
              <w:ind w:firstLine="0" w:firstLineChars="0"/>
              <w:jc w:val="center"/>
              <w:rPr>
                <w:rFonts w:cs="Times New Roman"/>
                <w:snapToGrid w:val="0"/>
                <w:kern w:val="0"/>
                <w:sz w:val="21"/>
                <w:szCs w:val="20"/>
              </w:rPr>
            </w:pPr>
            <w:r>
              <w:rPr>
                <w:rFonts w:hint="eastAsia" w:cs="Times New Roman"/>
                <w:snapToGrid w:val="0"/>
                <w:kern w:val="0"/>
                <w:sz w:val="21"/>
                <w:szCs w:val="20"/>
              </w:rPr>
              <w:t>10套</w:t>
            </w:r>
          </w:p>
        </w:tc>
        <w:tc>
          <w:tcPr>
            <w:tcW w:w="1121" w:type="pct"/>
            <w:vAlign w:val="center"/>
          </w:tcPr>
          <w:p>
            <w:pPr>
              <w:widowControl/>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为油漆岗位配置</w:t>
            </w:r>
          </w:p>
        </w:tc>
        <w:tc>
          <w:tcPr>
            <w:tcW w:w="1203" w:type="pct"/>
            <w:vAlign w:val="center"/>
          </w:tcPr>
          <w:p>
            <w:pPr>
              <w:adjustRightInd w:val="0"/>
              <w:snapToGrid w:val="0"/>
              <w:spacing w:line="240" w:lineRule="auto"/>
              <w:ind w:firstLine="0" w:firstLineChars="0"/>
              <w:jc w:val="center"/>
              <w:rPr>
                <w:rFonts w:ascii="宋体" w:hAnsi="宋体" w:cs="宋体"/>
                <w:kern w:val="0"/>
                <w:sz w:val="21"/>
                <w:szCs w:val="21"/>
              </w:rPr>
            </w:pP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45" w:type="pct"/>
            <w:vAlign w:val="center"/>
          </w:tcPr>
          <w:p>
            <w:pPr>
              <w:adjustRightInd w:val="0"/>
              <w:snapToGrid w:val="0"/>
              <w:spacing w:line="240" w:lineRule="auto"/>
              <w:ind w:firstLine="0" w:firstLineChars="0"/>
              <w:jc w:val="center"/>
              <w:rPr>
                <w:rFonts w:cs="Times New Roman"/>
                <w:kern w:val="0"/>
                <w:sz w:val="21"/>
                <w:szCs w:val="20"/>
              </w:rPr>
            </w:pPr>
          </w:p>
        </w:tc>
        <w:tc>
          <w:tcPr>
            <w:tcW w:w="1156" w:type="pct"/>
            <w:vAlign w:val="center"/>
          </w:tcPr>
          <w:p>
            <w:pPr>
              <w:widowControl/>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耐高温手套</w:t>
            </w:r>
          </w:p>
        </w:tc>
        <w:tc>
          <w:tcPr>
            <w:tcW w:w="1173" w:type="pct"/>
            <w:vAlign w:val="center"/>
          </w:tcPr>
          <w:p>
            <w:pPr>
              <w:adjustRightInd w:val="0"/>
              <w:snapToGrid w:val="0"/>
              <w:spacing w:line="240" w:lineRule="auto"/>
              <w:ind w:firstLine="0" w:firstLineChars="0"/>
              <w:jc w:val="center"/>
              <w:rPr>
                <w:rFonts w:cs="Times New Roman"/>
                <w:snapToGrid w:val="0"/>
                <w:kern w:val="0"/>
                <w:sz w:val="21"/>
                <w:szCs w:val="20"/>
              </w:rPr>
            </w:pPr>
            <w:r>
              <w:rPr>
                <w:rFonts w:hint="eastAsia" w:cs="Times New Roman"/>
                <w:snapToGrid w:val="0"/>
                <w:kern w:val="0"/>
                <w:sz w:val="21"/>
                <w:szCs w:val="20"/>
              </w:rPr>
              <w:t>5副</w:t>
            </w:r>
          </w:p>
        </w:tc>
        <w:tc>
          <w:tcPr>
            <w:tcW w:w="1121" w:type="pct"/>
            <w:vAlign w:val="center"/>
          </w:tcPr>
          <w:p>
            <w:pPr>
              <w:widowControl/>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为漆膜固化岗位配置</w:t>
            </w:r>
          </w:p>
        </w:tc>
        <w:tc>
          <w:tcPr>
            <w:tcW w:w="1203" w:type="pct"/>
            <w:vAlign w:val="center"/>
          </w:tcPr>
          <w:p>
            <w:pPr>
              <w:adjustRightInd w:val="0"/>
              <w:snapToGrid w:val="0"/>
              <w:spacing w:line="240" w:lineRule="auto"/>
              <w:ind w:firstLine="0" w:firstLineChars="0"/>
              <w:jc w:val="center"/>
              <w:rPr>
                <w:rFonts w:ascii="宋体" w:hAnsi="宋体" w:cs="宋体"/>
                <w:kern w:val="0"/>
                <w:sz w:val="21"/>
                <w:szCs w:val="21"/>
              </w:rPr>
            </w:pP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45" w:type="pct"/>
            <w:vAlign w:val="center"/>
          </w:tcPr>
          <w:p>
            <w:pPr>
              <w:adjustRightInd w:val="0"/>
              <w:snapToGrid w:val="0"/>
              <w:spacing w:line="240" w:lineRule="auto"/>
              <w:ind w:firstLine="0" w:firstLineChars="0"/>
              <w:jc w:val="center"/>
              <w:rPr>
                <w:rFonts w:ascii="宋体" w:hAnsi="宋体" w:cs="宋体"/>
                <w:kern w:val="0"/>
                <w:sz w:val="21"/>
                <w:szCs w:val="21"/>
              </w:rPr>
            </w:pPr>
            <w:r>
              <w:rPr>
                <w:rFonts w:cs="Times New Roman"/>
                <w:kern w:val="0"/>
                <w:sz w:val="21"/>
                <w:szCs w:val="20"/>
              </w:rPr>
              <w:t>3</w:t>
            </w:r>
          </w:p>
        </w:tc>
        <w:tc>
          <w:tcPr>
            <w:tcW w:w="1156" w:type="pct"/>
            <w:vAlign w:val="center"/>
          </w:tcPr>
          <w:p>
            <w:pPr>
              <w:widowControl/>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绝缘手套</w:t>
            </w:r>
          </w:p>
        </w:tc>
        <w:tc>
          <w:tcPr>
            <w:tcW w:w="1173" w:type="pct"/>
            <w:vAlign w:val="center"/>
          </w:tcPr>
          <w:p>
            <w:pPr>
              <w:adjustRightInd w:val="0"/>
              <w:snapToGrid w:val="0"/>
              <w:spacing w:line="240" w:lineRule="auto"/>
              <w:ind w:firstLine="0" w:firstLineChars="0"/>
              <w:jc w:val="center"/>
              <w:rPr>
                <w:rFonts w:ascii="宋体" w:hAnsi="宋体" w:cs="宋体"/>
                <w:kern w:val="0"/>
                <w:sz w:val="21"/>
                <w:szCs w:val="21"/>
              </w:rPr>
            </w:pPr>
            <w:r>
              <w:rPr>
                <w:rFonts w:hint="eastAsia" w:cs="Times New Roman"/>
                <w:snapToGrid w:val="0"/>
                <w:kern w:val="0"/>
                <w:sz w:val="21"/>
                <w:szCs w:val="20"/>
              </w:rPr>
              <w:t>10副</w:t>
            </w:r>
          </w:p>
        </w:tc>
        <w:tc>
          <w:tcPr>
            <w:tcW w:w="1121" w:type="pct"/>
            <w:vAlign w:val="center"/>
          </w:tcPr>
          <w:p>
            <w:pPr>
              <w:adjustRightInd w:val="0"/>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为电工作业配置</w:t>
            </w:r>
          </w:p>
        </w:tc>
        <w:tc>
          <w:tcPr>
            <w:tcW w:w="1203" w:type="pct"/>
            <w:vAlign w:val="center"/>
          </w:tcPr>
          <w:p>
            <w:pPr>
              <w:adjustRightInd w:val="0"/>
              <w:snapToGrid w:val="0"/>
              <w:spacing w:line="240" w:lineRule="auto"/>
              <w:ind w:firstLine="0" w:firstLineChars="0"/>
              <w:jc w:val="center"/>
              <w:rPr>
                <w:rFonts w:ascii="宋体" w:hAnsi="宋体" w:cs="宋体"/>
                <w:kern w:val="0"/>
                <w:sz w:val="21"/>
                <w:szCs w:val="21"/>
              </w:rPr>
            </w:pP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45" w:type="pct"/>
            <w:vAlign w:val="center"/>
          </w:tcPr>
          <w:p>
            <w:pPr>
              <w:adjustRightInd w:val="0"/>
              <w:snapToGrid w:val="0"/>
              <w:spacing w:line="240" w:lineRule="auto"/>
              <w:ind w:firstLine="0" w:firstLineChars="0"/>
              <w:jc w:val="center"/>
              <w:rPr>
                <w:rFonts w:ascii="宋体" w:hAnsi="宋体" w:cs="宋体"/>
                <w:kern w:val="0"/>
                <w:sz w:val="21"/>
                <w:szCs w:val="21"/>
              </w:rPr>
            </w:pPr>
            <w:r>
              <w:rPr>
                <w:rFonts w:cs="Times New Roman"/>
                <w:kern w:val="0"/>
                <w:sz w:val="21"/>
                <w:szCs w:val="20"/>
              </w:rPr>
              <w:t>4</w:t>
            </w:r>
          </w:p>
        </w:tc>
        <w:tc>
          <w:tcPr>
            <w:tcW w:w="1156" w:type="pct"/>
            <w:vAlign w:val="center"/>
          </w:tcPr>
          <w:p>
            <w:pPr>
              <w:widowControl/>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绝缘服</w:t>
            </w:r>
          </w:p>
        </w:tc>
        <w:tc>
          <w:tcPr>
            <w:tcW w:w="1173" w:type="pct"/>
            <w:vAlign w:val="center"/>
          </w:tcPr>
          <w:p>
            <w:pPr>
              <w:adjustRightInd w:val="0"/>
              <w:snapToGrid w:val="0"/>
              <w:spacing w:line="240" w:lineRule="auto"/>
              <w:ind w:firstLine="0" w:firstLineChars="0"/>
              <w:jc w:val="center"/>
              <w:rPr>
                <w:rFonts w:ascii="宋体" w:hAnsi="宋体" w:cs="宋体"/>
                <w:kern w:val="0"/>
                <w:sz w:val="21"/>
                <w:szCs w:val="21"/>
              </w:rPr>
            </w:pPr>
            <w:r>
              <w:rPr>
                <w:rFonts w:hint="eastAsia" w:cs="Times New Roman"/>
                <w:snapToGrid w:val="0"/>
                <w:kern w:val="0"/>
                <w:sz w:val="21"/>
                <w:szCs w:val="20"/>
              </w:rPr>
              <w:t>10套</w:t>
            </w:r>
          </w:p>
        </w:tc>
        <w:tc>
          <w:tcPr>
            <w:tcW w:w="1121" w:type="pct"/>
            <w:vAlign w:val="center"/>
          </w:tcPr>
          <w:p>
            <w:pPr>
              <w:adjustRightInd w:val="0"/>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为电工作业配置</w:t>
            </w:r>
          </w:p>
        </w:tc>
        <w:tc>
          <w:tcPr>
            <w:tcW w:w="1203" w:type="pct"/>
            <w:vAlign w:val="center"/>
          </w:tcPr>
          <w:p>
            <w:pPr>
              <w:adjustRightInd w:val="0"/>
              <w:snapToGrid w:val="0"/>
              <w:spacing w:line="240" w:lineRule="auto"/>
              <w:ind w:firstLine="0" w:firstLineChars="0"/>
              <w:jc w:val="center"/>
              <w:rPr>
                <w:rFonts w:ascii="宋体" w:hAnsi="宋体" w:cs="宋体"/>
                <w:kern w:val="0"/>
                <w:sz w:val="21"/>
                <w:szCs w:val="21"/>
              </w:rPr>
            </w:pP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45" w:type="pct"/>
            <w:vAlign w:val="center"/>
          </w:tcPr>
          <w:p>
            <w:pPr>
              <w:adjustRightInd w:val="0"/>
              <w:snapToGrid w:val="0"/>
              <w:spacing w:line="240" w:lineRule="auto"/>
              <w:ind w:firstLine="0" w:firstLineChars="0"/>
              <w:jc w:val="center"/>
              <w:rPr>
                <w:rFonts w:ascii="宋体" w:hAnsi="宋体" w:cs="宋体"/>
                <w:kern w:val="0"/>
                <w:sz w:val="21"/>
                <w:szCs w:val="21"/>
              </w:rPr>
            </w:pPr>
            <w:r>
              <w:rPr>
                <w:rFonts w:cs="Times New Roman"/>
                <w:snapToGrid w:val="0"/>
                <w:kern w:val="0"/>
                <w:sz w:val="21"/>
                <w:szCs w:val="20"/>
              </w:rPr>
              <w:t>5</w:t>
            </w:r>
          </w:p>
        </w:tc>
        <w:tc>
          <w:tcPr>
            <w:tcW w:w="1156" w:type="pct"/>
            <w:vAlign w:val="center"/>
          </w:tcPr>
          <w:p>
            <w:pPr>
              <w:widowControl/>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绝缘鞋</w:t>
            </w:r>
          </w:p>
        </w:tc>
        <w:tc>
          <w:tcPr>
            <w:tcW w:w="1173" w:type="pct"/>
            <w:vAlign w:val="center"/>
          </w:tcPr>
          <w:p>
            <w:pPr>
              <w:adjustRightInd w:val="0"/>
              <w:snapToGrid w:val="0"/>
              <w:spacing w:line="240" w:lineRule="auto"/>
              <w:ind w:firstLine="0" w:firstLineChars="0"/>
              <w:jc w:val="center"/>
              <w:rPr>
                <w:rFonts w:ascii="宋体" w:hAnsi="宋体" w:cs="宋体"/>
                <w:kern w:val="0"/>
                <w:sz w:val="21"/>
                <w:szCs w:val="21"/>
              </w:rPr>
            </w:pPr>
            <w:r>
              <w:rPr>
                <w:rFonts w:hint="eastAsia" w:cs="Times New Roman"/>
                <w:snapToGrid w:val="0"/>
                <w:kern w:val="0"/>
                <w:sz w:val="21"/>
                <w:szCs w:val="20"/>
              </w:rPr>
              <w:t>10双</w:t>
            </w:r>
          </w:p>
        </w:tc>
        <w:tc>
          <w:tcPr>
            <w:tcW w:w="1121" w:type="pct"/>
            <w:vAlign w:val="center"/>
          </w:tcPr>
          <w:p>
            <w:pPr>
              <w:adjustRightInd w:val="0"/>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为电工作业配置</w:t>
            </w:r>
          </w:p>
        </w:tc>
        <w:tc>
          <w:tcPr>
            <w:tcW w:w="1203" w:type="pct"/>
            <w:vAlign w:val="center"/>
          </w:tcPr>
          <w:p>
            <w:pPr>
              <w:adjustRightInd w:val="0"/>
              <w:snapToGrid w:val="0"/>
              <w:spacing w:line="240" w:lineRule="auto"/>
              <w:ind w:firstLine="0" w:firstLineChars="0"/>
              <w:jc w:val="center"/>
              <w:rPr>
                <w:rFonts w:ascii="宋体" w:hAnsi="宋体" w:cs="宋体"/>
                <w:kern w:val="0"/>
                <w:sz w:val="21"/>
                <w:szCs w:val="21"/>
              </w:rPr>
            </w:pP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45" w:type="pct"/>
            <w:vAlign w:val="center"/>
          </w:tcPr>
          <w:p>
            <w:pPr>
              <w:adjustRightInd w:val="0"/>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6</w:t>
            </w:r>
          </w:p>
        </w:tc>
        <w:tc>
          <w:tcPr>
            <w:tcW w:w="1156" w:type="pct"/>
            <w:vAlign w:val="center"/>
          </w:tcPr>
          <w:p>
            <w:pPr>
              <w:spacing w:line="360" w:lineRule="exact"/>
              <w:ind w:firstLine="0" w:firstLineChars="0"/>
              <w:jc w:val="center"/>
              <w:rPr>
                <w:rFonts w:ascii="宋体" w:hAnsi="宋体" w:cs="宋体"/>
                <w:sz w:val="21"/>
                <w:szCs w:val="21"/>
              </w:rPr>
            </w:pPr>
            <w:r>
              <w:rPr>
                <w:rFonts w:hint="eastAsia" w:ascii="宋体" w:hAnsi="宋体" w:cs="宋体"/>
                <w:sz w:val="21"/>
                <w:szCs w:val="21"/>
              </w:rPr>
              <w:t>绝热防护服</w:t>
            </w:r>
          </w:p>
        </w:tc>
        <w:tc>
          <w:tcPr>
            <w:tcW w:w="1173" w:type="pct"/>
            <w:vAlign w:val="center"/>
          </w:tcPr>
          <w:p>
            <w:pPr>
              <w:widowControl/>
              <w:spacing w:line="240" w:lineRule="auto"/>
              <w:ind w:firstLine="0" w:firstLineChars="0"/>
              <w:jc w:val="center"/>
              <w:rPr>
                <w:rFonts w:cs="Times New Roman"/>
                <w:snapToGrid w:val="0"/>
                <w:kern w:val="0"/>
                <w:sz w:val="21"/>
                <w:szCs w:val="20"/>
              </w:rPr>
            </w:pPr>
            <w:r>
              <w:rPr>
                <w:rFonts w:hint="eastAsia" w:ascii="宋体" w:hAnsi="宋体" w:cs="宋体"/>
                <w:kern w:val="0"/>
                <w:sz w:val="21"/>
                <w:szCs w:val="21"/>
              </w:rPr>
              <w:t>按需配置</w:t>
            </w:r>
          </w:p>
        </w:tc>
        <w:tc>
          <w:tcPr>
            <w:tcW w:w="1121" w:type="pct"/>
            <w:vAlign w:val="center"/>
          </w:tcPr>
          <w:p>
            <w:pPr>
              <w:widowControl/>
              <w:spacing w:line="240" w:lineRule="auto"/>
              <w:ind w:firstLine="0" w:firstLineChars="0"/>
              <w:jc w:val="center"/>
              <w:rPr>
                <w:rFonts w:cs="Times New Roman"/>
                <w:snapToGrid w:val="0"/>
                <w:kern w:val="0"/>
                <w:sz w:val="21"/>
                <w:szCs w:val="20"/>
              </w:rPr>
            </w:pPr>
            <w:r>
              <w:rPr>
                <w:rFonts w:hint="eastAsia" w:ascii="宋体" w:hAnsi="宋体" w:cs="宋体"/>
                <w:kern w:val="0"/>
                <w:sz w:val="21"/>
                <w:szCs w:val="21"/>
              </w:rPr>
              <w:t>高温岗位配置</w:t>
            </w:r>
          </w:p>
        </w:tc>
        <w:tc>
          <w:tcPr>
            <w:tcW w:w="1203" w:type="pct"/>
            <w:vAlign w:val="center"/>
          </w:tcPr>
          <w:p>
            <w:pPr>
              <w:adjustRightInd w:val="0"/>
              <w:snapToGrid w:val="0"/>
              <w:spacing w:line="240" w:lineRule="auto"/>
              <w:ind w:firstLine="0" w:firstLineChars="0"/>
              <w:jc w:val="center"/>
              <w:rPr>
                <w:rFonts w:ascii="宋体" w:hAnsi="宋体" w:cs="宋体"/>
                <w:kern w:val="0"/>
                <w:sz w:val="21"/>
                <w:szCs w:val="21"/>
              </w:rPr>
            </w:pP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45" w:type="pct"/>
            <w:vAlign w:val="center"/>
          </w:tcPr>
          <w:p>
            <w:pPr>
              <w:adjustRightInd w:val="0"/>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7</w:t>
            </w:r>
          </w:p>
        </w:tc>
        <w:tc>
          <w:tcPr>
            <w:tcW w:w="1156" w:type="pct"/>
            <w:vAlign w:val="center"/>
          </w:tcPr>
          <w:p>
            <w:pPr>
              <w:spacing w:line="240" w:lineRule="auto"/>
              <w:ind w:firstLine="0" w:firstLineChars="0"/>
              <w:jc w:val="center"/>
              <w:rPr>
                <w:rFonts w:ascii="宋体" w:hAnsi="宋体" w:cs="宋体"/>
                <w:sz w:val="21"/>
                <w:szCs w:val="20"/>
              </w:rPr>
            </w:pPr>
            <w:r>
              <w:rPr>
                <w:rFonts w:hint="eastAsia" w:ascii="宋体" w:hAnsi="宋体" w:cs="宋体"/>
                <w:sz w:val="21"/>
                <w:szCs w:val="20"/>
              </w:rPr>
              <w:t>绝热手套</w:t>
            </w:r>
          </w:p>
        </w:tc>
        <w:tc>
          <w:tcPr>
            <w:tcW w:w="1173" w:type="pct"/>
            <w:vAlign w:val="center"/>
          </w:tcPr>
          <w:p>
            <w:pPr>
              <w:widowControl/>
              <w:spacing w:line="240" w:lineRule="auto"/>
              <w:ind w:firstLine="0" w:firstLineChars="0"/>
              <w:jc w:val="center"/>
              <w:rPr>
                <w:rFonts w:cs="Times New Roman"/>
                <w:snapToGrid w:val="0"/>
                <w:kern w:val="0"/>
                <w:sz w:val="21"/>
                <w:szCs w:val="20"/>
              </w:rPr>
            </w:pPr>
            <w:r>
              <w:rPr>
                <w:rFonts w:hint="eastAsia" w:ascii="宋体" w:hAnsi="宋体" w:cs="宋体"/>
                <w:kern w:val="0"/>
                <w:sz w:val="21"/>
                <w:szCs w:val="21"/>
              </w:rPr>
              <w:t>按需配置</w:t>
            </w:r>
          </w:p>
        </w:tc>
        <w:tc>
          <w:tcPr>
            <w:tcW w:w="1121" w:type="pct"/>
            <w:vAlign w:val="center"/>
          </w:tcPr>
          <w:p>
            <w:pPr>
              <w:widowControl/>
              <w:spacing w:line="240" w:lineRule="auto"/>
              <w:ind w:firstLine="0" w:firstLineChars="0"/>
              <w:jc w:val="center"/>
              <w:rPr>
                <w:rFonts w:cs="Times New Roman"/>
                <w:snapToGrid w:val="0"/>
                <w:kern w:val="0"/>
                <w:sz w:val="21"/>
                <w:szCs w:val="20"/>
              </w:rPr>
            </w:pPr>
            <w:r>
              <w:rPr>
                <w:rFonts w:hint="eastAsia" w:ascii="宋体" w:hAnsi="宋体" w:cs="宋体"/>
                <w:kern w:val="0"/>
                <w:sz w:val="21"/>
                <w:szCs w:val="21"/>
              </w:rPr>
              <w:t>高温岗位配置</w:t>
            </w:r>
          </w:p>
        </w:tc>
        <w:tc>
          <w:tcPr>
            <w:tcW w:w="1203" w:type="pct"/>
            <w:vAlign w:val="center"/>
          </w:tcPr>
          <w:p>
            <w:pPr>
              <w:adjustRightInd w:val="0"/>
              <w:snapToGrid w:val="0"/>
              <w:spacing w:line="240" w:lineRule="auto"/>
              <w:ind w:firstLine="0" w:firstLineChars="0"/>
              <w:jc w:val="center"/>
              <w:rPr>
                <w:rFonts w:ascii="宋体" w:hAnsi="宋体" w:cs="宋体"/>
                <w:kern w:val="0"/>
                <w:sz w:val="21"/>
                <w:szCs w:val="21"/>
              </w:rPr>
            </w:pP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45" w:type="pct"/>
            <w:vAlign w:val="center"/>
          </w:tcPr>
          <w:p>
            <w:pPr>
              <w:adjustRightInd w:val="0"/>
              <w:snapToGrid w:val="0"/>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8</w:t>
            </w:r>
          </w:p>
        </w:tc>
        <w:tc>
          <w:tcPr>
            <w:tcW w:w="1156" w:type="pct"/>
            <w:vAlign w:val="center"/>
          </w:tcPr>
          <w:p>
            <w:pPr>
              <w:widowControl/>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防尘口罩</w:t>
            </w:r>
          </w:p>
        </w:tc>
        <w:tc>
          <w:tcPr>
            <w:tcW w:w="1173" w:type="pct"/>
            <w:vAlign w:val="center"/>
          </w:tcPr>
          <w:p>
            <w:pPr>
              <w:widowControl/>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按需配置</w:t>
            </w:r>
          </w:p>
        </w:tc>
        <w:tc>
          <w:tcPr>
            <w:tcW w:w="1121" w:type="pct"/>
            <w:vAlign w:val="center"/>
          </w:tcPr>
          <w:p>
            <w:pPr>
              <w:widowControl/>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粉尘岗位操作人员</w:t>
            </w:r>
          </w:p>
        </w:tc>
        <w:tc>
          <w:tcPr>
            <w:tcW w:w="1203" w:type="pct"/>
            <w:vAlign w:val="center"/>
          </w:tcPr>
          <w:p>
            <w:pPr>
              <w:adjustRightInd w:val="0"/>
              <w:snapToGrid w:val="0"/>
              <w:spacing w:line="240" w:lineRule="auto"/>
              <w:ind w:firstLine="0" w:firstLineChars="0"/>
              <w:jc w:val="center"/>
              <w:rPr>
                <w:rFonts w:ascii="宋体" w:hAnsi="宋体" w:cs="宋体"/>
                <w:kern w:val="0"/>
                <w:sz w:val="21"/>
                <w:szCs w:val="21"/>
              </w:rPr>
            </w:pPr>
          </w:p>
        </w:tc>
      </w:tr>
    </w:tbl>
    <w:p>
      <w:pPr>
        <w:pStyle w:val="5"/>
        <w:spacing w:before="156" w:after="156"/>
      </w:pPr>
      <w:r>
        <w:rPr>
          <w:rFonts w:hint="eastAsia"/>
        </w:rPr>
        <w:br w:type="page"/>
      </w:r>
      <w:bookmarkStart w:id="111" w:name="_Toc271"/>
      <w:r>
        <w:rPr>
          <w:rFonts w:hint="eastAsia"/>
        </w:rPr>
        <w:t>建设项目图片</w:t>
      </w:r>
      <w:bookmarkEnd w:id="111"/>
    </w:p>
    <w:tbl>
      <w:tblPr>
        <w:tblStyle w:val="3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261" w:type="dxa"/>
          </w:tcPr>
          <w:p>
            <w:pPr>
              <w:ind w:firstLine="0" w:firstLineChars="0"/>
              <w:jc w:val="center"/>
            </w:pPr>
            <w:r>
              <w:rPr>
                <w:rFonts w:hint="eastAsia"/>
              </w:rPr>
              <w:drawing>
                <wp:anchor distT="0" distB="0" distL="114300" distR="114300" simplePos="0" relativeHeight="251670528" behindDoc="0" locked="0" layoutInCell="1" allowOverlap="1">
                  <wp:simplePos x="0" y="0"/>
                  <wp:positionH relativeFrom="column">
                    <wp:posOffset>11430</wp:posOffset>
                  </wp:positionH>
                  <wp:positionV relativeFrom="paragraph">
                    <wp:posOffset>-1651000</wp:posOffset>
                  </wp:positionV>
                  <wp:extent cx="2540000" cy="1905000"/>
                  <wp:effectExtent l="0" t="0" r="5080" b="0"/>
                  <wp:wrapTopAndBottom/>
                  <wp:docPr id="18" name="图片 18" descr="大姚祥华20221026_165500620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大姚祥华20221026_165500620 (5)"/>
                          <pic:cNvPicPr>
                            <a:picLocks noChangeAspect="1"/>
                          </pic:cNvPicPr>
                        </pic:nvPicPr>
                        <pic:blipFill>
                          <a:blip r:embed="rId30"/>
                          <a:stretch>
                            <a:fillRect/>
                          </a:stretch>
                        </pic:blipFill>
                        <pic:spPr>
                          <a:xfrm>
                            <a:off x="0" y="0"/>
                            <a:ext cx="2540000" cy="1905000"/>
                          </a:xfrm>
                          <a:prstGeom prst="rect">
                            <a:avLst/>
                          </a:prstGeom>
                        </pic:spPr>
                      </pic:pic>
                    </a:graphicData>
                  </a:graphic>
                </wp:anchor>
              </w:drawing>
            </w:r>
            <w:r>
              <w:rPr>
                <w:rFonts w:hint="eastAsia"/>
              </w:rPr>
              <w:t>生产厂房</w:t>
            </w:r>
          </w:p>
        </w:tc>
        <w:tc>
          <w:tcPr>
            <w:tcW w:w="4261" w:type="dxa"/>
          </w:tcPr>
          <w:p>
            <w:pPr>
              <w:ind w:firstLine="0" w:firstLineChars="0"/>
              <w:jc w:val="center"/>
            </w:pPr>
            <w:r>
              <w:rPr>
                <w:rFonts w:hint="eastAsia"/>
              </w:rPr>
              <w:drawing>
                <wp:anchor distT="0" distB="0" distL="114300" distR="114300" simplePos="0" relativeHeight="251671552" behindDoc="0" locked="0" layoutInCell="1" allowOverlap="1">
                  <wp:simplePos x="0" y="0"/>
                  <wp:positionH relativeFrom="column">
                    <wp:posOffset>26670</wp:posOffset>
                  </wp:positionH>
                  <wp:positionV relativeFrom="paragraph">
                    <wp:posOffset>1270</wp:posOffset>
                  </wp:positionV>
                  <wp:extent cx="2540000" cy="1905000"/>
                  <wp:effectExtent l="0" t="0" r="5080" b="0"/>
                  <wp:wrapTopAndBottom/>
                  <wp:docPr id="20" name="图片 20" descr="大姚祥华20221026_165500620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大姚祥华20221026_165500620 (7)"/>
                          <pic:cNvPicPr>
                            <a:picLocks noChangeAspect="1"/>
                          </pic:cNvPicPr>
                        </pic:nvPicPr>
                        <pic:blipFill>
                          <a:blip r:embed="rId31"/>
                          <a:stretch>
                            <a:fillRect/>
                          </a:stretch>
                        </pic:blipFill>
                        <pic:spPr>
                          <a:xfrm>
                            <a:off x="0" y="0"/>
                            <a:ext cx="2540000" cy="1905000"/>
                          </a:xfrm>
                          <a:prstGeom prst="rect">
                            <a:avLst/>
                          </a:prstGeom>
                        </pic:spPr>
                      </pic:pic>
                    </a:graphicData>
                  </a:graphic>
                </wp:anchor>
              </w:drawing>
            </w:r>
            <w:r>
              <w:rPr>
                <w:rFonts w:hint="eastAsia"/>
              </w:rPr>
              <w:t>厂区道路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9" w:hRule="atLeast"/>
          <w:jc w:val="center"/>
        </w:trPr>
        <w:tc>
          <w:tcPr>
            <w:tcW w:w="4261" w:type="dxa"/>
          </w:tcPr>
          <w:p>
            <w:pPr>
              <w:ind w:firstLine="0" w:firstLineChars="0"/>
              <w:jc w:val="center"/>
            </w:pPr>
            <w:r>
              <w:rPr>
                <w:rFonts w:hint="eastAsia"/>
              </w:rPr>
              <w:drawing>
                <wp:anchor distT="0" distB="0" distL="114300" distR="114300" simplePos="0" relativeHeight="251672576" behindDoc="0" locked="0" layoutInCell="1" allowOverlap="1">
                  <wp:simplePos x="0" y="0"/>
                  <wp:positionH relativeFrom="column">
                    <wp:posOffset>19685</wp:posOffset>
                  </wp:positionH>
                  <wp:positionV relativeFrom="paragraph">
                    <wp:posOffset>55880</wp:posOffset>
                  </wp:positionV>
                  <wp:extent cx="2559050" cy="1430020"/>
                  <wp:effectExtent l="0" t="0" r="1270" b="2540"/>
                  <wp:wrapTopAndBottom/>
                  <wp:docPr id="22" name="图片 22" descr="IMG_20230405_1005015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IMG_20230405_100501566"/>
                          <pic:cNvPicPr>
                            <a:picLocks noChangeAspect="1"/>
                          </pic:cNvPicPr>
                        </pic:nvPicPr>
                        <pic:blipFill>
                          <a:blip r:embed="rId32"/>
                          <a:stretch>
                            <a:fillRect/>
                          </a:stretch>
                        </pic:blipFill>
                        <pic:spPr>
                          <a:xfrm>
                            <a:off x="0" y="0"/>
                            <a:ext cx="2559050" cy="1430020"/>
                          </a:xfrm>
                          <a:prstGeom prst="rect">
                            <a:avLst/>
                          </a:prstGeom>
                        </pic:spPr>
                      </pic:pic>
                    </a:graphicData>
                  </a:graphic>
                </wp:anchor>
              </w:drawing>
            </w:r>
            <w:r>
              <w:rPr>
                <w:rFonts w:hint="eastAsia"/>
              </w:rPr>
              <w:t>10kV变压器</w:t>
            </w:r>
          </w:p>
        </w:tc>
        <w:tc>
          <w:tcPr>
            <w:tcW w:w="4261" w:type="dxa"/>
          </w:tcPr>
          <w:p>
            <w:pPr>
              <w:ind w:firstLine="0" w:firstLineChars="0"/>
              <w:jc w:val="center"/>
            </w:pPr>
            <w:r>
              <w:rPr>
                <w:rFonts w:hint="eastAsia"/>
              </w:rPr>
              <w:t>进入生产区域安全告知</w:t>
            </w:r>
            <w:r>
              <w:rPr>
                <w:rFonts w:hint="eastAsia"/>
              </w:rPr>
              <w:drawing>
                <wp:anchor distT="0" distB="0" distL="114300" distR="114300" simplePos="0" relativeHeight="251673600" behindDoc="0" locked="0" layoutInCell="1" allowOverlap="1">
                  <wp:simplePos x="0" y="0"/>
                  <wp:positionH relativeFrom="column">
                    <wp:posOffset>20320</wp:posOffset>
                  </wp:positionH>
                  <wp:positionV relativeFrom="paragraph">
                    <wp:posOffset>78740</wp:posOffset>
                  </wp:positionV>
                  <wp:extent cx="2540000" cy="1536065"/>
                  <wp:effectExtent l="0" t="0" r="5080" b="3175"/>
                  <wp:wrapTopAndBottom/>
                  <wp:docPr id="23" name="图片 23" descr="IMG_20230405_100938647_BURST000_COV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IMG_20230405_100938647_BURST000_COVER"/>
                          <pic:cNvPicPr>
                            <a:picLocks noChangeAspect="1"/>
                          </pic:cNvPicPr>
                        </pic:nvPicPr>
                        <pic:blipFill>
                          <a:blip r:embed="rId33"/>
                          <a:stretch>
                            <a:fillRect/>
                          </a:stretch>
                        </pic:blipFill>
                        <pic:spPr>
                          <a:xfrm>
                            <a:off x="0" y="0"/>
                            <a:ext cx="2540000" cy="1536065"/>
                          </a:xfrm>
                          <a:prstGeom prst="rect">
                            <a:avLst/>
                          </a:prstGeom>
                        </pic:spPr>
                      </pic:pic>
                    </a:graphicData>
                  </a:graphic>
                </wp:anchor>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9" w:hRule="atLeast"/>
          <w:jc w:val="center"/>
        </w:trPr>
        <w:tc>
          <w:tcPr>
            <w:tcW w:w="4261" w:type="dxa"/>
          </w:tcPr>
          <w:p>
            <w:pPr>
              <w:ind w:firstLine="0" w:firstLineChars="0"/>
              <w:jc w:val="center"/>
            </w:pPr>
            <w:r>
              <w:rPr>
                <w:rFonts w:hint="eastAsia"/>
              </w:rPr>
              <w:drawing>
                <wp:anchor distT="0" distB="0" distL="114300" distR="114300" simplePos="0" relativeHeight="251674624" behindDoc="0" locked="0" layoutInCell="1" allowOverlap="1">
                  <wp:simplePos x="0" y="0"/>
                  <wp:positionH relativeFrom="column">
                    <wp:posOffset>50165</wp:posOffset>
                  </wp:positionH>
                  <wp:positionV relativeFrom="paragraph">
                    <wp:posOffset>73025</wp:posOffset>
                  </wp:positionV>
                  <wp:extent cx="2540000" cy="1554480"/>
                  <wp:effectExtent l="0" t="0" r="5080" b="0"/>
                  <wp:wrapTopAndBottom/>
                  <wp:docPr id="25" name="图片 25" descr="IMG_20230405_1010507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IMG_20230405_101050719"/>
                          <pic:cNvPicPr>
                            <a:picLocks noChangeAspect="1"/>
                          </pic:cNvPicPr>
                        </pic:nvPicPr>
                        <pic:blipFill>
                          <a:blip r:embed="rId34"/>
                          <a:stretch>
                            <a:fillRect/>
                          </a:stretch>
                        </pic:blipFill>
                        <pic:spPr>
                          <a:xfrm>
                            <a:off x="0" y="0"/>
                            <a:ext cx="2540000" cy="1554480"/>
                          </a:xfrm>
                          <a:prstGeom prst="rect">
                            <a:avLst/>
                          </a:prstGeom>
                        </pic:spPr>
                      </pic:pic>
                    </a:graphicData>
                  </a:graphic>
                </wp:anchor>
              </w:drawing>
            </w:r>
            <w:r>
              <w:rPr>
                <w:rFonts w:hint="eastAsia"/>
              </w:rPr>
              <w:t>机加工车间入口通道</w:t>
            </w:r>
          </w:p>
        </w:tc>
        <w:tc>
          <w:tcPr>
            <w:tcW w:w="4261" w:type="dxa"/>
          </w:tcPr>
          <w:p>
            <w:pPr>
              <w:ind w:firstLine="0" w:firstLineChars="0"/>
              <w:jc w:val="center"/>
            </w:pPr>
            <w:r>
              <w:rPr>
                <w:rFonts w:hint="eastAsia"/>
              </w:rPr>
              <w:drawing>
                <wp:anchor distT="0" distB="0" distL="114300" distR="114300" simplePos="0" relativeHeight="251675648" behindDoc="0" locked="0" layoutInCell="1" allowOverlap="1">
                  <wp:simplePos x="0" y="0"/>
                  <wp:positionH relativeFrom="column">
                    <wp:posOffset>-16510</wp:posOffset>
                  </wp:positionH>
                  <wp:positionV relativeFrom="paragraph">
                    <wp:posOffset>34925</wp:posOffset>
                  </wp:positionV>
                  <wp:extent cx="2540000" cy="1648460"/>
                  <wp:effectExtent l="0" t="0" r="5080" b="12700"/>
                  <wp:wrapTopAndBottom/>
                  <wp:docPr id="26" name="图片 26" descr="IMG_20230405_1012169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IMG_20230405_101216971"/>
                          <pic:cNvPicPr>
                            <a:picLocks noChangeAspect="1"/>
                          </pic:cNvPicPr>
                        </pic:nvPicPr>
                        <pic:blipFill>
                          <a:blip r:embed="rId35"/>
                          <a:stretch>
                            <a:fillRect/>
                          </a:stretch>
                        </pic:blipFill>
                        <pic:spPr>
                          <a:xfrm>
                            <a:off x="0" y="0"/>
                            <a:ext cx="2540000" cy="1648460"/>
                          </a:xfrm>
                          <a:prstGeom prst="rect">
                            <a:avLst/>
                          </a:prstGeom>
                        </pic:spPr>
                      </pic:pic>
                    </a:graphicData>
                  </a:graphic>
                </wp:anchor>
              </w:drawing>
            </w:r>
            <w:r>
              <w:rPr>
                <w:rFonts w:hint="eastAsia"/>
              </w:rPr>
              <w:t>机加工车间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261" w:type="dxa"/>
          </w:tcPr>
          <w:p>
            <w:pPr>
              <w:ind w:firstLine="0" w:firstLineChars="0"/>
              <w:jc w:val="center"/>
            </w:pPr>
            <w:r>
              <w:rPr>
                <w:rFonts w:hint="eastAsia"/>
              </w:rPr>
              <w:t>熔铸车间</w:t>
            </w:r>
            <w:r>
              <w:rPr>
                <w:rFonts w:hint="eastAsia"/>
              </w:rPr>
              <w:drawing>
                <wp:anchor distT="0" distB="0" distL="114300" distR="114300" simplePos="0" relativeHeight="251678720" behindDoc="0" locked="0" layoutInCell="1" allowOverlap="1">
                  <wp:simplePos x="0" y="0"/>
                  <wp:positionH relativeFrom="column">
                    <wp:posOffset>41275</wp:posOffset>
                  </wp:positionH>
                  <wp:positionV relativeFrom="paragraph">
                    <wp:posOffset>13970</wp:posOffset>
                  </wp:positionV>
                  <wp:extent cx="2639695" cy="1628140"/>
                  <wp:effectExtent l="0" t="0" r="12065" b="2540"/>
                  <wp:wrapTopAndBottom/>
                  <wp:docPr id="31" name="图片 31" descr="c85964156e1b73a0daa281c58f507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c85964156e1b73a0daa281c58f50766"/>
                          <pic:cNvPicPr>
                            <a:picLocks noChangeAspect="1"/>
                          </pic:cNvPicPr>
                        </pic:nvPicPr>
                        <pic:blipFill>
                          <a:blip r:embed="rId36"/>
                          <a:stretch>
                            <a:fillRect/>
                          </a:stretch>
                        </pic:blipFill>
                        <pic:spPr>
                          <a:xfrm>
                            <a:off x="0" y="0"/>
                            <a:ext cx="2639695" cy="1628140"/>
                          </a:xfrm>
                          <a:prstGeom prst="rect">
                            <a:avLst/>
                          </a:prstGeom>
                        </pic:spPr>
                      </pic:pic>
                    </a:graphicData>
                  </a:graphic>
                </wp:anchor>
              </w:drawing>
            </w:r>
          </w:p>
        </w:tc>
        <w:tc>
          <w:tcPr>
            <w:tcW w:w="4261" w:type="dxa"/>
          </w:tcPr>
          <w:p>
            <w:pPr>
              <w:snapToGrid w:val="0"/>
              <w:ind w:firstLine="0" w:firstLineChars="0"/>
              <w:jc w:val="center"/>
            </w:pPr>
            <w:r>
              <w:rPr>
                <w:rFonts w:hint="eastAsia"/>
              </w:rPr>
              <w:t>熔铸车间</w:t>
            </w:r>
            <w:r>
              <w:drawing>
                <wp:anchor distT="0" distB="0" distL="114300" distR="114300" simplePos="0" relativeHeight="251683840" behindDoc="0" locked="0" layoutInCell="1" allowOverlap="1">
                  <wp:simplePos x="0" y="0"/>
                  <wp:positionH relativeFrom="column">
                    <wp:posOffset>-6985</wp:posOffset>
                  </wp:positionH>
                  <wp:positionV relativeFrom="paragraph">
                    <wp:posOffset>-1711960</wp:posOffset>
                  </wp:positionV>
                  <wp:extent cx="2563495" cy="1657350"/>
                  <wp:effectExtent l="0" t="0" r="12065" b="3810"/>
                  <wp:wrapTopAndBottom/>
                  <wp:docPr id="41" name="图片 41" descr="微信图片_202309071026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微信图片_20230907102611"/>
                          <pic:cNvPicPr>
                            <a:picLocks noChangeAspect="1"/>
                          </pic:cNvPicPr>
                        </pic:nvPicPr>
                        <pic:blipFill>
                          <a:blip r:embed="rId37"/>
                          <a:stretch>
                            <a:fillRect/>
                          </a:stretch>
                        </pic:blipFill>
                        <pic:spPr>
                          <a:xfrm>
                            <a:off x="0" y="0"/>
                            <a:ext cx="2563495" cy="1657350"/>
                          </a:xfrm>
                          <a:prstGeom prst="rect">
                            <a:avLst/>
                          </a:prstGeom>
                        </pic:spPr>
                      </pic:pic>
                    </a:graphicData>
                  </a:graphic>
                </wp:anchor>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2" w:hRule="atLeast"/>
          <w:jc w:val="center"/>
        </w:trPr>
        <w:tc>
          <w:tcPr>
            <w:tcW w:w="4261" w:type="dxa"/>
          </w:tcPr>
          <w:p>
            <w:pPr>
              <w:ind w:firstLine="0" w:firstLineChars="0"/>
              <w:jc w:val="center"/>
            </w:pPr>
            <w:r>
              <w:rPr>
                <w:rFonts w:hint="eastAsia"/>
              </w:rPr>
              <w:drawing>
                <wp:anchor distT="0" distB="0" distL="114300" distR="114300" simplePos="0" relativeHeight="251681792" behindDoc="0" locked="0" layoutInCell="1" allowOverlap="1">
                  <wp:simplePos x="0" y="0"/>
                  <wp:positionH relativeFrom="column">
                    <wp:posOffset>11430</wp:posOffset>
                  </wp:positionH>
                  <wp:positionV relativeFrom="paragraph">
                    <wp:posOffset>-6350</wp:posOffset>
                  </wp:positionV>
                  <wp:extent cx="2540000" cy="1905000"/>
                  <wp:effectExtent l="0" t="0" r="5080" b="0"/>
                  <wp:wrapTopAndBottom/>
                  <wp:docPr id="34" name="图片 34" descr="IMG_20221026_121508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IMG_20221026_121508134"/>
                          <pic:cNvPicPr>
                            <a:picLocks noChangeAspect="1"/>
                          </pic:cNvPicPr>
                        </pic:nvPicPr>
                        <pic:blipFill>
                          <a:blip r:embed="rId38"/>
                          <a:stretch>
                            <a:fillRect/>
                          </a:stretch>
                        </pic:blipFill>
                        <pic:spPr>
                          <a:xfrm>
                            <a:off x="0" y="0"/>
                            <a:ext cx="2540000" cy="1905000"/>
                          </a:xfrm>
                          <a:prstGeom prst="rect">
                            <a:avLst/>
                          </a:prstGeom>
                        </pic:spPr>
                      </pic:pic>
                    </a:graphicData>
                  </a:graphic>
                </wp:anchor>
              </w:drawing>
            </w:r>
            <w:r>
              <w:rPr>
                <w:rFonts w:hint="eastAsia"/>
              </w:rPr>
              <w:t>喷涂间</w:t>
            </w:r>
          </w:p>
        </w:tc>
        <w:tc>
          <w:tcPr>
            <w:tcW w:w="4261" w:type="dxa"/>
          </w:tcPr>
          <w:p>
            <w:pPr>
              <w:snapToGrid w:val="0"/>
              <w:ind w:firstLine="0" w:firstLineChars="0"/>
              <w:jc w:val="center"/>
            </w:pPr>
            <w:r>
              <w:rPr>
                <w:rFonts w:ascii="微软雅黑" w:hAnsi="微软雅黑" w:eastAsia="微软雅黑" w:cs="微软雅黑"/>
                <w:color w:val="121212"/>
                <w:sz w:val="27"/>
                <w:szCs w:val="27"/>
                <w:shd w:val="clear" w:color="auto" w:fill="FFFFFF"/>
              </w:rPr>
              <w:t>粉尘浓度检测报警器</w:t>
            </w:r>
            <w:r>
              <w:rPr>
                <w:rFonts w:hint="eastAsia"/>
              </w:rPr>
              <w:drawing>
                <wp:anchor distT="0" distB="0" distL="114300" distR="114300" simplePos="0" relativeHeight="251682816" behindDoc="0" locked="0" layoutInCell="1" allowOverlap="1">
                  <wp:simplePos x="0" y="0"/>
                  <wp:positionH relativeFrom="column">
                    <wp:posOffset>11430</wp:posOffset>
                  </wp:positionH>
                  <wp:positionV relativeFrom="paragraph">
                    <wp:posOffset>-6350</wp:posOffset>
                  </wp:positionV>
                  <wp:extent cx="2540000" cy="1905000"/>
                  <wp:effectExtent l="0" t="0" r="5080" b="0"/>
                  <wp:wrapTopAndBottom/>
                  <wp:docPr id="35" name="图片 35" descr="IMG_20221026_1216418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IMG_20221026_121641822"/>
                          <pic:cNvPicPr>
                            <a:picLocks noChangeAspect="1"/>
                          </pic:cNvPicPr>
                        </pic:nvPicPr>
                        <pic:blipFill>
                          <a:blip r:embed="rId39"/>
                          <a:stretch>
                            <a:fillRect/>
                          </a:stretch>
                        </pic:blipFill>
                        <pic:spPr>
                          <a:xfrm>
                            <a:off x="0" y="0"/>
                            <a:ext cx="2540000" cy="1905000"/>
                          </a:xfrm>
                          <a:prstGeom prst="rect">
                            <a:avLst/>
                          </a:prstGeom>
                        </pic:spPr>
                      </pic:pic>
                    </a:graphicData>
                  </a:graphic>
                </wp:anchor>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8" w:hRule="atLeast"/>
          <w:jc w:val="center"/>
        </w:trPr>
        <w:tc>
          <w:tcPr>
            <w:tcW w:w="4261" w:type="dxa"/>
          </w:tcPr>
          <w:p>
            <w:pPr>
              <w:ind w:firstLine="0" w:firstLineChars="0"/>
              <w:jc w:val="center"/>
            </w:pPr>
            <w:r>
              <w:drawing>
                <wp:anchor distT="0" distB="0" distL="114300" distR="114300" simplePos="0" relativeHeight="251680768" behindDoc="0" locked="0" layoutInCell="1" allowOverlap="1">
                  <wp:simplePos x="0" y="0"/>
                  <wp:positionH relativeFrom="column">
                    <wp:posOffset>0</wp:posOffset>
                  </wp:positionH>
                  <wp:positionV relativeFrom="paragraph">
                    <wp:posOffset>-6350</wp:posOffset>
                  </wp:positionV>
                  <wp:extent cx="2565400" cy="1704340"/>
                  <wp:effectExtent l="0" t="0" r="10160" b="2540"/>
                  <wp:wrapTopAndBottom/>
                  <wp:docPr id="33" name="图片 33" descr="IMG_20221026_125543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IMG_20221026_125543271"/>
                          <pic:cNvPicPr>
                            <a:picLocks noChangeAspect="1"/>
                          </pic:cNvPicPr>
                        </pic:nvPicPr>
                        <pic:blipFill>
                          <a:blip r:embed="rId40"/>
                          <a:stretch>
                            <a:fillRect/>
                          </a:stretch>
                        </pic:blipFill>
                        <pic:spPr>
                          <a:xfrm>
                            <a:off x="0" y="0"/>
                            <a:ext cx="2565400" cy="1704340"/>
                          </a:xfrm>
                          <a:prstGeom prst="rect">
                            <a:avLst/>
                          </a:prstGeom>
                        </pic:spPr>
                      </pic:pic>
                    </a:graphicData>
                  </a:graphic>
                </wp:anchor>
              </w:drawing>
            </w:r>
            <w:r>
              <w:rPr>
                <w:rFonts w:hint="eastAsia"/>
              </w:rPr>
              <w:t>循环冷却塔</w:t>
            </w:r>
          </w:p>
        </w:tc>
        <w:tc>
          <w:tcPr>
            <w:tcW w:w="4261" w:type="dxa"/>
          </w:tcPr>
          <w:p>
            <w:pPr>
              <w:ind w:firstLine="0" w:firstLineChars="0"/>
              <w:jc w:val="center"/>
            </w:pPr>
            <w:r>
              <w:rPr>
                <w:rFonts w:hint="eastAsia"/>
              </w:rPr>
              <w:drawing>
                <wp:anchor distT="0" distB="0" distL="114300" distR="114300" simplePos="0" relativeHeight="251679744" behindDoc="0" locked="0" layoutInCell="1" allowOverlap="1">
                  <wp:simplePos x="0" y="0"/>
                  <wp:positionH relativeFrom="column">
                    <wp:posOffset>-38100</wp:posOffset>
                  </wp:positionH>
                  <wp:positionV relativeFrom="paragraph">
                    <wp:posOffset>46355</wp:posOffset>
                  </wp:positionV>
                  <wp:extent cx="2659380" cy="1570355"/>
                  <wp:effectExtent l="0" t="0" r="7620" b="14605"/>
                  <wp:wrapTopAndBottom/>
                  <wp:docPr id="32" name="图片 32" descr="IMG_20230405_102605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IMG_20230405_102605113"/>
                          <pic:cNvPicPr>
                            <a:picLocks noChangeAspect="1"/>
                          </pic:cNvPicPr>
                        </pic:nvPicPr>
                        <pic:blipFill>
                          <a:blip r:embed="rId41"/>
                          <a:srcRect r="26444"/>
                          <a:stretch>
                            <a:fillRect/>
                          </a:stretch>
                        </pic:blipFill>
                        <pic:spPr>
                          <a:xfrm>
                            <a:off x="0" y="0"/>
                            <a:ext cx="2659380" cy="1570355"/>
                          </a:xfrm>
                          <a:prstGeom prst="rect">
                            <a:avLst/>
                          </a:prstGeom>
                        </pic:spPr>
                      </pic:pic>
                    </a:graphicData>
                  </a:graphic>
                </wp:anchor>
              </w:drawing>
            </w:r>
            <w:r>
              <w:rPr>
                <w:rFonts w:hint="eastAsia"/>
              </w:rPr>
              <w:t>特种设备管理上墙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9" w:hRule="atLeast"/>
          <w:jc w:val="center"/>
        </w:trPr>
        <w:tc>
          <w:tcPr>
            <w:tcW w:w="4261" w:type="dxa"/>
          </w:tcPr>
          <w:p>
            <w:pPr>
              <w:ind w:firstLine="0" w:firstLineChars="0"/>
              <w:jc w:val="center"/>
            </w:pPr>
            <w:r>
              <w:rPr>
                <w:rFonts w:hint="eastAsia"/>
              </w:rPr>
              <w:drawing>
                <wp:anchor distT="0" distB="0" distL="114300" distR="114300" simplePos="0" relativeHeight="251676672" behindDoc="0" locked="0" layoutInCell="1" allowOverlap="1">
                  <wp:simplePos x="0" y="0"/>
                  <wp:positionH relativeFrom="column">
                    <wp:posOffset>-20320</wp:posOffset>
                  </wp:positionH>
                  <wp:positionV relativeFrom="paragraph">
                    <wp:posOffset>1905</wp:posOffset>
                  </wp:positionV>
                  <wp:extent cx="2639060" cy="2027555"/>
                  <wp:effectExtent l="0" t="0" r="12700" b="14605"/>
                  <wp:wrapTopAndBottom/>
                  <wp:docPr id="28" name="图片 28" descr="IMG_20230405_102521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IMG_20230405_102521171"/>
                          <pic:cNvPicPr>
                            <a:picLocks noChangeAspect="1"/>
                          </pic:cNvPicPr>
                        </pic:nvPicPr>
                        <pic:blipFill>
                          <a:blip r:embed="rId42"/>
                          <a:srcRect l="23350" r="23450" b="6948"/>
                          <a:stretch>
                            <a:fillRect/>
                          </a:stretch>
                        </pic:blipFill>
                        <pic:spPr>
                          <a:xfrm>
                            <a:off x="0" y="0"/>
                            <a:ext cx="2639060" cy="2027555"/>
                          </a:xfrm>
                          <a:prstGeom prst="rect">
                            <a:avLst/>
                          </a:prstGeom>
                        </pic:spPr>
                      </pic:pic>
                    </a:graphicData>
                  </a:graphic>
                </wp:anchor>
              </w:drawing>
            </w:r>
            <w:r>
              <w:rPr>
                <w:rFonts w:hint="eastAsia"/>
              </w:rPr>
              <w:t>安全风险源点明细表</w:t>
            </w:r>
          </w:p>
        </w:tc>
        <w:tc>
          <w:tcPr>
            <w:tcW w:w="4261" w:type="dxa"/>
          </w:tcPr>
          <w:p>
            <w:pPr>
              <w:ind w:firstLine="0" w:firstLineChars="0"/>
              <w:jc w:val="center"/>
            </w:pPr>
            <w:r>
              <w:rPr>
                <w:rFonts w:hint="eastAsia"/>
              </w:rPr>
              <w:drawing>
                <wp:anchor distT="0" distB="0" distL="114300" distR="114300" simplePos="0" relativeHeight="251677696" behindDoc="0" locked="0" layoutInCell="1" allowOverlap="1">
                  <wp:simplePos x="0" y="0"/>
                  <wp:positionH relativeFrom="column">
                    <wp:posOffset>429895</wp:posOffset>
                  </wp:positionH>
                  <wp:positionV relativeFrom="paragraph">
                    <wp:posOffset>86360</wp:posOffset>
                  </wp:positionV>
                  <wp:extent cx="1811655" cy="2000250"/>
                  <wp:effectExtent l="0" t="0" r="1905" b="11430"/>
                  <wp:wrapTopAndBottom/>
                  <wp:docPr id="29" name="图片 29" descr="IMG_20230405_1055318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IMG_20230405_105531845"/>
                          <pic:cNvPicPr>
                            <a:picLocks noChangeAspect="1"/>
                          </pic:cNvPicPr>
                        </pic:nvPicPr>
                        <pic:blipFill>
                          <a:blip r:embed="rId43"/>
                          <a:srcRect l="36500" r="14225"/>
                          <a:stretch>
                            <a:fillRect/>
                          </a:stretch>
                        </pic:blipFill>
                        <pic:spPr>
                          <a:xfrm>
                            <a:off x="0" y="0"/>
                            <a:ext cx="1811655" cy="2000250"/>
                          </a:xfrm>
                          <a:prstGeom prst="rect">
                            <a:avLst/>
                          </a:prstGeom>
                        </pic:spPr>
                      </pic:pic>
                    </a:graphicData>
                  </a:graphic>
                </wp:anchor>
              </w:drawing>
            </w:r>
            <w:r>
              <w:rPr>
                <w:rFonts w:hint="eastAsia"/>
              </w:rPr>
              <w:t>岗位风险告知</w:t>
            </w:r>
          </w:p>
        </w:tc>
      </w:tr>
    </w:tbl>
    <w:p>
      <w:pPr>
        <w:pStyle w:val="14"/>
        <w:spacing w:before="156" w:after="156"/>
      </w:pPr>
      <w:r>
        <w:rPr>
          <w:rFonts w:hint="eastAsia"/>
        </w:rPr>
        <w:t>图2.9-1项目建设情况</w:t>
      </w:r>
      <w:r>
        <w:rPr>
          <w:rFonts w:hint="eastAsia"/>
          <w:lang w:eastAsia="zh-CN"/>
        </w:rPr>
        <w:t>图</w:t>
      </w:r>
    </w:p>
    <w:p>
      <w:pPr>
        <w:pStyle w:val="5"/>
        <w:tabs>
          <w:tab w:val="left" w:pos="0"/>
        </w:tabs>
        <w:spacing w:before="156" w:after="156"/>
        <w:ind w:left="575" w:hanging="575"/>
      </w:pPr>
      <w:bookmarkStart w:id="112" w:name="_Toc4270"/>
      <w:bookmarkStart w:id="113" w:name="_Toc1438"/>
      <w:r>
        <w:rPr>
          <w:rFonts w:hint="eastAsia"/>
        </w:rPr>
        <w:t>评价人员现场踏勘</w:t>
      </w:r>
      <w:bookmarkEnd w:id="112"/>
      <w:bookmarkEnd w:id="113"/>
    </w:p>
    <w:tbl>
      <w:tblPr>
        <w:tblStyle w:val="3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vAlign w:val="center"/>
          </w:tcPr>
          <w:p>
            <w:pPr>
              <w:widowControl/>
              <w:adjustRightInd w:val="0"/>
              <w:snapToGrid w:val="0"/>
              <w:spacing w:line="240" w:lineRule="auto"/>
              <w:ind w:firstLine="0" w:firstLineChars="0"/>
              <w:jc w:val="center"/>
            </w:pPr>
            <w:r>
              <w:rPr>
                <w:rFonts w:ascii="宋体" w:hAnsi="宋体" w:cs="宋体"/>
                <w:color w:val="000000"/>
                <w:kern w:val="0"/>
                <w:szCs w:val="28"/>
                <w:lang w:bidi="ar"/>
              </w:rPr>
              <w:drawing>
                <wp:anchor distT="0" distB="0" distL="114300" distR="114300" simplePos="0" relativeHeight="251669504" behindDoc="0" locked="0" layoutInCell="1" allowOverlap="1">
                  <wp:simplePos x="0" y="0"/>
                  <wp:positionH relativeFrom="column">
                    <wp:posOffset>12700</wp:posOffset>
                  </wp:positionH>
                  <wp:positionV relativeFrom="paragraph">
                    <wp:posOffset>59690</wp:posOffset>
                  </wp:positionV>
                  <wp:extent cx="5265420" cy="3524885"/>
                  <wp:effectExtent l="0" t="0" r="7620" b="10795"/>
                  <wp:wrapTopAndBottom/>
                  <wp:docPr id="14" name="图片 14" descr="ea2c0c7eca74e7ef5e050e3102273a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ea2c0c7eca74e7ef5e050e3102273ae"/>
                          <pic:cNvPicPr>
                            <a:picLocks noChangeAspect="1"/>
                          </pic:cNvPicPr>
                        </pic:nvPicPr>
                        <pic:blipFill>
                          <a:blip r:embed="rId44"/>
                          <a:srcRect t="5115"/>
                          <a:stretch>
                            <a:fillRect/>
                          </a:stretch>
                        </pic:blipFill>
                        <pic:spPr>
                          <a:xfrm>
                            <a:off x="0" y="0"/>
                            <a:ext cx="5265420" cy="3524885"/>
                          </a:xfrm>
                          <a:prstGeom prst="rect">
                            <a:avLst/>
                          </a:prstGeom>
                        </pic:spPr>
                      </pic:pic>
                    </a:graphicData>
                  </a:graphic>
                </wp:anchor>
              </w:drawing>
            </w:r>
            <w:r>
              <w:rPr>
                <w:rFonts w:hint="eastAsia" w:ascii="宋体" w:hAnsi="宋体" w:cs="宋体"/>
                <w:color w:val="000000"/>
                <w:kern w:val="0"/>
                <w:szCs w:val="28"/>
                <w:lang w:bidi="ar"/>
              </w:rPr>
              <w:t>左：评价人员李毅雄；  右：业主方代表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5000" w:type="pct"/>
          </w:tcPr>
          <w:p>
            <w:pPr>
              <w:ind w:firstLine="560"/>
              <w:jc w:val="center"/>
            </w:pPr>
            <w:r>
              <w:rPr>
                <w:rFonts w:hint="eastAsia"/>
              </w:rPr>
              <w:drawing>
                <wp:anchor distT="0" distB="0" distL="114300" distR="114300" simplePos="0" relativeHeight="251668480" behindDoc="0" locked="0" layoutInCell="1" allowOverlap="1">
                  <wp:simplePos x="0" y="0"/>
                  <wp:positionH relativeFrom="column">
                    <wp:posOffset>-20320</wp:posOffset>
                  </wp:positionH>
                  <wp:positionV relativeFrom="paragraph">
                    <wp:posOffset>78740</wp:posOffset>
                  </wp:positionV>
                  <wp:extent cx="5274310" cy="3719830"/>
                  <wp:effectExtent l="0" t="0" r="13970" b="13970"/>
                  <wp:wrapTopAndBottom/>
                  <wp:docPr id="13" name="图片 13" descr="微信图片_202309071026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微信图片_20230907102611"/>
                          <pic:cNvPicPr>
                            <a:picLocks noChangeAspect="1"/>
                          </pic:cNvPicPr>
                        </pic:nvPicPr>
                        <pic:blipFill>
                          <a:blip r:embed="rId45"/>
                          <a:stretch>
                            <a:fillRect/>
                          </a:stretch>
                        </pic:blipFill>
                        <pic:spPr>
                          <a:xfrm>
                            <a:off x="0" y="0"/>
                            <a:ext cx="5274310" cy="3719830"/>
                          </a:xfrm>
                          <a:prstGeom prst="rect">
                            <a:avLst/>
                          </a:prstGeom>
                        </pic:spPr>
                      </pic:pic>
                    </a:graphicData>
                  </a:graphic>
                </wp:anchor>
              </w:drawing>
            </w:r>
            <w:r>
              <w:rPr>
                <w:rFonts w:hint="eastAsia" w:ascii="宋体" w:hAnsi="宋体" w:cs="宋体"/>
                <w:color w:val="000000"/>
                <w:kern w:val="0"/>
                <w:szCs w:val="28"/>
                <w:lang w:bidi="ar"/>
              </w:rPr>
              <w:t>左：评价人员李晓达；  右：业主方代表</w:t>
            </w:r>
          </w:p>
        </w:tc>
      </w:tr>
    </w:tbl>
    <w:p>
      <w:pPr>
        <w:pStyle w:val="14"/>
        <w:spacing w:before="156" w:after="156"/>
        <w:sectPr>
          <w:pgSz w:w="11906" w:h="16838"/>
          <w:pgMar w:top="1440" w:right="1800" w:bottom="1440" w:left="1800" w:header="851" w:footer="992" w:gutter="0"/>
          <w:cols w:space="425" w:num="1"/>
          <w:docGrid w:type="lines" w:linePitch="312" w:charSpace="0"/>
        </w:sectPr>
      </w:pPr>
      <w:r>
        <w:t xml:space="preserve">图 </w:t>
      </w:r>
      <w:r>
        <w:fldChar w:fldCharType="begin"/>
      </w:r>
      <w:r>
        <w:instrText xml:space="preserve"> STYLEREF 2 \s </w:instrText>
      </w:r>
      <w:r>
        <w:fldChar w:fldCharType="separate"/>
      </w:r>
      <w:r>
        <w:rPr>
          <w:rFonts w:hint="eastAsia"/>
        </w:rPr>
        <w:t>2</w:t>
      </w:r>
      <w:r>
        <w:t>.</w:t>
      </w:r>
      <w:r>
        <w:fldChar w:fldCharType="end"/>
      </w:r>
      <w:r>
        <w:rPr>
          <w:rFonts w:hint="eastAsia"/>
        </w:rPr>
        <w:t>10-1安全评价师及业主工作人员现场照片</w:t>
      </w:r>
    </w:p>
    <w:p>
      <w:pPr>
        <w:pStyle w:val="4"/>
        <w:keepNext w:val="0"/>
        <w:keepLines w:val="0"/>
        <w:spacing w:before="312" w:after="312"/>
      </w:pPr>
      <w:bookmarkStart w:id="114" w:name="_Toc16397"/>
      <w:r>
        <w:rPr>
          <w:rFonts w:hint="eastAsia"/>
        </w:rPr>
        <w:t>项目危险、有害因素辨识分析</w:t>
      </w:r>
      <w:bookmarkEnd w:id="110"/>
      <w:bookmarkEnd w:id="114"/>
    </w:p>
    <w:p>
      <w:pPr>
        <w:pStyle w:val="5"/>
        <w:spacing w:before="156" w:after="156"/>
      </w:pPr>
      <w:bookmarkStart w:id="115" w:name="_Toc29084"/>
      <w:bookmarkStart w:id="116" w:name="_Toc76119870"/>
      <w:bookmarkStart w:id="117" w:name="_Toc76119861"/>
      <w:r>
        <w:rPr>
          <w:rFonts w:hint="eastAsia"/>
        </w:rPr>
        <w:t>生产过程</w:t>
      </w:r>
      <w:r>
        <w:rPr>
          <w:rFonts w:hint="eastAsia" w:ascii="Times New Roman" w:hAnsi="Times New Roman" w:eastAsia="宋体"/>
        </w:rPr>
        <w:t>危险和有害因素分析</w:t>
      </w:r>
      <w:bookmarkEnd w:id="115"/>
    </w:p>
    <w:p>
      <w:pPr>
        <w:ind w:firstLine="560"/>
      </w:pPr>
      <w:r>
        <w:rPr>
          <w:rFonts w:hint="eastAsia"/>
        </w:rPr>
        <w:t>根据安全设施设计及试生产的结果，依据《生产过程危险和有害因素分类与代码》（GB/T13861-2022）辨识与分析项目生产过程危险有害因素，辨识与分析涵盖人、物、环、管四个方面。</w:t>
      </w:r>
    </w:p>
    <w:p>
      <w:pPr>
        <w:pStyle w:val="6"/>
        <w:spacing w:before="156" w:after="156"/>
      </w:pPr>
      <w:bookmarkStart w:id="118" w:name="_Toc24233"/>
      <w:bookmarkStart w:id="119" w:name="_Toc20175"/>
      <w:bookmarkStart w:id="120" w:name="_Toc76119892"/>
      <w:bookmarkStart w:id="121" w:name="_Toc276375198"/>
      <w:bookmarkStart w:id="122" w:name="_Toc24193756"/>
      <w:r>
        <w:rPr>
          <w:rFonts w:hint="eastAsia"/>
        </w:rPr>
        <w:t>人的因素</w:t>
      </w:r>
      <w:bookmarkEnd w:id="118"/>
      <w:bookmarkEnd w:id="119"/>
    </w:p>
    <w:p>
      <w:pPr>
        <w:ind w:firstLine="560"/>
      </w:pPr>
      <w:r>
        <w:rPr>
          <w:rFonts w:hint="eastAsia"/>
        </w:rPr>
        <w:t>从安全的角度来讲，人的因素非常重要。人在具体工作时，更是受其本身的文化教育、素质、知识、技能、经验、思维方式、情感、性格、年龄、健康状况、工作态度、人际关系等因素的控制和影响。显然，人的因素在上述诸多危险、有害因素中起着决定或支配作用。</w:t>
      </w:r>
    </w:p>
    <w:p>
      <w:pPr>
        <w:ind w:firstLine="560"/>
      </w:pPr>
      <w:r>
        <w:rPr>
          <w:rFonts w:hint="eastAsia"/>
        </w:rPr>
        <w:t>人员因素危险有害因素主要包括心理、生理性危险、有害因素和行为性危险、有害因素。</w:t>
      </w:r>
    </w:p>
    <w:p>
      <w:pPr>
        <w:pStyle w:val="7"/>
        <w:spacing w:before="156" w:after="156"/>
      </w:pPr>
      <w:r>
        <w:rPr>
          <w:rFonts w:hint="eastAsia"/>
        </w:rPr>
        <w:t xml:space="preserve">心理、生理性危险、有害因素 </w:t>
      </w:r>
    </w:p>
    <w:p>
      <w:pPr>
        <w:ind w:firstLine="560"/>
      </w:pPr>
      <w:r>
        <w:rPr>
          <w:rFonts w:hint="eastAsia"/>
        </w:rPr>
        <w:t>该项目职工可能存在年龄、体质、受教育程度、操作熟练程度、心理承受能力、对事物的反应速度、休息好坏等差异。在生产过程中存在体力负荷超限、健康状况异常、从事禁忌作业、心理异常（如情绪异常、过度紧张其他心理异常等）、辨识功能缺陷（感知延迟、辨识错误、其他辨识功能缺陷）等危险有害因素。</w:t>
      </w:r>
    </w:p>
    <w:p>
      <w:pPr>
        <w:pStyle w:val="7"/>
        <w:spacing w:before="156" w:after="156"/>
      </w:pPr>
      <w:r>
        <w:rPr>
          <w:rFonts w:hint="eastAsia"/>
        </w:rPr>
        <w:t xml:space="preserve">行为性危险、有害因素 </w:t>
      </w:r>
    </w:p>
    <w:p>
      <w:pPr>
        <w:ind w:firstLine="560"/>
      </w:pPr>
      <w:r>
        <w:rPr>
          <w:rFonts w:hint="eastAsia"/>
        </w:rPr>
        <w:t>行为性危险、有害因素主要表现为指挥错误（如违章指挥，对故障或危险因素判断指挥错误等）、操作错误（如误操作、违章操作）或监护失误（如监护时未采取有效的监护手段及措施，监护时分心或脱离岗位等）。</w:t>
      </w:r>
    </w:p>
    <w:bookmarkEnd w:id="120"/>
    <w:bookmarkEnd w:id="121"/>
    <w:bookmarkEnd w:id="122"/>
    <w:p>
      <w:pPr>
        <w:pStyle w:val="6"/>
        <w:spacing w:before="156" w:after="156"/>
      </w:pPr>
      <w:bookmarkStart w:id="123" w:name="_Toc2393"/>
      <w:bookmarkStart w:id="124" w:name="_Toc25667"/>
      <w:r>
        <w:rPr>
          <w:rFonts w:hint="eastAsia"/>
        </w:rPr>
        <w:t>物的因素</w:t>
      </w:r>
      <w:bookmarkEnd w:id="123"/>
      <w:bookmarkEnd w:id="124"/>
    </w:p>
    <w:p>
      <w:pPr>
        <w:pStyle w:val="7"/>
        <w:spacing w:before="156" w:after="156"/>
      </w:pPr>
      <w:r>
        <w:rPr>
          <w:rFonts w:hint="eastAsia"/>
        </w:rPr>
        <w:t xml:space="preserve">物理性危险和有害因素 </w:t>
      </w:r>
    </w:p>
    <w:p>
      <w:pPr>
        <w:numPr>
          <w:ilvl w:val="0"/>
          <w:numId w:val="33"/>
        </w:numPr>
        <w:ind w:firstLine="560"/>
      </w:pPr>
      <w:r>
        <w:rPr>
          <w:rFonts w:hint="eastAsia"/>
        </w:rPr>
        <w:t>设备、设施、工具、附件缺陷</w:t>
      </w:r>
    </w:p>
    <w:p>
      <w:pPr>
        <w:ind w:firstLine="560"/>
      </w:pPr>
      <w:r>
        <w:rPr>
          <w:rFonts w:hint="eastAsia"/>
        </w:rPr>
        <w:t>该项目设有较多数量的机械设备、设施，如因设备、设施、工具、附件强度、刚度不够，稳定性差，外露运动件、操纵器、制动器、控制器、传感器缺陷等可能引发机械伤害事故。项目建筑物均采用钢结构，如若建筑防腐不良，耐腐蚀性差，会缩短建筑使用寿命，严重时有建筑倒塌的危险。</w:t>
      </w:r>
    </w:p>
    <w:p>
      <w:pPr>
        <w:numPr>
          <w:ilvl w:val="0"/>
          <w:numId w:val="33"/>
        </w:numPr>
        <w:ind w:firstLine="560"/>
      </w:pPr>
      <w:r>
        <w:rPr>
          <w:rFonts w:hint="eastAsia"/>
        </w:rPr>
        <w:t>防护缺陷</w:t>
      </w:r>
    </w:p>
    <w:p>
      <w:pPr>
        <w:ind w:firstLine="560"/>
      </w:pPr>
      <w:r>
        <w:rPr>
          <w:rFonts w:hint="eastAsia"/>
        </w:rPr>
        <w:t>该项目中的机械设备，其传动部分无防护或防护不当、强度不够等，易造成机械伤害。除尘器、运输皮带等高处作业的设施临边无防护或使用的防护装置、设施存在缺陷，可能会导致高处坠落等事故，起重机、除尘器、抛丸机等支撑（支护）不当等可能会导致坍塌；铁水包等起吊作业周边装置布置防护距离不够，可能引发火灾、其他爆炸等事故。</w:t>
      </w:r>
    </w:p>
    <w:p>
      <w:pPr>
        <w:numPr>
          <w:ilvl w:val="0"/>
          <w:numId w:val="33"/>
        </w:numPr>
        <w:ind w:firstLine="560"/>
      </w:pPr>
      <w:r>
        <w:rPr>
          <w:rFonts w:hint="eastAsia"/>
        </w:rPr>
        <w:t>电危害</w:t>
      </w:r>
    </w:p>
    <w:p>
      <w:pPr>
        <w:ind w:firstLine="560"/>
      </w:pPr>
      <w:r>
        <w:rPr>
          <w:rFonts w:hint="eastAsia"/>
        </w:rPr>
        <w:t>该项目中设置的配电间以及使用电气的机械设备、设施，可能发生带电部位裸露、漏电、雷电、静电、电火花等电危害。</w:t>
      </w:r>
    </w:p>
    <w:p>
      <w:pPr>
        <w:numPr>
          <w:ilvl w:val="0"/>
          <w:numId w:val="33"/>
        </w:numPr>
        <w:ind w:firstLine="560"/>
      </w:pPr>
      <w:r>
        <w:rPr>
          <w:rFonts w:hint="eastAsia"/>
        </w:rPr>
        <w:t>噪声</w:t>
      </w:r>
    </w:p>
    <w:p>
      <w:pPr>
        <w:ind w:firstLine="560"/>
        <w:rPr>
          <w:lang w:val="en-GB"/>
        </w:rPr>
      </w:pPr>
      <w:r>
        <w:rPr>
          <w:rFonts w:hint="eastAsia"/>
          <w:lang w:val="en-GB"/>
        </w:rPr>
        <w:t>工作场所的噪声分为流体动力噪声、机械噪声和电磁噪声。</w:t>
      </w:r>
    </w:p>
    <w:p>
      <w:pPr>
        <w:ind w:firstLine="560"/>
        <w:rPr>
          <w:lang w:val="en-GB"/>
        </w:rPr>
      </w:pPr>
      <w:r>
        <w:rPr>
          <w:rFonts w:hint="eastAsia"/>
          <w:lang w:val="en-GB"/>
        </w:rPr>
        <w:t>机械噪声主要是由于物料打击设备器壁，以及设备运行时因振动而产生的声音。</w:t>
      </w:r>
    </w:p>
    <w:p>
      <w:pPr>
        <w:ind w:firstLine="560"/>
        <w:rPr>
          <w:lang w:val="en-GB"/>
        </w:rPr>
      </w:pPr>
      <w:r>
        <w:rPr>
          <w:rFonts w:hint="eastAsia"/>
          <w:lang w:val="en-GB"/>
        </w:rPr>
        <w:t>空气动力噪声主要是由气体流体流动过程中的相互作用，或气体和固体介质之间的相互作用而产生的噪声。</w:t>
      </w:r>
    </w:p>
    <w:p>
      <w:pPr>
        <w:ind w:firstLine="560"/>
        <w:rPr>
          <w:lang w:val="en-GB"/>
        </w:rPr>
      </w:pPr>
      <w:r>
        <w:rPr>
          <w:rFonts w:hint="eastAsia"/>
          <w:lang w:val="en-GB"/>
        </w:rPr>
        <w:t>电磁噪声主要是由电磁场交替变化而引起某些机械部件或空间容积振动而产生的噪声，叫电磁噪声。常见的电磁噪声产生原因有线圈和铁心空隙大、线圈松动、载波频率设置不当、线圈磁饱和等。</w:t>
      </w:r>
    </w:p>
    <w:p>
      <w:pPr>
        <w:ind w:firstLine="560"/>
        <w:rPr>
          <w:lang w:val="en-GB"/>
        </w:rPr>
      </w:pPr>
      <w:r>
        <w:rPr>
          <w:rFonts w:hint="eastAsia"/>
          <w:lang w:val="en-GB"/>
        </w:rPr>
        <w:t>噪声的主要危害为噪声聋；不仅如此，噪声对非听觉系统如神经系统、心血管系统、内分泌系统、生殖系统及消化系统都有影响；振动可导致人体患发振动病，主要表现为足的损害，还可导致植物神经功能紊乱。</w:t>
      </w:r>
    </w:p>
    <w:p>
      <w:pPr>
        <w:ind w:firstLine="560"/>
      </w:pPr>
      <w:r>
        <w:rPr>
          <w:rFonts w:hint="eastAsia"/>
          <w:lang w:val="en-GB"/>
        </w:rPr>
        <w:t>本企业的噪声危害主要来自工艺加工过程和设备运行时产生的噪声，如：液压机、振动输送机、落砂滚筒、空气压缩机、起重机、钻床、车床、电气设备等设备。各类机械设备运转时产生的噪声声级最高可达100dB（A），本企业各岗位的噪声作业危害程度分级级别最高可达Ⅲ级，对操作工人有一定的危害性。</w:t>
      </w:r>
    </w:p>
    <w:p>
      <w:pPr>
        <w:numPr>
          <w:ilvl w:val="0"/>
          <w:numId w:val="33"/>
        </w:numPr>
        <w:ind w:firstLine="560"/>
      </w:pPr>
      <w:bookmarkStart w:id="125" w:name="_Toc382319603"/>
      <w:bookmarkStart w:id="126" w:name="_Toc382319470"/>
      <w:bookmarkStart w:id="127" w:name="_Toc76119884"/>
      <w:r>
        <w:rPr>
          <w:rFonts w:hint="eastAsia"/>
        </w:rPr>
        <w:t>振动危害</w:t>
      </w:r>
      <w:bookmarkEnd w:id="125"/>
      <w:bookmarkEnd w:id="126"/>
      <w:bookmarkEnd w:id="127"/>
    </w:p>
    <w:p>
      <w:pPr>
        <w:ind w:firstLine="560"/>
      </w:pPr>
      <w:bookmarkStart w:id="128" w:name="_Toc276375193"/>
      <w:bookmarkStart w:id="129" w:name="_Toc382319604"/>
      <w:bookmarkStart w:id="130" w:name="_Toc382319471"/>
      <w:bookmarkStart w:id="131" w:name="_Toc24193751"/>
      <w:bookmarkStart w:id="132" w:name="_Toc31909"/>
      <w:r>
        <w:rPr>
          <w:rFonts w:hint="eastAsia"/>
        </w:rPr>
        <w:t>振动危害指在机械加工过程中使用振动工具或机械本身产生的振动所引起的危害，如在以手接触振动工具的方式进行机械加工时，振动通过振动工具、振动机械或振动工件传向操作者的手臂，从而给操作者造成振动危害。</w:t>
      </w:r>
    </w:p>
    <w:p>
      <w:pPr>
        <w:ind w:firstLine="560"/>
      </w:pPr>
      <w:r>
        <w:rPr>
          <w:rFonts w:hint="eastAsia"/>
        </w:rPr>
        <w:t>按振动作用于人体的方式，振动可分为局部振动和全身振动。</w:t>
      </w:r>
    </w:p>
    <w:p>
      <w:pPr>
        <w:numPr>
          <w:ilvl w:val="0"/>
          <w:numId w:val="34"/>
        </w:numPr>
        <w:ind w:firstLine="560"/>
      </w:pPr>
      <w:r>
        <w:rPr>
          <w:rFonts w:hint="eastAsia"/>
        </w:rPr>
        <w:t>局部振动。如在以手接触振动工具的方式进行机械加工时，振动通过振动工具、振动机械或振动工件传向操作者的手和臂，从而给操作者造成振动危害；</w:t>
      </w:r>
    </w:p>
    <w:p>
      <w:pPr>
        <w:numPr>
          <w:ilvl w:val="0"/>
          <w:numId w:val="34"/>
        </w:numPr>
        <w:ind w:firstLine="560"/>
      </w:pPr>
      <w:r>
        <w:rPr>
          <w:rFonts w:hint="eastAsia"/>
        </w:rPr>
        <w:t>全身振动。由振动源通过身体的支持部分将振动传布全身而引起的振动危害。</w:t>
      </w:r>
    </w:p>
    <w:p>
      <w:pPr>
        <w:ind w:firstLine="560"/>
      </w:pPr>
      <w:r>
        <w:rPr>
          <w:rFonts w:hint="eastAsia"/>
        </w:rPr>
        <w:t>有噪声危害处必有振动危害，本项目产生振动的设备如泵、传动装置等在运转中产生的振动、电机和高压配电装置产生的电磁性振动。工作人员</w:t>
      </w:r>
      <w:r>
        <w:rPr>
          <w:rFonts w:hint="eastAsia"/>
          <w:lang w:eastAsia="zh-CN"/>
        </w:rPr>
        <w:t>在</w:t>
      </w:r>
      <w:r>
        <w:rPr>
          <w:rFonts w:hint="eastAsia"/>
        </w:rPr>
        <w:t>振动场所作业时，由于人的内耳前庭和内脏的反射作用，可引起工作人员心烦、头晕、食欲不振，甚至恶心、呕吐、心慌等。使用手持移动式振动设备时，振动可能传至全身，尤其是手和臂。</w:t>
      </w:r>
    </w:p>
    <w:p>
      <w:pPr>
        <w:ind w:firstLine="560"/>
      </w:pPr>
      <w:r>
        <w:rPr>
          <w:rFonts w:hint="eastAsia"/>
        </w:rPr>
        <w:t>此外振动还会对建筑物、机械设备、管道造成损伤。</w:t>
      </w:r>
      <w:bookmarkEnd w:id="128"/>
      <w:bookmarkEnd w:id="129"/>
      <w:bookmarkEnd w:id="130"/>
      <w:bookmarkEnd w:id="131"/>
      <w:bookmarkEnd w:id="132"/>
    </w:p>
    <w:p>
      <w:pPr>
        <w:numPr>
          <w:ilvl w:val="0"/>
          <w:numId w:val="33"/>
        </w:numPr>
        <w:ind w:firstLine="560"/>
      </w:pPr>
      <w:r>
        <w:rPr>
          <w:rFonts w:hint="eastAsia"/>
        </w:rPr>
        <w:t>运动物危害</w:t>
      </w:r>
    </w:p>
    <w:p>
      <w:pPr>
        <w:ind w:firstLine="560"/>
      </w:pPr>
      <w:r>
        <w:rPr>
          <w:rFonts w:hint="eastAsia"/>
        </w:rPr>
        <w:t>该项目中的各类机床在工作时可能发生机械伤人，另外，未固定好的机械加工件或检修工具、器具落下、飞出等。</w:t>
      </w:r>
    </w:p>
    <w:p>
      <w:pPr>
        <w:numPr>
          <w:ilvl w:val="0"/>
          <w:numId w:val="33"/>
        </w:numPr>
        <w:ind w:firstLine="560"/>
        <w:rPr>
          <w:rFonts w:ascii="宋体" w:hAnsi="宋体" w:cs="宋体"/>
        </w:rPr>
      </w:pPr>
      <w:r>
        <w:rPr>
          <w:rFonts w:hint="eastAsia" w:ascii="宋体" w:hAnsi="宋体" w:cs="宋体"/>
        </w:rPr>
        <w:t>撞击</w:t>
      </w:r>
    </w:p>
    <w:p>
      <w:pPr>
        <w:ind w:firstLine="560"/>
      </w:pPr>
      <w:r>
        <w:rPr>
          <w:rFonts w:hint="eastAsia"/>
        </w:rPr>
        <w:t>项目运输车辆可能因各种原因发生撞击设备或人员等事故。</w:t>
      </w:r>
    </w:p>
    <w:p>
      <w:pPr>
        <w:numPr>
          <w:ilvl w:val="0"/>
          <w:numId w:val="33"/>
        </w:numPr>
        <w:ind w:firstLine="560"/>
      </w:pPr>
      <w:r>
        <w:rPr>
          <w:rFonts w:hint="eastAsia"/>
        </w:rPr>
        <w:t>明火</w:t>
      </w:r>
    </w:p>
    <w:p>
      <w:pPr>
        <w:ind w:firstLine="560"/>
      </w:pPr>
      <w:r>
        <w:rPr>
          <w:rFonts w:hint="eastAsia"/>
        </w:rPr>
        <w:t>包括检修动火，违章吸烟，运输车辆排气管尾气带火等。</w:t>
      </w:r>
    </w:p>
    <w:p>
      <w:pPr>
        <w:numPr>
          <w:ilvl w:val="0"/>
          <w:numId w:val="33"/>
        </w:numPr>
        <w:ind w:firstLine="560"/>
      </w:pPr>
      <w:bookmarkStart w:id="133" w:name="_Toc76119886"/>
      <w:r>
        <w:rPr>
          <w:rFonts w:hint="eastAsia"/>
        </w:rPr>
        <w:t>非电离辐射</w:t>
      </w:r>
      <w:bookmarkEnd w:id="133"/>
    </w:p>
    <w:p>
      <w:pPr>
        <w:ind w:firstLine="560"/>
      </w:pPr>
      <w:r>
        <w:rPr>
          <w:rFonts w:hint="eastAsia"/>
        </w:rPr>
        <w:t>项目中的中频炉会对人体产生工频电场辐射。工频电场辐射对生物体的作用主要是热效应和非热效应。对长期作业于工频电磁场辐射的作业人员会造成其神经衰弱症候群的发生率增加，心电图出现P-R时间延长、Q-T间期缩短以及外周血微核增高等改变。长时间接受较低强度射频辐射，还可引起慢性辐射综合症的若干表现，一般为某些生理功能紊乱，也可有生化指标的变动。对神经系统的影响是反应最敏感和最常见的表现，神经衰弱综合征如头痛、头昏、疲劳、乏力、睡眠障碍和记忆力减退，此外常伴有手足多汗、脱发、易激动等症状；往往伴有胸闷、心悸、心前区不适和疼痛。</w:t>
      </w:r>
    </w:p>
    <w:p>
      <w:pPr>
        <w:ind w:firstLine="560"/>
      </w:pPr>
      <w:r>
        <w:rPr>
          <w:rFonts w:hint="eastAsia"/>
        </w:rPr>
        <w:t>生产线中的其他非电离辐射主要是高温设备产生的红外线。主要是热作用，使人体组织升温，从而受到破坏或损伤。</w:t>
      </w:r>
    </w:p>
    <w:p>
      <w:pPr>
        <w:numPr>
          <w:ilvl w:val="0"/>
          <w:numId w:val="33"/>
        </w:numPr>
        <w:ind w:firstLine="560"/>
      </w:pPr>
      <w:r>
        <w:rPr>
          <w:rFonts w:hint="eastAsia"/>
        </w:rPr>
        <w:t>高温物质</w:t>
      </w:r>
    </w:p>
    <w:p>
      <w:pPr>
        <w:ind w:firstLine="560"/>
      </w:pPr>
      <w:r>
        <w:rPr>
          <w:rFonts w:hint="eastAsia"/>
        </w:rPr>
        <w:t>该项目设有中频炉，熔融铁水出炉温度在1500℃左右。熔融铁水能通过传导、对流、辐射散热，使周围物体和空气温度升高；周围物体被加热后，又可成为二次热辐射源，且由于热辐射面扩大，使气温更高，在这类作业环境中，同时存在着两种不同性质的热，即对流热（加热了的空气）和辐射热（热源及二次热源）。对流热只作用于人的体表，但通过血液循环使全身加热；辐射热除作用于人的体表外，还作用于深部组织，因而加热作用更快更强。这类作业的气象特点是气温高、热辐射强度大，而相对湿度较低，形成干热环境，人在此环境下劳动时会大量出汗，如通风不良，则汗液难于蒸发，就可能因蒸发散热困难而发生蓄热和过热。</w:t>
      </w:r>
    </w:p>
    <w:p>
      <w:pPr>
        <w:ind w:firstLine="560"/>
      </w:pPr>
      <w:r>
        <w:rPr>
          <w:rFonts w:hint="eastAsia"/>
        </w:rPr>
        <w:t>高温可使作业人员感到热、头晕、心慌、烦、渴、无力、疲倦等，可出现一系列生理功能的改变，主要表现如下：</w:t>
      </w:r>
    </w:p>
    <w:p>
      <w:pPr>
        <w:ind w:firstLine="560"/>
      </w:pPr>
      <w:r>
        <w:rPr>
          <w:rFonts w:hint="eastAsia"/>
        </w:rPr>
        <w:t>体温调节障碍，由于体内蓄热，体温升高。</w:t>
      </w:r>
    </w:p>
    <w:p>
      <w:pPr>
        <w:ind w:firstLine="560"/>
      </w:pPr>
      <w:r>
        <w:rPr>
          <w:rFonts w:hint="eastAsia"/>
        </w:rPr>
        <w:t>大量水盐丧失，可引起水盐代谢平衡紊乱，导致体内酸碱平衡和渗透压失调。心律脉搏加快，皮肤血管扩张及血管紧张度增加，加重心脏负担，血压下降。但重体力劳动时，血压也可能增加。消化道出血，唾液、胃液分泌减少，胃液酸度减低，淀粉活性下降，胃肠蠕动减慢，造成消化不良和其他胃肠道疾病。</w:t>
      </w:r>
    </w:p>
    <w:p>
      <w:pPr>
        <w:ind w:firstLine="560"/>
      </w:pPr>
      <w:r>
        <w:rPr>
          <w:rFonts w:hint="eastAsia"/>
        </w:rPr>
        <w:t>高温条件下若水盐供应不足可使尿液浓缩，增加肾脏负担，有时可导致肾功能不全，尿中出现蛋白、红细胞等。</w:t>
      </w:r>
    </w:p>
    <w:p>
      <w:pPr>
        <w:ind w:firstLine="560"/>
      </w:pPr>
      <w:r>
        <w:rPr>
          <w:rFonts w:hint="eastAsia"/>
        </w:rPr>
        <w:t>神经系统可出现中枢神经系统抑制，注意力和肌肉的工作能力、动作的准确性和协调性及反应速度的降低等。</w:t>
      </w:r>
    </w:p>
    <w:p>
      <w:pPr>
        <w:ind w:firstLine="560"/>
      </w:pPr>
      <w:r>
        <w:rPr>
          <w:rFonts w:hint="eastAsia"/>
        </w:rPr>
        <w:t>高温环境下发生的急性疾病是中暑，按发病机理可分为热射病、日射病、热衰竭和热痉挛。</w:t>
      </w:r>
    </w:p>
    <w:p>
      <w:pPr>
        <w:numPr>
          <w:ilvl w:val="0"/>
          <w:numId w:val="33"/>
        </w:numPr>
        <w:ind w:firstLine="560"/>
        <w:rPr>
          <w:rFonts w:ascii="宋体" w:hAnsi="宋体" w:cs="宋体"/>
        </w:rPr>
      </w:pPr>
      <w:r>
        <w:rPr>
          <w:rFonts w:hint="eastAsia" w:ascii="宋体" w:hAnsi="宋体" w:cs="宋体"/>
        </w:rPr>
        <w:t>信号缺陷</w:t>
      </w:r>
    </w:p>
    <w:p>
      <w:pPr>
        <w:ind w:firstLine="560"/>
      </w:pPr>
      <w:r>
        <w:rPr>
          <w:rFonts w:hint="eastAsia"/>
        </w:rPr>
        <w:t>该项目信号起吊设备、叉车运行时如果信号不清、缺失或应设信号设施处无信号，会导致起重伤害、车辆伤害事故发生。</w:t>
      </w:r>
    </w:p>
    <w:p>
      <w:pPr>
        <w:numPr>
          <w:ilvl w:val="0"/>
          <w:numId w:val="33"/>
        </w:numPr>
        <w:ind w:firstLine="560"/>
        <w:rPr>
          <w:rFonts w:ascii="宋体" w:hAnsi="宋体" w:cs="宋体"/>
        </w:rPr>
      </w:pPr>
      <w:r>
        <w:rPr>
          <w:rFonts w:hint="eastAsia" w:ascii="宋体" w:hAnsi="宋体" w:cs="宋体"/>
        </w:rPr>
        <w:t>标志缺陷</w:t>
      </w:r>
    </w:p>
    <w:p>
      <w:pPr>
        <w:ind w:firstLine="560"/>
      </w:pPr>
      <w:r>
        <w:rPr>
          <w:rFonts w:hint="eastAsia"/>
        </w:rPr>
        <w:t>本项目生产区域大，在日常的工艺、现场安全管理中，应在厂区内相应的显著位置设置醒目的防火、防滑、防静电、禁止吸烟和动火等标志；工艺管道应标识相应的颜色及物质流向；车间、厂区出入口应设置明显的指示牌。若标志未设置或设置不当，员工或外来人员极易麻痹大意，易发生火灾、爆炸事故。出入口未设置指示牌，易发生车辆伤害，造成人员伤亡，且发生火灾、爆炸事故时，不利于人员的迅速疏散。</w:t>
      </w:r>
    </w:p>
    <w:p>
      <w:pPr>
        <w:pStyle w:val="7"/>
        <w:spacing w:before="156" w:after="156"/>
      </w:pPr>
      <w:r>
        <w:rPr>
          <w:rFonts w:hint="eastAsia"/>
        </w:rPr>
        <w:t xml:space="preserve">化学性危险和有害因素 </w:t>
      </w:r>
    </w:p>
    <w:p>
      <w:pPr>
        <w:numPr>
          <w:ilvl w:val="0"/>
          <w:numId w:val="35"/>
        </w:numPr>
        <w:ind w:firstLine="560"/>
        <w:rPr>
          <w:rFonts w:ascii="宋体" w:hAnsi="宋体" w:cs="宋体"/>
        </w:rPr>
      </w:pPr>
      <w:r>
        <w:rPr>
          <w:rFonts w:hint="eastAsia" w:ascii="宋体" w:hAnsi="宋体" w:cs="宋体"/>
        </w:rPr>
        <w:t>理化危险</w:t>
      </w:r>
    </w:p>
    <w:p>
      <w:pPr>
        <w:ind w:firstLine="560"/>
      </w:pPr>
      <w:r>
        <w:rPr>
          <w:rFonts w:hint="eastAsia"/>
        </w:rPr>
        <w:t>该项目生产过程中涉及的有理化危险的物质有：黑醇酸调和漆、</w:t>
      </w:r>
      <w:r>
        <w:rPr>
          <w:rFonts w:hint="eastAsia"/>
          <w:lang w:eastAsia="zh-CN"/>
        </w:rPr>
        <w:t>铁红油性防锈漆</w:t>
      </w:r>
      <w:r>
        <w:rPr>
          <w:rFonts w:hint="eastAsia"/>
        </w:rPr>
        <w:t>、乙炔、氧气</w:t>
      </w:r>
      <w:r>
        <w:rPr>
          <w:rFonts w:hint="eastAsia"/>
          <w:lang w:eastAsia="zh-CN"/>
        </w:rPr>
        <w:t>、</w:t>
      </w:r>
      <w:r>
        <w:rPr>
          <w:rFonts w:hint="eastAsia"/>
          <w:lang w:val="en-US" w:eastAsia="zh-CN"/>
        </w:rPr>
        <w:t>柴油</w:t>
      </w:r>
      <w:r>
        <w:rPr>
          <w:rFonts w:hint="eastAsia"/>
        </w:rPr>
        <w:t>。</w:t>
      </w:r>
    </w:p>
    <w:p>
      <w:pPr>
        <w:pStyle w:val="6"/>
        <w:spacing w:before="156" w:after="156"/>
      </w:pPr>
      <w:bookmarkStart w:id="134" w:name="_Toc261718082"/>
      <w:bookmarkStart w:id="135" w:name="_Toc264009871"/>
      <w:bookmarkStart w:id="136" w:name="_Toc275704136"/>
      <w:bookmarkStart w:id="137" w:name="_Toc260814017"/>
      <w:bookmarkStart w:id="138" w:name="_Toc324346792"/>
      <w:bookmarkStart w:id="139" w:name="_Toc261257781"/>
      <w:bookmarkStart w:id="140" w:name="_Toc263951679"/>
      <w:bookmarkStart w:id="141" w:name="_Toc6715"/>
      <w:bookmarkStart w:id="142" w:name="_Toc375466518"/>
      <w:bookmarkStart w:id="143" w:name="_Toc76119891"/>
      <w:bookmarkStart w:id="144" w:name="_Toc2370"/>
      <w:r>
        <w:rPr>
          <w:rFonts w:hint="eastAsia"/>
        </w:rPr>
        <w:t>环境</w:t>
      </w:r>
      <w:bookmarkEnd w:id="134"/>
      <w:bookmarkEnd w:id="135"/>
      <w:bookmarkEnd w:id="136"/>
      <w:bookmarkEnd w:id="137"/>
      <w:bookmarkEnd w:id="138"/>
      <w:bookmarkEnd w:id="139"/>
      <w:bookmarkEnd w:id="140"/>
      <w:r>
        <w:rPr>
          <w:rFonts w:hint="eastAsia"/>
        </w:rPr>
        <w:t>因素</w:t>
      </w:r>
      <w:bookmarkEnd w:id="141"/>
      <w:bookmarkEnd w:id="142"/>
      <w:bookmarkEnd w:id="143"/>
      <w:bookmarkEnd w:id="144"/>
    </w:p>
    <w:p>
      <w:pPr>
        <w:ind w:firstLine="560"/>
      </w:pPr>
      <w:r>
        <w:rPr>
          <w:rFonts w:hint="eastAsia"/>
        </w:rPr>
        <w:t>作业场所如果存在地面积油打滑、作业场所狭窄、作业场所杂乱、地面不平、房屋基础下沉、安全通道不畅、安全出口存在缺陷、采光照明不足、作业场所空气不良、温度和湿度不适、给排水不良以及室外作业时存在恶劣气候等均会影响职工的身体和健康，影响正常的工作，导致相应的生产安全事故。如果作业人员长期在光照度不足环境中工作，将对工作人员视力造成损害，导致视力下降，视物不清，还导致工作出差错和操作失误。</w:t>
      </w:r>
    </w:p>
    <w:p>
      <w:pPr>
        <w:pStyle w:val="6"/>
        <w:spacing w:before="156" w:after="156"/>
      </w:pPr>
      <w:bookmarkStart w:id="145" w:name="_Toc27783"/>
      <w:bookmarkStart w:id="146" w:name="_Toc20851"/>
      <w:r>
        <w:rPr>
          <w:rFonts w:hint="eastAsia"/>
        </w:rPr>
        <w:t>管理</w:t>
      </w:r>
      <w:r>
        <w:t>因素</w:t>
      </w:r>
      <w:bookmarkEnd w:id="145"/>
      <w:bookmarkEnd w:id="146"/>
      <w:r>
        <w:t xml:space="preserve"> </w:t>
      </w:r>
    </w:p>
    <w:p>
      <w:pPr>
        <w:ind w:firstLine="560"/>
      </w:pPr>
      <w:r>
        <w:rPr>
          <w:rFonts w:hint="eastAsia"/>
        </w:rPr>
        <w:t>该</w:t>
      </w:r>
      <w:r>
        <w:rPr>
          <w:rFonts w:hint="eastAsia"/>
          <w:lang w:eastAsia="zh-CN"/>
        </w:rPr>
        <w:t>项目</w:t>
      </w:r>
      <w:r>
        <w:rPr>
          <w:rFonts w:hint="eastAsia"/>
        </w:rPr>
        <w:t>如果职业安全卫生管理机构设置和人员配备不健全，职业安全卫生责任、管理制度不完善或未落实，接尘作业岗位人员患职业病的风险会增加。安全风险分级管控和事故隐患排查治理未落实，可能导致安全风险失控，发生安全事故。应急管理存在缺陷（如应急资源调查不充分、应急能力、风险评估不全面，预案不健全、可操作性不强，无针对性，应急演练不规范、应急演练评估不到位）可能会造成发生事故时，应对失策，导致事故不能得到及时控制。</w:t>
      </w:r>
    </w:p>
    <w:p>
      <w:pPr>
        <w:pStyle w:val="5"/>
        <w:spacing w:before="156" w:after="156"/>
      </w:pPr>
      <w:bookmarkStart w:id="147" w:name="_Toc8400"/>
      <w:r>
        <w:rPr>
          <w:rFonts w:hint="eastAsia"/>
        </w:rPr>
        <w:t>生产工艺危险和有害因素分析</w:t>
      </w:r>
      <w:bookmarkEnd w:id="116"/>
      <w:bookmarkEnd w:id="147"/>
    </w:p>
    <w:p>
      <w:pPr>
        <w:ind w:firstLine="560"/>
      </w:pPr>
      <w:r>
        <w:rPr>
          <w:rFonts w:hint="eastAsia"/>
        </w:rPr>
        <w:t>依据《企业职工伤亡事故分类标准》（GB 6441-1986）《职业病危险因素分类目录》等，辨识和分析生产工艺危险和有害因素。</w:t>
      </w:r>
    </w:p>
    <w:p>
      <w:pPr>
        <w:pStyle w:val="6"/>
        <w:spacing w:before="156" w:after="156"/>
      </w:pPr>
      <w:bookmarkStart w:id="148" w:name="_Toc76119878"/>
      <w:bookmarkStart w:id="149" w:name="_Toc28121"/>
      <w:bookmarkStart w:id="150" w:name="_Toc76119871"/>
      <w:r>
        <w:rPr>
          <w:rFonts w:hint="eastAsia"/>
        </w:rPr>
        <w:t>物体打击</w:t>
      </w:r>
      <w:bookmarkEnd w:id="148"/>
      <w:bookmarkEnd w:id="149"/>
    </w:p>
    <w:p>
      <w:pPr>
        <w:ind w:firstLine="560"/>
      </w:pPr>
      <w:r>
        <w:rPr>
          <w:rFonts w:hint="eastAsia"/>
        </w:rPr>
        <w:t>物体打击，指失控物体的惯性力造成的人身伤害事故。如落物、锤击、碎裂、崩块、砸伤等造成的伤害，不包括爆炸、主体机械设备、车辆、起重机械、坍塌等引发的物体打击。本项目主要原材料为金属，一般较重，如果搬运不当，容易掉落砸伤。各种原料码放不稳，也可能造成物体打击事故。</w:t>
      </w:r>
    </w:p>
    <w:p>
      <w:pPr>
        <w:ind w:firstLine="560"/>
        <w:rPr>
          <w:rFonts w:ascii="宋体" w:hAnsi="宋体" w:cs="宋体"/>
          <w:szCs w:val="28"/>
        </w:rPr>
      </w:pPr>
      <w:r>
        <w:rPr>
          <w:rFonts w:hint="eastAsia"/>
        </w:rPr>
        <w:t>在生产、维修作业中，操作人员要使用各种工具进行操作，因为设备、人员、环境和管理上的缺陷，常常导致工具伤人等物体打击事故的发生。在车间设备、管道、阀门的检修时，作业场所狭窄，若金属工具、备品配件使用和放置不当，检修人员在传递金属工具、备品配件等物体时配合失误可造成物体打击伤害事故。另外，机械设备旋转运动部件若有裂纹或机械损伤未及时更换，破损部分可能因高速旋转的惯性甩出，可造成物体打击伤害事故。</w:t>
      </w:r>
    </w:p>
    <w:p>
      <w:pPr>
        <w:pStyle w:val="6"/>
        <w:spacing w:before="156" w:after="156"/>
      </w:pPr>
      <w:bookmarkStart w:id="151" w:name="_Toc31888"/>
      <w:r>
        <w:rPr>
          <w:rFonts w:hint="eastAsia"/>
        </w:rPr>
        <w:t>车辆伤害</w:t>
      </w:r>
      <w:bookmarkEnd w:id="151"/>
    </w:p>
    <w:p>
      <w:pPr>
        <w:ind w:firstLine="560"/>
      </w:pPr>
      <w:r>
        <w:rPr>
          <w:rFonts w:hint="eastAsia"/>
        </w:rPr>
        <w:t>车辆伤害是指企业机动车辆在行驶中引起人体坠落和物体倒塌、飞落、挤压伤亡事故，不包括起重设备提升、牵引车辆和车辆停驶时发生的事故。</w:t>
      </w:r>
    </w:p>
    <w:p>
      <w:pPr>
        <w:ind w:firstLine="560"/>
      </w:pPr>
      <w:r>
        <w:rPr>
          <w:rFonts w:hint="eastAsia"/>
        </w:rPr>
        <w:t>本项目区域机动车辆来往频繁，进入本厂的车辆主要是装卸原辅材料及产品的运输车。如果因厂内道路状况差、道路设置不合理、交通标志缺少或不合理、车辆故障、管理制度不健全、无证驾驶，或员工和司机思想放松、指挥失误、误操作、装卸不规范或恶劣气候条件等原因，则有可能造成挤压、碰撞、倾倒等车辆伤害事故。</w:t>
      </w:r>
    </w:p>
    <w:p>
      <w:pPr>
        <w:ind w:firstLine="560"/>
        <w:rPr>
          <w:rFonts w:ascii="宋体" w:hAnsi="宋体"/>
          <w:lang w:val="en-GB"/>
        </w:rPr>
      </w:pPr>
      <w:r>
        <w:rPr>
          <w:rFonts w:hint="eastAsia"/>
        </w:rPr>
        <w:t>本项目运输车辆容易发生车辆伤害事故。发生车辆伤害的主要原因有：道路的布置不合理；道路没有设置警示灯、警示牌等；驾驶人员不按操作规程操作；厂内机动车辆没有由技术监督部门进行定期强制性检验、没有进行登记注册、无证人员驾驶；机动车辆有缺陷；厂内道路没有足够的安全视距等。</w:t>
      </w:r>
    </w:p>
    <w:p>
      <w:pPr>
        <w:pStyle w:val="6"/>
        <w:spacing w:before="156" w:after="156"/>
      </w:pPr>
      <w:bookmarkStart w:id="152" w:name="_Toc76119873"/>
      <w:bookmarkStart w:id="153" w:name="_Toc14698"/>
      <w:r>
        <w:rPr>
          <w:rFonts w:hint="eastAsia"/>
        </w:rPr>
        <w:t>机械伤害</w:t>
      </w:r>
      <w:bookmarkEnd w:id="152"/>
      <w:bookmarkEnd w:id="153"/>
    </w:p>
    <w:p>
      <w:pPr>
        <w:ind w:firstLine="560"/>
      </w:pPr>
      <w:r>
        <w:rPr>
          <w:rFonts w:hint="eastAsia"/>
        </w:rPr>
        <w:t>机械伤害主要机械设备运动（静止）部件、工具、加工件直接与人体接触，引起的夹击、碰撞、卷入、绞、割、刺等形式的伤害。车间内大型机械较多，起重机、钻床、车床、空压机等机械设备，如果机械设备的运转部位缺少防护装置，可能发生机械伤害事故。分析主要原因有以下几个方面：</w:t>
      </w:r>
    </w:p>
    <w:p>
      <w:pPr>
        <w:numPr>
          <w:ilvl w:val="0"/>
          <w:numId w:val="36"/>
        </w:numPr>
        <w:ind w:left="0" w:firstLine="560"/>
      </w:pPr>
      <w:r>
        <w:rPr>
          <w:rFonts w:hint="eastAsia"/>
        </w:rPr>
        <w:t>机械的传动部分、电机的对轮无安全防护罩，或安全防护罩设计、安装有缺陷（如固定不牢或未固定、安全防护罩未完全将对轮遮挡住、安全防护罩的强度不够）；</w:t>
      </w:r>
    </w:p>
    <w:p>
      <w:pPr>
        <w:numPr>
          <w:ilvl w:val="0"/>
          <w:numId w:val="36"/>
        </w:numPr>
        <w:ind w:left="0" w:firstLine="560"/>
      </w:pPr>
      <w:r>
        <w:rPr>
          <w:rFonts w:hint="eastAsia"/>
        </w:rPr>
        <w:t>检修机器后，未将安全防护装置及时复位；</w:t>
      </w:r>
    </w:p>
    <w:p>
      <w:pPr>
        <w:numPr>
          <w:ilvl w:val="0"/>
          <w:numId w:val="36"/>
        </w:numPr>
        <w:ind w:left="0" w:firstLine="560"/>
      </w:pPr>
      <w:r>
        <w:rPr>
          <w:rFonts w:hint="eastAsia"/>
        </w:rPr>
        <w:t>安全防护装置破损，检查、维护不及时；</w:t>
      </w:r>
    </w:p>
    <w:p>
      <w:pPr>
        <w:numPr>
          <w:ilvl w:val="0"/>
          <w:numId w:val="36"/>
        </w:numPr>
        <w:ind w:left="0" w:firstLine="560"/>
      </w:pPr>
      <w:r>
        <w:rPr>
          <w:rFonts w:hint="eastAsia"/>
        </w:rPr>
        <w:t>多人操作时，联系沟通不够，误开动机器；</w:t>
      </w:r>
    </w:p>
    <w:p>
      <w:pPr>
        <w:numPr>
          <w:ilvl w:val="0"/>
          <w:numId w:val="36"/>
        </w:numPr>
        <w:ind w:left="0" w:firstLine="560"/>
      </w:pPr>
      <w:r>
        <w:rPr>
          <w:rFonts w:hint="eastAsia"/>
        </w:rPr>
        <w:t>检修机器时，未在机器的控制按钮处设置安全标志牌，或拉闸断电后闸箱未加锁，且钥匙未掌握在检修人员手中，而他人误启动机器；</w:t>
      </w:r>
    </w:p>
    <w:p>
      <w:pPr>
        <w:numPr>
          <w:ilvl w:val="0"/>
          <w:numId w:val="36"/>
        </w:numPr>
        <w:ind w:left="0" w:firstLine="560"/>
      </w:pPr>
      <w:r>
        <w:rPr>
          <w:rFonts w:hint="eastAsia"/>
        </w:rPr>
        <w:t>其他行为（嫌碍事，故意拆除安全装置，而不使用）；</w:t>
      </w:r>
    </w:p>
    <w:p>
      <w:pPr>
        <w:numPr>
          <w:ilvl w:val="0"/>
          <w:numId w:val="36"/>
        </w:numPr>
        <w:ind w:left="0" w:firstLine="560"/>
      </w:pPr>
      <w:r>
        <w:rPr>
          <w:rFonts w:hint="eastAsia"/>
        </w:rPr>
        <w:t>设备控制系统失灵，造成设备误动作；</w:t>
      </w:r>
    </w:p>
    <w:p>
      <w:pPr>
        <w:numPr>
          <w:ilvl w:val="0"/>
          <w:numId w:val="36"/>
        </w:numPr>
        <w:ind w:left="0" w:firstLine="560"/>
      </w:pPr>
      <w:r>
        <w:rPr>
          <w:rFonts w:hint="eastAsia"/>
        </w:rPr>
        <w:t>电源开关布局不合理，无明显</w:t>
      </w:r>
      <w:r>
        <w:rPr>
          <w:rFonts w:hint="eastAsia"/>
          <w:lang w:eastAsia="zh-CN"/>
        </w:rPr>
        <w:t>标识</w:t>
      </w:r>
      <w:r>
        <w:rPr>
          <w:rFonts w:hint="eastAsia"/>
        </w:rPr>
        <w:t>，造成误开、关机；</w:t>
      </w:r>
    </w:p>
    <w:p>
      <w:pPr>
        <w:numPr>
          <w:ilvl w:val="0"/>
          <w:numId w:val="36"/>
        </w:numPr>
        <w:ind w:left="0" w:firstLine="560"/>
      </w:pPr>
      <w:r>
        <w:rPr>
          <w:rFonts w:hint="eastAsia"/>
        </w:rPr>
        <w:t>行人在与机械相关的不安全场所停留、休息和任意进入机械运行危险区域。</w:t>
      </w:r>
    </w:p>
    <w:p>
      <w:pPr>
        <w:ind w:firstLine="560"/>
      </w:pPr>
      <w:r>
        <w:rPr>
          <w:rFonts w:hint="eastAsia"/>
        </w:rPr>
        <w:t>本项目生产过程中所使用的铣床、数控铣床、台钻、加工中心、钻床、车床、液压机、砂轮机、空压机等设备的传动部位均有运转的机械设备，若未安装防护罩及防止铁屑飞溅的挡板，人员若操作不当，则可能发生机械伤害事故。</w:t>
      </w:r>
    </w:p>
    <w:p>
      <w:pPr>
        <w:pStyle w:val="6"/>
        <w:spacing w:before="156" w:after="156"/>
      </w:pPr>
      <w:bookmarkStart w:id="154" w:name="_Toc76119875"/>
      <w:bookmarkStart w:id="155" w:name="_Toc10379"/>
      <w:r>
        <w:rPr>
          <w:rFonts w:hint="eastAsia"/>
        </w:rPr>
        <w:t>起重伤害</w:t>
      </w:r>
      <w:bookmarkEnd w:id="154"/>
      <w:bookmarkEnd w:id="155"/>
    </w:p>
    <w:p>
      <w:pPr>
        <w:ind w:firstLine="560"/>
        <w:rPr>
          <w:lang w:val="en-GB"/>
        </w:rPr>
      </w:pPr>
      <w:r>
        <w:rPr>
          <w:rFonts w:hint="eastAsia"/>
          <w:lang w:val="en-GB"/>
        </w:rPr>
        <w:t>本</w:t>
      </w:r>
      <w:r>
        <w:rPr>
          <w:rFonts w:hint="eastAsia"/>
        </w:rPr>
        <w:t>项目</w:t>
      </w:r>
      <w:r>
        <w:rPr>
          <w:rFonts w:hint="eastAsia"/>
          <w:lang w:val="en-GB"/>
        </w:rPr>
        <w:t>存在</w:t>
      </w:r>
      <w:r>
        <w:rPr>
          <w:rFonts w:hint="eastAsia"/>
        </w:rPr>
        <w:t>较多</w:t>
      </w:r>
      <w:r>
        <w:rPr>
          <w:rFonts w:hint="eastAsia"/>
          <w:lang w:val="en-GB"/>
        </w:rPr>
        <w:t>桥式起重机、单梁起重机。</w:t>
      </w:r>
    </w:p>
    <w:p>
      <w:pPr>
        <w:ind w:firstLine="560"/>
        <w:rPr>
          <w:lang w:val="en-GB"/>
        </w:rPr>
      </w:pPr>
      <w:r>
        <w:rPr>
          <w:rFonts w:hint="eastAsia"/>
          <w:lang w:val="en-GB"/>
        </w:rPr>
        <w:t>起重伤害是指各种起重作业（包括起重机安装、检修、试验）中发生的挤压、坠落（吊具、吊重）、物体打击等。起重机械是危险性较大的运动性设备，且在作业过程中能量集中（动能、位能），起重机一旦出现缺陷，如强度不够、刚度不够、应力集中、大梁开裂、起重机械的安装基础下沉、轨道变形、控制器失灵、制动器失效、防护装置失灵、操作失误以及吊索具强度不够等，都有可能造成重大的人员伤害和财产损失。</w:t>
      </w:r>
    </w:p>
    <w:p>
      <w:pPr>
        <w:numPr>
          <w:ilvl w:val="0"/>
          <w:numId w:val="37"/>
        </w:numPr>
        <w:ind w:left="0" w:firstLine="560"/>
        <w:rPr>
          <w:lang w:val="en-GB"/>
        </w:rPr>
      </w:pPr>
      <w:r>
        <w:rPr>
          <w:rFonts w:hint="eastAsia"/>
          <w:lang w:val="en-GB"/>
        </w:rPr>
        <w:t>由于起重机行程长、跨距大，升距高，有可能因安装基础下沉及大车行走轨道变形的隐患，造成脱轨、越轨，重物坠落等重大事故；</w:t>
      </w:r>
    </w:p>
    <w:p>
      <w:pPr>
        <w:numPr>
          <w:ilvl w:val="0"/>
          <w:numId w:val="37"/>
        </w:numPr>
        <w:ind w:left="0" w:firstLine="560"/>
        <w:rPr>
          <w:lang w:val="en-GB"/>
        </w:rPr>
      </w:pPr>
      <w:r>
        <w:rPr>
          <w:rFonts w:hint="eastAsia"/>
          <w:lang w:val="en-GB"/>
        </w:rPr>
        <w:t>由于轨道较高，有可能致使司机操作失误或“斜吊”作业的危险；</w:t>
      </w:r>
    </w:p>
    <w:p>
      <w:pPr>
        <w:numPr>
          <w:ilvl w:val="0"/>
          <w:numId w:val="37"/>
        </w:numPr>
        <w:ind w:left="0" w:firstLine="560"/>
        <w:rPr>
          <w:lang w:val="en-GB"/>
        </w:rPr>
      </w:pPr>
      <w:r>
        <w:rPr>
          <w:rFonts w:hint="eastAsia"/>
          <w:lang w:val="en-GB"/>
        </w:rPr>
        <w:t>由于车间采光等原因影响司机视野，而致使司机和挂吊工协调失误，造成物体碰撞、打击等伤害事故；</w:t>
      </w:r>
    </w:p>
    <w:p>
      <w:pPr>
        <w:numPr>
          <w:ilvl w:val="0"/>
          <w:numId w:val="37"/>
        </w:numPr>
        <w:ind w:left="0" w:firstLine="560"/>
        <w:rPr>
          <w:lang w:val="en-GB"/>
        </w:rPr>
      </w:pPr>
      <w:r>
        <w:rPr>
          <w:rFonts w:hint="eastAsia"/>
          <w:lang w:val="en-GB"/>
        </w:rPr>
        <w:t>由于频繁作业，吊具的各项强度（抗拉、疲劳极限等）下降，有可能因吊具断裂而造成物体坠落事故。由于钢绳本身缺陷或长期使用缺乏检查，未及时更换，造成钢绳断裂而发生吊物坠落伤害事故；</w:t>
      </w:r>
    </w:p>
    <w:p>
      <w:pPr>
        <w:numPr>
          <w:ilvl w:val="0"/>
          <w:numId w:val="37"/>
        </w:numPr>
        <w:ind w:left="0" w:firstLine="560"/>
        <w:rPr>
          <w:lang w:val="en-GB"/>
        </w:rPr>
      </w:pPr>
      <w:r>
        <w:rPr>
          <w:rFonts w:hint="eastAsia"/>
          <w:lang w:val="en-GB"/>
        </w:rPr>
        <w:t>未装防脱钩装置有吊索从吊钩处脱出造成吊物坠落伤人（物或设备）事故的危险；</w:t>
      </w:r>
    </w:p>
    <w:p>
      <w:pPr>
        <w:numPr>
          <w:ilvl w:val="0"/>
          <w:numId w:val="37"/>
        </w:numPr>
        <w:ind w:left="0" w:firstLine="560"/>
        <w:rPr>
          <w:lang w:val="en-GB"/>
        </w:rPr>
      </w:pPr>
      <w:r>
        <w:rPr>
          <w:rFonts w:hint="eastAsia"/>
        </w:rPr>
        <w:t>吊运铁水包司机</w:t>
      </w:r>
      <w:r>
        <w:rPr>
          <w:rFonts w:hint="eastAsia"/>
          <w:lang w:val="en-GB"/>
        </w:rPr>
        <w:t>工作条件差，长时间连续作业，吊车司机容易疲劳，引起注意力不集中而导致操作失误事故的危险；上、下检修人员作业时存在高处坠落的危险；</w:t>
      </w:r>
    </w:p>
    <w:p>
      <w:pPr>
        <w:numPr>
          <w:ilvl w:val="0"/>
          <w:numId w:val="37"/>
        </w:numPr>
        <w:ind w:left="0" w:firstLine="560"/>
        <w:rPr>
          <w:lang w:val="en-GB"/>
        </w:rPr>
      </w:pPr>
      <w:r>
        <w:rPr>
          <w:rFonts w:hint="eastAsia"/>
          <w:lang w:val="en-GB"/>
        </w:rPr>
        <w:t>因突然停电而使操作系统失控造成吊物坠落的伤害事故；</w:t>
      </w:r>
    </w:p>
    <w:p>
      <w:pPr>
        <w:numPr>
          <w:ilvl w:val="0"/>
          <w:numId w:val="37"/>
        </w:numPr>
        <w:ind w:left="0" w:firstLine="560"/>
        <w:rPr>
          <w:lang w:val="en-GB"/>
        </w:rPr>
      </w:pPr>
      <w:r>
        <w:rPr>
          <w:rFonts w:hint="eastAsia"/>
          <w:lang w:val="en-GB"/>
        </w:rPr>
        <w:t>由于违章操作，指挥失误，造成吊物的坠落伤人或撞击伤害事故；</w:t>
      </w:r>
    </w:p>
    <w:p>
      <w:pPr>
        <w:numPr>
          <w:ilvl w:val="0"/>
          <w:numId w:val="37"/>
        </w:numPr>
        <w:ind w:left="0" w:firstLine="560"/>
        <w:rPr>
          <w:lang w:val="en-GB"/>
        </w:rPr>
      </w:pPr>
      <w:r>
        <w:rPr>
          <w:rFonts w:hint="eastAsia"/>
          <w:lang w:val="en-GB"/>
        </w:rPr>
        <w:t>由于超载作业而造成吊物坠落的危险；起吊物有可能超越起吊极限高度而造成“冲顶”的危险；</w:t>
      </w:r>
    </w:p>
    <w:p>
      <w:pPr>
        <w:numPr>
          <w:ilvl w:val="0"/>
          <w:numId w:val="37"/>
        </w:numPr>
        <w:ind w:left="0" w:firstLine="560"/>
        <w:rPr>
          <w:lang w:val="en-GB"/>
        </w:rPr>
      </w:pPr>
      <w:r>
        <w:rPr>
          <w:rFonts w:hint="eastAsia"/>
          <w:lang w:val="en-GB"/>
        </w:rPr>
        <w:t>由于起重机制动机构失灵，而发生吊物坠落造成伤害事故的危险。</w:t>
      </w:r>
    </w:p>
    <w:p>
      <w:pPr>
        <w:pStyle w:val="6"/>
        <w:spacing w:before="156" w:after="156"/>
      </w:pPr>
      <w:bookmarkStart w:id="156" w:name="_Toc76119874"/>
      <w:bookmarkStart w:id="157" w:name="_Toc2059"/>
      <w:bookmarkStart w:id="158" w:name="_Toc76119872"/>
      <w:r>
        <w:rPr>
          <w:rFonts w:hint="eastAsia"/>
        </w:rPr>
        <w:t>触电</w:t>
      </w:r>
      <w:bookmarkEnd w:id="156"/>
      <w:bookmarkEnd w:id="157"/>
    </w:p>
    <w:p>
      <w:pPr>
        <w:ind w:firstLine="560"/>
      </w:pPr>
      <w:r>
        <w:rPr>
          <w:rFonts w:hint="eastAsia"/>
        </w:rPr>
        <w:t>操作人员可能发生触电事故主要有电击、电伤和触电的二次事故。事故后果因电压高低、电流大小、接触时间长短以及触电部位不同而各异，轻者可致人伤残，重者丧命。原因主要有以下几个方面：</w:t>
      </w:r>
    </w:p>
    <w:p>
      <w:pPr>
        <w:numPr>
          <w:ilvl w:val="0"/>
          <w:numId w:val="38"/>
        </w:numPr>
        <w:ind w:left="0" w:firstLine="560"/>
      </w:pPr>
      <w:r>
        <w:rPr>
          <w:rFonts w:hint="eastAsia"/>
        </w:rPr>
        <w:t>生产现场电气设备、照明设备及电气线路设置不合理，电气接头或带电线路外露，从业人员不按要求穿戴绝缘防护用品，将可能造成人员触电伤亡事故。</w:t>
      </w:r>
    </w:p>
    <w:p>
      <w:pPr>
        <w:numPr>
          <w:ilvl w:val="0"/>
          <w:numId w:val="38"/>
        </w:numPr>
        <w:ind w:left="0" w:firstLine="560"/>
      </w:pPr>
      <w:r>
        <w:rPr>
          <w:rFonts w:hint="eastAsia"/>
        </w:rPr>
        <w:t>作业人员在操作、维护和检修电气设备或线路时，因技术水平低、对设备性能不熟悉或违章作业等发生误操作，管理制度不健全等。</w:t>
      </w:r>
    </w:p>
    <w:p>
      <w:pPr>
        <w:numPr>
          <w:ilvl w:val="0"/>
          <w:numId w:val="38"/>
        </w:numPr>
        <w:ind w:left="0" w:firstLine="560"/>
      </w:pPr>
      <w:r>
        <w:rPr>
          <w:rFonts w:hint="eastAsia"/>
        </w:rPr>
        <w:t>电气设备因长期操作运行，安全防护装置失效而可能导致触电事故。</w:t>
      </w:r>
    </w:p>
    <w:p>
      <w:pPr>
        <w:numPr>
          <w:ilvl w:val="0"/>
          <w:numId w:val="38"/>
        </w:numPr>
        <w:ind w:left="0" w:firstLine="560"/>
      </w:pPr>
      <w:r>
        <w:rPr>
          <w:rFonts w:hint="eastAsia"/>
        </w:rPr>
        <w:t>电气设备选型不当，带电体无防护，连接不合理。</w:t>
      </w:r>
    </w:p>
    <w:p>
      <w:pPr>
        <w:numPr>
          <w:ilvl w:val="0"/>
          <w:numId w:val="38"/>
        </w:numPr>
        <w:ind w:left="0" w:firstLine="560"/>
      </w:pPr>
      <w:r>
        <w:rPr>
          <w:rFonts w:hint="eastAsia"/>
        </w:rPr>
        <w:t>安装时存在缺陷造成漏电或带电部位裸露，从而造成操作人员的触电。</w:t>
      </w:r>
    </w:p>
    <w:p>
      <w:pPr>
        <w:numPr>
          <w:ilvl w:val="0"/>
          <w:numId w:val="38"/>
        </w:numPr>
        <w:ind w:left="0" w:firstLine="560"/>
      </w:pPr>
      <w:r>
        <w:rPr>
          <w:rFonts w:hint="eastAsia"/>
        </w:rPr>
        <w:t>项目使用中频感应电炉是依靠电磁感应原理来使得炉料发热熔化，因此炉料存在一定的感应电。操作工加料、捣料和扒渣时，如果不穿戴绝缘防护工具，会发生触电。</w:t>
      </w:r>
    </w:p>
    <w:p>
      <w:pPr>
        <w:pStyle w:val="6"/>
        <w:spacing w:before="156" w:after="156"/>
      </w:pPr>
      <w:bookmarkStart w:id="159" w:name="_Toc18705"/>
      <w:r>
        <w:rPr>
          <w:rFonts w:hint="eastAsia"/>
        </w:rPr>
        <w:t>灼烫</w:t>
      </w:r>
      <w:bookmarkEnd w:id="158"/>
      <w:bookmarkEnd w:id="159"/>
    </w:p>
    <w:p>
      <w:pPr>
        <w:spacing w:line="360" w:lineRule="auto"/>
        <w:ind w:firstLine="560"/>
        <w:rPr>
          <w:rFonts w:ascii="宋体" w:hAnsi="宋体"/>
          <w:lang w:val="en-GB"/>
        </w:rPr>
      </w:pPr>
      <w:r>
        <w:rPr>
          <w:rFonts w:hint="eastAsia" w:ascii="宋体" w:hAnsi="宋体"/>
          <w:lang w:val="en-GB"/>
        </w:rPr>
        <w:t>可能引发高温烫伤事故的原因主要有：</w:t>
      </w:r>
    </w:p>
    <w:p>
      <w:pPr>
        <w:numPr>
          <w:ilvl w:val="0"/>
          <w:numId w:val="39"/>
        </w:numPr>
        <w:ind w:firstLine="560"/>
        <w:rPr>
          <w:lang w:val="en-GB"/>
        </w:rPr>
      </w:pPr>
      <w:r>
        <w:rPr>
          <w:rFonts w:hint="eastAsia"/>
        </w:rPr>
        <w:t>中频炉</w:t>
      </w:r>
      <w:r>
        <w:rPr>
          <w:rFonts w:hint="eastAsia"/>
          <w:lang w:val="en-GB"/>
        </w:rPr>
        <w:t>工作过程中物料温度较高，加料时，如操作不当或违章指挥、违章作业，</w:t>
      </w:r>
      <w:r>
        <w:rPr>
          <w:rFonts w:hint="eastAsia"/>
        </w:rPr>
        <w:t>会</w:t>
      </w:r>
      <w:r>
        <w:rPr>
          <w:rFonts w:hint="eastAsia"/>
          <w:lang w:val="en-GB"/>
        </w:rPr>
        <w:t>发生炉内物料爆炸，导致人员被熔融铁水烫伤。</w:t>
      </w:r>
    </w:p>
    <w:p>
      <w:pPr>
        <w:numPr>
          <w:ilvl w:val="0"/>
          <w:numId w:val="39"/>
        </w:numPr>
        <w:ind w:firstLine="560"/>
        <w:rPr>
          <w:lang w:val="en-GB"/>
        </w:rPr>
      </w:pPr>
      <w:r>
        <w:rPr>
          <w:rFonts w:hint="eastAsia"/>
        </w:rPr>
        <w:t>中频炉</w:t>
      </w:r>
      <w:r>
        <w:rPr>
          <w:rFonts w:hint="eastAsia"/>
          <w:lang w:val="en-GB"/>
        </w:rPr>
        <w:t>冷却水失效，炉体烧穿，高温熔融金属流出发生严重灼烫事故。</w:t>
      </w:r>
    </w:p>
    <w:p>
      <w:pPr>
        <w:numPr>
          <w:ilvl w:val="0"/>
          <w:numId w:val="39"/>
        </w:numPr>
        <w:ind w:firstLine="560"/>
        <w:rPr>
          <w:lang w:val="en-GB"/>
        </w:rPr>
      </w:pPr>
      <w:r>
        <w:rPr>
          <w:rFonts w:hint="eastAsia"/>
          <w:lang w:val="en-GB"/>
        </w:rPr>
        <w:t>煅烧时，包子倾翻或包子装得太满，熔融金属外溢造成现场人员发生灼烫事故。或煅烧现场，工作人员过于混乱，因自身原因碰触高温熔融金属发生灼烫。</w:t>
      </w:r>
    </w:p>
    <w:p>
      <w:pPr>
        <w:numPr>
          <w:ilvl w:val="0"/>
          <w:numId w:val="39"/>
        </w:numPr>
        <w:ind w:firstLine="560"/>
        <w:rPr>
          <w:lang w:val="en-GB"/>
        </w:rPr>
      </w:pPr>
      <w:r>
        <w:rPr>
          <w:rFonts w:hint="eastAsia"/>
          <w:lang w:val="en-GB"/>
        </w:rPr>
        <w:t>包子装得太满，电葫芦略一振动或工开飞车、急开急停，人员操作包子倾斜过快等可能导致熔融金属泼落出包外，造成人员烫伤。</w:t>
      </w:r>
    </w:p>
    <w:p>
      <w:pPr>
        <w:numPr>
          <w:ilvl w:val="0"/>
          <w:numId w:val="39"/>
        </w:numPr>
        <w:ind w:firstLine="560"/>
        <w:rPr>
          <w:lang w:val="en-GB"/>
        </w:rPr>
      </w:pPr>
      <w:r>
        <w:rPr>
          <w:rFonts w:hint="eastAsia"/>
        </w:rPr>
        <w:t>中频炉</w:t>
      </w:r>
      <w:r>
        <w:rPr>
          <w:rFonts w:hint="eastAsia"/>
          <w:lang w:val="en-GB"/>
        </w:rPr>
        <w:t>的维护保养不当，炉衬由于热和机械冲击等原因造成突然损坏，熔融金属穿透炉衬对人身和装置产生危险。</w:t>
      </w:r>
    </w:p>
    <w:p>
      <w:pPr>
        <w:numPr>
          <w:ilvl w:val="0"/>
          <w:numId w:val="39"/>
        </w:numPr>
        <w:ind w:firstLine="560"/>
        <w:rPr>
          <w:lang w:val="en-GB"/>
        </w:rPr>
      </w:pPr>
      <w:r>
        <w:rPr>
          <w:rFonts w:hint="eastAsia"/>
        </w:rPr>
        <w:t>中频炉</w:t>
      </w:r>
      <w:r>
        <w:rPr>
          <w:rFonts w:hint="eastAsia"/>
          <w:lang w:val="en-GB"/>
        </w:rPr>
        <w:t>炉子本体内耐火材料冲刷、腐蚀严重以及筑炉时的质量缺陷引起的熔炉穿透，进而引发灼烫事故。</w:t>
      </w:r>
    </w:p>
    <w:p>
      <w:pPr>
        <w:numPr>
          <w:ilvl w:val="0"/>
          <w:numId w:val="39"/>
        </w:numPr>
        <w:ind w:firstLine="560"/>
        <w:rPr>
          <w:lang w:val="en-GB"/>
        </w:rPr>
      </w:pPr>
      <w:r>
        <w:rPr>
          <w:rFonts w:hint="eastAsia"/>
          <w:lang w:val="en-GB"/>
        </w:rPr>
        <w:t>吊运高温熔融铁水包时，</w:t>
      </w:r>
      <w:r>
        <w:rPr>
          <w:rFonts w:hint="eastAsia"/>
        </w:rPr>
        <w:t>操作不当、</w:t>
      </w:r>
      <w:r>
        <w:rPr>
          <w:rFonts w:hint="eastAsia"/>
          <w:lang w:val="en-GB"/>
        </w:rPr>
        <w:t>人员</w:t>
      </w:r>
      <w:r>
        <w:rPr>
          <w:rFonts w:hint="eastAsia"/>
        </w:rPr>
        <w:t>未按要求进行避让，</w:t>
      </w:r>
      <w:r>
        <w:rPr>
          <w:rFonts w:hint="eastAsia"/>
          <w:lang w:val="en-GB"/>
        </w:rPr>
        <w:t>可能</w:t>
      </w:r>
      <w:r>
        <w:rPr>
          <w:rFonts w:hint="eastAsia"/>
        </w:rPr>
        <w:t>会</w:t>
      </w:r>
      <w:r>
        <w:rPr>
          <w:rFonts w:hint="eastAsia"/>
          <w:lang w:val="en-GB"/>
        </w:rPr>
        <w:t>被飞溅的铁水烫伤。</w:t>
      </w:r>
    </w:p>
    <w:p>
      <w:pPr>
        <w:numPr>
          <w:ilvl w:val="0"/>
          <w:numId w:val="39"/>
        </w:numPr>
        <w:ind w:firstLine="560"/>
      </w:pPr>
      <w:r>
        <w:rPr>
          <w:rFonts w:hint="eastAsia"/>
          <w:lang w:val="en-GB"/>
        </w:rPr>
        <w:t>浇注时稍有不慎，也可能被熔融铁水烫伤。如人员违章指挥、违章作业、炉内物料爆炸、熔融金属泄漏或工作人员粗心大意等可能造成人员接触高温物料，造成较为严重的灼烫事故。</w:t>
      </w:r>
    </w:p>
    <w:p>
      <w:pPr>
        <w:pStyle w:val="6"/>
        <w:spacing w:before="156" w:after="156"/>
      </w:pPr>
      <w:bookmarkStart w:id="160" w:name="_Toc29921"/>
      <w:r>
        <w:rPr>
          <w:rFonts w:hint="eastAsia"/>
        </w:rPr>
        <w:t>火灾</w:t>
      </w:r>
      <w:bookmarkEnd w:id="150"/>
      <w:bookmarkEnd w:id="160"/>
    </w:p>
    <w:p>
      <w:pPr>
        <w:ind w:firstLine="560"/>
      </w:pPr>
      <w:r>
        <w:rPr>
          <w:rFonts w:hint="eastAsia"/>
        </w:rPr>
        <w:t>项目可燃物较多，易造成火灾。飞溅的高温熔融铁水、红热的铸件等一旦遇到易燃易爆物品，极易引发火灾事故。金属构件喷涂使用的静电粉末涂料，黑醇酸调和漆、</w:t>
      </w:r>
      <w:r>
        <w:rPr>
          <w:rFonts w:hint="eastAsia"/>
          <w:lang w:eastAsia="zh-CN"/>
        </w:rPr>
        <w:t>铁红油性防锈漆</w:t>
      </w:r>
      <w:r>
        <w:rPr>
          <w:rFonts w:hint="eastAsia"/>
        </w:rPr>
        <w:t>使用保管不好，易引起火灾。安装在顶、柱、墙上的照明灯具，数量较多，可能会由于发热引起火灾。低压线路短路火花也会造成火灾事故。在项目调整、运行期内，如管理不到位，职工在禁烟区域内吸烟或随意乱扔掷未熄灭的烟头，可能引起火灾。</w:t>
      </w:r>
    </w:p>
    <w:p>
      <w:pPr>
        <w:ind w:firstLine="560"/>
      </w:pPr>
      <w:r>
        <w:rPr>
          <w:rFonts w:hint="eastAsia"/>
        </w:rPr>
        <w:t>安装在顶、柱、墙上的照明灯具，数量较多，可能会由于发热引起火灾。低压线路短路火花也会造成火灾事故。</w:t>
      </w:r>
    </w:p>
    <w:p>
      <w:pPr>
        <w:pStyle w:val="6"/>
        <w:spacing w:before="156" w:after="156"/>
      </w:pPr>
      <w:bookmarkStart w:id="161" w:name="_Toc382319466"/>
      <w:bookmarkStart w:id="162" w:name="_Toc76119881"/>
      <w:bookmarkStart w:id="163" w:name="_Toc382319599"/>
      <w:bookmarkStart w:id="164" w:name="_Toc15483"/>
      <w:r>
        <w:rPr>
          <w:rFonts w:hint="eastAsia"/>
        </w:rPr>
        <w:t>高处坠落</w:t>
      </w:r>
      <w:bookmarkEnd w:id="161"/>
      <w:bookmarkEnd w:id="162"/>
      <w:bookmarkEnd w:id="163"/>
      <w:bookmarkEnd w:id="164"/>
    </w:p>
    <w:p>
      <w:pPr>
        <w:ind w:firstLine="560"/>
      </w:pPr>
      <w:r>
        <w:rPr>
          <w:rFonts w:hint="eastAsia"/>
        </w:rPr>
        <w:t>根据《高处作业分级》（GB/T 3608-2008）的规定，凡在坠落高度基准面2m以上（含2m）有可能坠落的高处进行的作业，均称为高处作业。高处作业由于违章或操作失误均可能出现坠落事故，从而引起人的伤亡。主要发生在生产操作、施工安装和检修过程中。</w:t>
      </w:r>
    </w:p>
    <w:p>
      <w:pPr>
        <w:pStyle w:val="16"/>
        <w:ind w:firstLine="560"/>
      </w:pPr>
      <w:r>
        <w:rPr>
          <w:rFonts w:hint="eastAsia"/>
        </w:rPr>
        <w:t>在除尘器、抛丸机等有限空间内部作业时，如未正确使用安全带、站立地点不稳固等有可能发生高处坠落。</w:t>
      </w:r>
    </w:p>
    <w:p>
      <w:pPr>
        <w:ind w:firstLine="560"/>
      </w:pPr>
      <w:r>
        <w:rPr>
          <w:rFonts w:hint="eastAsia"/>
        </w:rPr>
        <w:t>本项目建成后，在各建筑物进行机械、电气、管道、房屋检修等作业时，可能需要进行高处作业，如果安全设施存在隐患（如未按要求佩戴好安全带、安全带低挂高用、安全带超过使用年限等）、登高用具存在缺陷（如脚手架、踏板未搭建牢固）、无现场监护人员或现场监护人员任意离开、登高作业人员麻痹大意或操作不当，都有可能造成高处坠落危害</w:t>
      </w:r>
      <w:r>
        <w:rPr>
          <w:rFonts w:hint="eastAsia" w:ascii="宋体" w:hAnsi="宋体" w:cs="宋体"/>
        </w:rPr>
        <w:t>。</w:t>
      </w:r>
    </w:p>
    <w:p>
      <w:pPr>
        <w:pStyle w:val="6"/>
        <w:spacing w:before="156" w:after="156"/>
      </w:pPr>
      <w:bookmarkStart w:id="165" w:name="_Toc76119877"/>
      <w:bookmarkStart w:id="166" w:name="_Toc32128"/>
      <w:r>
        <w:rPr>
          <w:rFonts w:hint="eastAsia"/>
        </w:rPr>
        <w:t>容器爆炸</w:t>
      </w:r>
      <w:bookmarkEnd w:id="165"/>
      <w:bookmarkEnd w:id="166"/>
    </w:p>
    <w:p>
      <w:pPr>
        <w:numPr>
          <w:ilvl w:val="0"/>
          <w:numId w:val="40"/>
        </w:numPr>
        <w:ind w:firstLine="560"/>
      </w:pPr>
      <w:r>
        <w:rPr>
          <w:rFonts w:hint="eastAsia"/>
        </w:rPr>
        <w:t>工业气瓶</w:t>
      </w:r>
    </w:p>
    <w:p>
      <w:pPr>
        <w:numPr>
          <w:ilvl w:val="0"/>
          <w:numId w:val="41"/>
        </w:numPr>
        <w:ind w:firstLine="560"/>
      </w:pPr>
      <w:r>
        <w:rPr>
          <w:rFonts w:hint="eastAsia"/>
        </w:rPr>
        <w:t>当使用过期失效钢瓶时，钢瓶不能承受高压，可能造成爆炸发生。</w:t>
      </w:r>
    </w:p>
    <w:p>
      <w:pPr>
        <w:numPr>
          <w:ilvl w:val="0"/>
          <w:numId w:val="41"/>
        </w:numPr>
        <w:ind w:firstLine="560"/>
      </w:pPr>
      <w:r>
        <w:rPr>
          <w:rFonts w:hint="eastAsia"/>
        </w:rPr>
        <w:t>钢瓶等带压设备，若受外界不良影响，如外界挤压或撞击、管内外腐蚀严重，或操作与管理上失误，从而造成工艺失控或安全措施失效，可能引起钢瓶等压力容器或压力管道等在超出自身承受能力的情况发生物理爆炸危险。</w:t>
      </w:r>
    </w:p>
    <w:p>
      <w:pPr>
        <w:numPr>
          <w:ilvl w:val="0"/>
          <w:numId w:val="41"/>
        </w:numPr>
        <w:ind w:firstLine="560"/>
      </w:pPr>
      <w:r>
        <w:rPr>
          <w:rFonts w:hint="eastAsia"/>
        </w:rPr>
        <w:t>当钢瓶超装或充装好的钢瓶在太阳下暴晒或是受热时，液体体积膨胀，可能引起钢瓶超出自身承受能力的情况，从而发生物理爆炸危险。</w:t>
      </w:r>
    </w:p>
    <w:p>
      <w:pPr>
        <w:numPr>
          <w:ilvl w:val="0"/>
          <w:numId w:val="41"/>
        </w:numPr>
        <w:ind w:firstLine="560"/>
      </w:pPr>
      <w:r>
        <w:rPr>
          <w:rFonts w:hint="eastAsia"/>
        </w:rPr>
        <w:t>钢瓶缺少防震圈、野蛮装卸、撞击等。钢瓶壁由于受内部压力的作用，内应力接近材料的许可应力，一旦受到外力撞击，就会发生爆炸。</w:t>
      </w:r>
    </w:p>
    <w:p>
      <w:pPr>
        <w:numPr>
          <w:ilvl w:val="0"/>
          <w:numId w:val="41"/>
        </w:numPr>
        <w:ind w:firstLine="560"/>
      </w:pPr>
      <w:r>
        <w:rPr>
          <w:rFonts w:hint="eastAsia"/>
        </w:rPr>
        <w:t>钢瓶储存区缺少防倒措施或不按规定使用防倒设施。</w:t>
      </w:r>
    </w:p>
    <w:p>
      <w:pPr>
        <w:numPr>
          <w:ilvl w:val="0"/>
          <w:numId w:val="40"/>
        </w:numPr>
        <w:ind w:firstLine="560"/>
      </w:pPr>
      <w:r>
        <w:rPr>
          <w:rFonts w:hint="eastAsia"/>
        </w:rPr>
        <w:t>压力容器爆炸</w:t>
      </w:r>
    </w:p>
    <w:p>
      <w:pPr>
        <w:numPr>
          <w:ilvl w:val="0"/>
          <w:numId w:val="42"/>
        </w:numPr>
        <w:ind w:firstLine="560"/>
      </w:pPr>
      <w:r>
        <w:rPr>
          <w:rFonts w:hint="eastAsia"/>
        </w:rPr>
        <w:t>储气罐本体缺陷</w:t>
      </w:r>
    </w:p>
    <w:p>
      <w:pPr>
        <w:ind w:firstLine="560"/>
      </w:pPr>
      <w:r>
        <w:rPr>
          <w:rFonts w:hint="eastAsia"/>
        </w:rPr>
        <w:t>本项目空气压缩机储气罐属于压力容器。空压机储气罐内气体的额定压力都有具体规定。若储气罐设计结构不合理，用材不当，制造质量差，局部存在如壁厚不均匀、气孔、裂纹、严重锈蚀等缺陷，即使储气罐仍在额定压力下工作，因其局部强度不够仍然会发生爆炸。</w:t>
      </w:r>
    </w:p>
    <w:p>
      <w:pPr>
        <w:numPr>
          <w:ilvl w:val="0"/>
          <w:numId w:val="42"/>
        </w:numPr>
        <w:ind w:firstLine="560"/>
      </w:pPr>
      <w:r>
        <w:rPr>
          <w:rFonts w:hint="eastAsia"/>
        </w:rPr>
        <w:t>储气罐超压</w:t>
      </w:r>
    </w:p>
    <w:p>
      <w:pPr>
        <w:pStyle w:val="2"/>
        <w:ind w:firstLine="560"/>
      </w:pPr>
      <w:r>
        <w:rPr>
          <w:rFonts w:hint="eastAsia"/>
        </w:rPr>
        <w:t>储气罐内气体额定压力是由压力调节器和安全阀来确定的。一旦二者出现故障，如压力调节器操作失误或其中的卸荷阀管道等零部件出现故障(安全附件不全、失灵或安装不符合要求，安全阀不能动作或压力表指示不准确等)，造成储罐内气体压力急剧上升，另外容器受热(如日光暴晒、火灾等)也会引起容器内压升高。若超过罐体壁厚的强度极限，就会发生爆炸。</w:t>
      </w:r>
    </w:p>
    <w:p>
      <w:pPr>
        <w:pStyle w:val="6"/>
        <w:spacing w:before="156" w:after="156"/>
      </w:pPr>
      <w:bookmarkStart w:id="167" w:name="_Toc18468"/>
      <w:r>
        <w:rPr>
          <w:rFonts w:hint="eastAsia"/>
        </w:rPr>
        <w:t>其他爆炸</w:t>
      </w:r>
      <w:bookmarkEnd w:id="167"/>
    </w:p>
    <w:p>
      <w:pPr>
        <w:ind w:firstLine="560"/>
      </w:pPr>
      <w:r>
        <w:rPr>
          <w:rFonts w:hint="eastAsia"/>
        </w:rPr>
        <w:t>生产车间涉及熔炼、浇铸，生产使用中频变频感应电炉，在生产过程中会发生高温熔融金属遇水爆炸事故。车间还涉及静电粉末喷涂，也可能会</w:t>
      </w:r>
      <w:r>
        <w:rPr>
          <w:rFonts w:hint="eastAsia"/>
          <w:lang w:eastAsia="zh-CN"/>
        </w:rPr>
        <w:t>引起</w:t>
      </w:r>
      <w:r>
        <w:rPr>
          <w:rFonts w:hint="eastAsia"/>
        </w:rPr>
        <w:t>粉尘爆炸事故。</w:t>
      </w:r>
    </w:p>
    <w:p>
      <w:pPr>
        <w:numPr>
          <w:ilvl w:val="0"/>
          <w:numId w:val="43"/>
        </w:numPr>
        <w:tabs>
          <w:tab w:val="left" w:pos="1134"/>
        </w:tabs>
        <w:ind w:firstLine="560"/>
      </w:pPr>
      <w:r>
        <w:rPr>
          <w:rFonts w:hint="eastAsia"/>
        </w:rPr>
        <w:t>高温熔融金属遇水会发生爆炸</w:t>
      </w:r>
    </w:p>
    <w:p>
      <w:pPr>
        <w:numPr>
          <w:ilvl w:val="0"/>
          <w:numId w:val="44"/>
        </w:numPr>
        <w:ind w:firstLine="560"/>
      </w:pPr>
      <w:r>
        <w:rPr>
          <w:rFonts w:hint="eastAsia"/>
        </w:rPr>
        <w:t>熔炼、清渣、取样等的工具带水或潮湿接触高温铁水，或高温铁水包在吊运过程中跌落、运行不稳定导致洒落，遇地面或其他积水等，都会有爆炸的危险。</w:t>
      </w:r>
    </w:p>
    <w:p>
      <w:pPr>
        <w:numPr>
          <w:ilvl w:val="0"/>
          <w:numId w:val="44"/>
        </w:numPr>
        <w:ind w:firstLine="560"/>
      </w:pPr>
      <w:r>
        <w:rPr>
          <w:rFonts w:hint="eastAsia"/>
        </w:rPr>
        <w:t>循环水管道发生堵塞，会因局部压力过大，造成循环水系统水管破裂与高温熔体接触、炉本体冷却水渗透到炉内与高温熔体接触都会引发爆炸事故的发生。</w:t>
      </w:r>
    </w:p>
    <w:p>
      <w:pPr>
        <w:numPr>
          <w:ilvl w:val="0"/>
          <w:numId w:val="44"/>
        </w:numPr>
        <w:ind w:firstLine="560"/>
      </w:pPr>
      <w:r>
        <w:rPr>
          <w:rFonts w:hint="eastAsia"/>
        </w:rPr>
        <w:t>冷却循环水失效，导致炉体温度过高，发生炉体烧穿，高温熔融金属流出，导致感应器线圈铜管破裂，铁水和冷却水接触而产生爆炸。</w:t>
      </w:r>
    </w:p>
    <w:p>
      <w:pPr>
        <w:numPr>
          <w:ilvl w:val="0"/>
          <w:numId w:val="44"/>
        </w:numPr>
        <w:ind w:firstLine="560"/>
      </w:pPr>
      <w:r>
        <w:rPr>
          <w:rFonts w:hint="eastAsia"/>
        </w:rPr>
        <w:t>停炉时间过长，导致钢水凝固，与炉衬黏结在一起，等再次用到感应加热炉时炉衬便会山于过高的温度熔化，导致穿炉，烧坏感应圈，从而也会发生爆炸的事故。</w:t>
      </w:r>
    </w:p>
    <w:p>
      <w:pPr>
        <w:numPr>
          <w:ilvl w:val="0"/>
          <w:numId w:val="43"/>
        </w:numPr>
        <w:tabs>
          <w:tab w:val="left" w:pos="1134"/>
        </w:tabs>
        <w:ind w:firstLine="560"/>
      </w:pPr>
      <w:r>
        <w:rPr>
          <w:rFonts w:hint="eastAsia"/>
        </w:rPr>
        <w:t>压缩机爆炸</w:t>
      </w:r>
    </w:p>
    <w:p>
      <w:pPr>
        <w:pStyle w:val="16"/>
        <w:ind w:firstLine="560"/>
      </w:pPr>
      <w:r>
        <w:rPr>
          <w:rFonts w:hint="eastAsia"/>
        </w:rPr>
        <w:t>（1）压缩机的气缸润滑油，是一种可燃物，呈悬浮状存在的润滑油分子在高温高压条件下被氧化，特别是附着在排气阀、排气管道灼热金属壁面上的油膜，氧化性更为加剧，生成酸、沥青及其他化合物。它们与气体中的粉尘、机械摩擦产生的金属微粒结合在一起，在气缸盖、活塞环槽、气阀、排气管道、缓冲罐、油水分离器和储气罐中沉积下来形成积炭。气缸</w:t>
      </w:r>
      <w:r>
        <w:rPr>
          <w:rFonts w:hint="eastAsia"/>
          <w:lang w:eastAsia="zh-CN"/>
        </w:rPr>
        <w:t>润滑</w:t>
      </w:r>
      <w:r>
        <w:rPr>
          <w:rFonts w:hint="eastAsia"/>
        </w:rPr>
        <w:t>油选择不当、润滑油牌号不符、加油量过多、油质不佳、会使气体温度剧升；或系统混入铁锈等杂质，导致发热；或过滤器污垢严重，吸入气体含尘量大均易形成积炭。积炭是一种易燃物，在高温过热、意外机械撞击、气流冲击电器短路、外部火灾等引燃条件下都有可能燃烧。积炭燃烧后产生大量的一氧化碳，当压缩机系统中一氧化碳的含量达到15％～75％时就会发生爆炸，在爆炸的瞬时释放出大量热量并产生强烈的冲击波；由于气体的压力和温度急剧升高，燃烧产物的急速膨胀，冲击波沿压缩气体流动方向传播蔓延，引起压缩机的爆炸。</w:t>
      </w:r>
    </w:p>
    <w:p>
      <w:pPr>
        <w:pStyle w:val="16"/>
        <w:ind w:firstLine="560"/>
      </w:pPr>
      <w:r>
        <w:rPr>
          <w:rFonts w:hint="eastAsia"/>
        </w:rPr>
        <w:t>（2）压缩机在运转过程中若发现气缸的温度异常偏高，操作人员错误地往炽热的气缸套内注入冷却水，水在高温条件下迅速汽化，使气缸内压力骤升，导致压缩机超压爆炸；压缩机发生事故需紧急停车时，若操作人员因紧张而未能及时关闭进气阀，也会造成供气设备的增压，而最终导致爆炸。另外，堵塞憋压也是造成设备超压物理性爆炸的一个重要原因，如压缩机的出口被人为关闭或未能及时清洗的异物堵塞都会造成憋压，导致爆炸。</w:t>
      </w:r>
    </w:p>
    <w:p>
      <w:pPr>
        <w:numPr>
          <w:ilvl w:val="0"/>
          <w:numId w:val="43"/>
        </w:numPr>
        <w:ind w:firstLine="560"/>
      </w:pPr>
      <w:r>
        <w:rPr>
          <w:rFonts w:hint="eastAsia"/>
        </w:rPr>
        <w:t>粉尘爆炸</w:t>
      </w:r>
    </w:p>
    <w:p>
      <w:pPr>
        <w:ind w:firstLine="560"/>
      </w:pPr>
      <w:r>
        <w:rPr>
          <w:rFonts w:hint="eastAsia"/>
        </w:rPr>
        <w:t>本项目中，使用静电粉末涂料进行金属构件喷涂，喷涂室在密闭使用过程中细小的粉雾可能与空气形成爆炸性粉尘云，当浓度达到爆炸下限时遇静电放电火花就可能出现严重的爆炸事故。</w:t>
      </w:r>
    </w:p>
    <w:p>
      <w:pPr>
        <w:pStyle w:val="6"/>
        <w:spacing w:before="156" w:after="156"/>
      </w:pPr>
      <w:bookmarkStart w:id="168" w:name="_Toc76119876"/>
      <w:bookmarkStart w:id="169" w:name="_Toc32649"/>
      <w:bookmarkStart w:id="170" w:name="_Toc382319598"/>
      <w:bookmarkStart w:id="171" w:name="_Toc382319465"/>
      <w:bookmarkStart w:id="172" w:name="_Toc76119879"/>
      <w:r>
        <w:rPr>
          <w:rFonts w:hint="eastAsia"/>
        </w:rPr>
        <w:t>中毒窒息</w:t>
      </w:r>
      <w:bookmarkEnd w:id="168"/>
      <w:bookmarkEnd w:id="169"/>
    </w:p>
    <w:p>
      <w:pPr>
        <w:ind w:firstLine="560"/>
      </w:pPr>
      <w:r>
        <w:rPr>
          <w:rFonts w:hint="eastAsia"/>
          <w:lang w:val="zh-CN"/>
        </w:rPr>
        <w:t>本项目</w:t>
      </w:r>
      <w:r>
        <w:rPr>
          <w:rFonts w:hint="eastAsia"/>
        </w:rPr>
        <w:t>在电炉系统及烟气输送收集区域存在一氧化碳及二氧化碳等有害物质，有造成人员中毒和窒息的风险。在有限空间内进行检修或维护保养作业时，若不加强通风，或作业人员个体防护缺失等，或监护人员缺失，有可能发生中毒窒息事故。</w:t>
      </w:r>
    </w:p>
    <w:p>
      <w:pPr>
        <w:ind w:firstLine="560"/>
      </w:pPr>
      <w:r>
        <w:rPr>
          <w:rFonts w:hint="eastAsia"/>
        </w:rPr>
        <w:t>黑醇酸调和漆直接与皮肤接触，不适应者会出现皮肤发红，瘙痒等过敏性现象。长期接触低浓度汽油可出现记忆减退失眠、乏力、多汗等神经衰弱综合症等。</w:t>
      </w:r>
    </w:p>
    <w:p>
      <w:pPr>
        <w:ind w:firstLine="560"/>
      </w:pPr>
      <w:r>
        <w:rPr>
          <w:rFonts w:hint="eastAsia"/>
          <w:lang w:eastAsia="zh-CN"/>
        </w:rPr>
        <w:t>铁红油性防锈漆</w:t>
      </w:r>
      <w:r>
        <w:rPr>
          <w:rFonts w:hint="eastAsia"/>
        </w:rPr>
        <w:t>蒸气能刺激眼睛和黏膜，吸入产生眩晕、头痛、兴奋等症状。吸入高浓度蒸气能造成急性中毒。</w:t>
      </w:r>
    </w:p>
    <w:bookmarkEnd w:id="170"/>
    <w:bookmarkEnd w:id="171"/>
    <w:bookmarkEnd w:id="172"/>
    <w:p>
      <w:pPr>
        <w:pStyle w:val="6"/>
        <w:spacing w:before="156" w:after="156"/>
      </w:pPr>
      <w:bookmarkStart w:id="173" w:name="_Toc76119880"/>
      <w:bookmarkStart w:id="174" w:name="_Toc4636"/>
      <w:bookmarkStart w:id="175" w:name="_Toc276375189"/>
      <w:bookmarkStart w:id="176" w:name="_Toc24193747"/>
      <w:bookmarkStart w:id="177" w:name="_Toc46412618"/>
      <w:bookmarkStart w:id="178" w:name="_Toc76119888"/>
      <w:r>
        <w:rPr>
          <w:rFonts w:hint="eastAsia"/>
        </w:rPr>
        <w:t>其他伤害（粉尘危害</w:t>
      </w:r>
      <w:bookmarkEnd w:id="173"/>
      <w:r>
        <w:rPr>
          <w:rFonts w:hint="eastAsia"/>
        </w:rPr>
        <w:t>）</w:t>
      </w:r>
      <w:bookmarkEnd w:id="174"/>
    </w:p>
    <w:p>
      <w:pPr>
        <w:ind w:firstLine="560"/>
        <w:rPr>
          <w:lang w:val="en-GB"/>
        </w:rPr>
      </w:pPr>
      <w:r>
        <w:rPr>
          <w:rFonts w:hint="eastAsia"/>
        </w:rPr>
        <w:t>项目生产过程中会产生少量粉尘，如作业区未设置除尘设施、作业人员未佩戴口罩等情况，被人体吸入呼吸道的粉尘，绝大部分被吸入后又被呼出。在没有阻力的情况下，吸入的尘粒会经气管、主支气管、细支气管后，进入气体交换区域的呼吸性细支气管、肺泡管和肺泡，并在进入的过程中产生毒作用，影响气体交换功能。而实际上，可吸入性粉尘被吸入呼吸道后，主要通过撞击、重力沉积、弥散（又称布朗运动）、静电沉积、截留而沉降在呼吸道，只有极少部分粉尘能进入肺泡区。粉尘颗粒本身含有可溶性物质或在空气中吸附的其他有害物质，依据溶解性的不同，可溶解于呼吸道或肺泡内的黏液，被人体吸收而直接产生中毒。</w:t>
      </w:r>
    </w:p>
    <w:bookmarkEnd w:id="175"/>
    <w:bookmarkEnd w:id="176"/>
    <w:p>
      <w:pPr>
        <w:pStyle w:val="6"/>
        <w:spacing w:before="156" w:after="156"/>
      </w:pPr>
      <w:bookmarkStart w:id="179" w:name="_Toc29714"/>
      <w:r>
        <w:rPr>
          <w:rFonts w:hint="eastAsia"/>
        </w:rPr>
        <w:t>有限空间</w:t>
      </w:r>
      <w:bookmarkEnd w:id="179"/>
    </w:p>
    <w:p>
      <w:pPr>
        <w:ind w:firstLine="560"/>
      </w:pPr>
      <w:r>
        <w:rPr>
          <w:rFonts w:hint="eastAsia"/>
        </w:rPr>
        <w:t>有限空间是指封闭或部分封闭，进出口较为狭窄，未被设计为固定工作场所，自然通风不良，易造成有毒有害、易燃易爆物质积聚或氧含量不足的空间。</w:t>
      </w:r>
    </w:p>
    <w:p>
      <w:pPr>
        <w:numPr>
          <w:ilvl w:val="0"/>
          <w:numId w:val="45"/>
        </w:numPr>
        <w:ind w:firstLine="560"/>
      </w:pPr>
      <w:r>
        <w:rPr>
          <w:rFonts w:hint="eastAsia"/>
        </w:rPr>
        <w:t>进入之前未对有限空间的气体进行置换或是置换不完全，则会发生中毒、窒息等事故；</w:t>
      </w:r>
    </w:p>
    <w:p>
      <w:pPr>
        <w:numPr>
          <w:ilvl w:val="0"/>
          <w:numId w:val="45"/>
        </w:numPr>
        <w:ind w:firstLine="560"/>
      </w:pPr>
      <w:r>
        <w:rPr>
          <w:rFonts w:hint="eastAsia"/>
        </w:rPr>
        <w:t>未对作业危险性进行充分分析，未制定相应应急救援预案，未配备应急救援物资，未经过办证审批；</w:t>
      </w:r>
    </w:p>
    <w:p>
      <w:pPr>
        <w:numPr>
          <w:ilvl w:val="0"/>
          <w:numId w:val="45"/>
        </w:numPr>
        <w:ind w:firstLine="560"/>
      </w:pPr>
      <w:r>
        <w:rPr>
          <w:rFonts w:hint="eastAsia"/>
        </w:rPr>
        <w:t>进入有限空间前未打开人孔等进行通风，或通风时间不足；</w:t>
      </w:r>
    </w:p>
    <w:p>
      <w:pPr>
        <w:numPr>
          <w:ilvl w:val="0"/>
          <w:numId w:val="45"/>
        </w:numPr>
        <w:ind w:firstLine="560"/>
      </w:pPr>
      <w:r>
        <w:rPr>
          <w:rFonts w:hint="eastAsia"/>
        </w:rPr>
        <w:t>未对有限空间内气体采样分析或分析时间超过规定分析间隔时间；</w:t>
      </w:r>
    </w:p>
    <w:p>
      <w:pPr>
        <w:numPr>
          <w:ilvl w:val="0"/>
          <w:numId w:val="45"/>
        </w:numPr>
        <w:ind w:firstLine="560"/>
      </w:pPr>
      <w:r>
        <w:rPr>
          <w:rFonts w:hint="eastAsia"/>
        </w:rPr>
        <w:t>进入人员未佩戴空气呼吸器等劳动保护用品；</w:t>
      </w:r>
    </w:p>
    <w:p>
      <w:pPr>
        <w:numPr>
          <w:ilvl w:val="0"/>
          <w:numId w:val="45"/>
        </w:numPr>
        <w:ind w:firstLine="560"/>
      </w:pPr>
      <w:r>
        <w:rPr>
          <w:rFonts w:hint="eastAsia"/>
        </w:rPr>
        <w:t>有限空间照明电压过高，未使用安全电压，引起人员触电；</w:t>
      </w:r>
    </w:p>
    <w:p>
      <w:pPr>
        <w:numPr>
          <w:ilvl w:val="0"/>
          <w:numId w:val="45"/>
        </w:numPr>
        <w:ind w:firstLine="560"/>
      </w:pPr>
      <w:r>
        <w:rPr>
          <w:rFonts w:hint="eastAsia"/>
        </w:rPr>
        <w:t>使用手持电动工具或进行电焊作业时，未设漏电保护装置；</w:t>
      </w:r>
    </w:p>
    <w:p>
      <w:pPr>
        <w:numPr>
          <w:ilvl w:val="0"/>
          <w:numId w:val="45"/>
        </w:numPr>
        <w:ind w:firstLine="560"/>
      </w:pPr>
      <w:r>
        <w:rPr>
          <w:rFonts w:hint="eastAsia"/>
        </w:rPr>
        <w:t>人员站在潮湿环境内进行手持电动工具作业或电焊作业；</w:t>
      </w:r>
    </w:p>
    <w:p>
      <w:pPr>
        <w:numPr>
          <w:ilvl w:val="0"/>
          <w:numId w:val="45"/>
        </w:numPr>
        <w:ind w:firstLine="560"/>
      </w:pPr>
      <w:r>
        <w:rPr>
          <w:rFonts w:hint="eastAsia"/>
        </w:rPr>
        <w:t>未设监护人员或监护人员脱岗，监护人员未配备与作业人员联络工具；</w:t>
      </w:r>
    </w:p>
    <w:p>
      <w:pPr>
        <w:numPr>
          <w:ilvl w:val="0"/>
          <w:numId w:val="45"/>
        </w:numPr>
        <w:ind w:firstLine="560"/>
      </w:pPr>
      <w:r>
        <w:rPr>
          <w:rFonts w:hint="eastAsia"/>
        </w:rPr>
        <w:t>进入有限空间作业时，未遵循先通风、后检测（尽量做到持续监测）、再作业的原则；</w:t>
      </w:r>
    </w:p>
    <w:p>
      <w:pPr>
        <w:numPr>
          <w:ilvl w:val="0"/>
          <w:numId w:val="45"/>
        </w:numPr>
        <w:ind w:firstLine="560"/>
      </w:pPr>
      <w:r>
        <w:rPr>
          <w:rFonts w:hint="eastAsia"/>
        </w:rPr>
        <w:t>人员违章作业；</w:t>
      </w:r>
    </w:p>
    <w:p>
      <w:pPr>
        <w:numPr>
          <w:ilvl w:val="0"/>
          <w:numId w:val="45"/>
        </w:numPr>
        <w:ind w:firstLine="560"/>
      </w:pPr>
      <w:r>
        <w:rPr>
          <w:rFonts w:hint="eastAsia"/>
        </w:rPr>
        <w:t>未设置有限空间安全告知牌，或者设置不规范，有限空间辨识不全、有限空间未实施安全风险分级管控、未对有限空间区域加强安全管理，定期进行专项应急演练。</w:t>
      </w:r>
    </w:p>
    <w:p>
      <w:pPr>
        <w:pStyle w:val="2"/>
        <w:ind w:firstLine="560"/>
      </w:pPr>
      <w:r>
        <w:rPr>
          <w:rFonts w:hint="eastAsia"/>
          <w:szCs w:val="28"/>
          <w:shd w:val="clear" w:color="auto" w:fill="FFFFFF"/>
        </w:rPr>
        <w:t>根据应急管理部办公厅关于印发《有限空间作业安全指导手册》和4个专题系列折页的通知（应急厅函〔2020〕299号）本项目涉及的主要有限空间主要是除尘器料仓、抛丸机料斗。</w:t>
      </w:r>
    </w:p>
    <w:p>
      <w:pPr>
        <w:pStyle w:val="5"/>
        <w:spacing w:before="156" w:after="156"/>
      </w:pPr>
      <w:bookmarkStart w:id="180" w:name="_Toc30034"/>
      <w:r>
        <w:rPr>
          <w:rFonts w:hint="eastAsia"/>
        </w:rPr>
        <w:t>主要物料危险、有害因素分析</w:t>
      </w:r>
      <w:bookmarkEnd w:id="180"/>
    </w:p>
    <w:p>
      <w:pPr>
        <w:ind w:firstLine="560"/>
      </w:pPr>
      <w:r>
        <w:rPr>
          <w:rFonts w:hint="eastAsia"/>
        </w:rPr>
        <w:t>项目生产过程中涉及的原辅材料主要为：生铁、回炉铁、铁屑、废钢、硅铁、锰铁、增碳剂、筑炉石英砂、白砂、水洗砂、膨润土、煤粉、树脂、黑醇酸调和漆、静电粉末涂料、</w:t>
      </w:r>
      <w:r>
        <w:rPr>
          <w:rFonts w:hint="eastAsia"/>
          <w:lang w:eastAsia="zh-CN"/>
        </w:rPr>
        <w:t>铁红油性防锈漆</w:t>
      </w:r>
      <w:r>
        <w:rPr>
          <w:rFonts w:hint="eastAsia"/>
        </w:rPr>
        <w:t>、</w:t>
      </w:r>
      <w:r>
        <w:rPr>
          <w:rFonts w:hint="eastAsia" w:ascii="宋体" w:hAnsi="宋体"/>
          <w:szCs w:val="28"/>
        </w:rPr>
        <w:t>一氧化碳（尾气）</w:t>
      </w:r>
      <w:r>
        <w:rPr>
          <w:rFonts w:hint="eastAsia"/>
        </w:rPr>
        <w:t>等。</w:t>
      </w:r>
    </w:p>
    <w:p>
      <w:pPr>
        <w:pStyle w:val="6"/>
        <w:spacing w:before="156" w:after="156"/>
      </w:pPr>
      <w:bookmarkStart w:id="181" w:name="_Toc382319453"/>
      <w:bookmarkStart w:id="182" w:name="_Toc276375172"/>
      <w:bookmarkStart w:id="183" w:name="_Toc24193730"/>
      <w:bookmarkStart w:id="184" w:name="_Toc76119862"/>
      <w:bookmarkStart w:id="185" w:name="_Toc382319586"/>
      <w:bookmarkStart w:id="186" w:name="_Toc26314"/>
      <w:bookmarkStart w:id="187" w:name="_Toc24474"/>
      <w:r>
        <w:rPr>
          <w:rFonts w:hint="eastAsia"/>
        </w:rPr>
        <w:t>项目涉及的危险化学品特性</w:t>
      </w:r>
      <w:bookmarkEnd w:id="181"/>
      <w:bookmarkEnd w:id="182"/>
      <w:bookmarkEnd w:id="183"/>
      <w:bookmarkEnd w:id="184"/>
      <w:bookmarkEnd w:id="185"/>
      <w:bookmarkEnd w:id="186"/>
      <w:bookmarkEnd w:id="187"/>
      <w:bookmarkStart w:id="188" w:name="_Toc388278059"/>
    </w:p>
    <w:p>
      <w:pPr>
        <w:ind w:firstLine="560"/>
      </w:pPr>
      <w:r>
        <w:rPr>
          <w:rFonts w:hint="eastAsia"/>
        </w:rPr>
        <w:t>依据《危险化学品目录（2015版）实施指南（试行）》，该公司的原辅材料中黑醇酸调和漆、</w:t>
      </w:r>
      <w:r>
        <w:rPr>
          <w:rFonts w:hint="eastAsia"/>
          <w:lang w:eastAsia="zh-CN"/>
        </w:rPr>
        <w:t>铁红油性防锈漆</w:t>
      </w:r>
      <w:r>
        <w:rPr>
          <w:rFonts w:hint="eastAsia"/>
        </w:rPr>
        <w:t>属于危险化学品。</w:t>
      </w:r>
    </w:p>
    <w:p>
      <w:pPr>
        <w:ind w:firstLine="560"/>
      </w:pPr>
      <w:r>
        <w:rPr>
          <w:rFonts w:hint="eastAsia"/>
        </w:rPr>
        <w:t>该公司的生产检维修使用到乙炔和氧气用于工业气割作业。依据《国家安全监管总局办公厅关于印发危险化学品目录（2015版）实施指南（试行）的通知》，乙炔、氧气、</w:t>
      </w:r>
      <w:r>
        <w:rPr>
          <w:rFonts w:hint="eastAsia"/>
          <w:lang w:val="en-US" w:eastAsia="zh-CN"/>
        </w:rPr>
        <w:t>柴油</w:t>
      </w:r>
      <w:r>
        <w:rPr>
          <w:rFonts w:hint="eastAsia"/>
        </w:rPr>
        <w:t>属于危险化学品。</w:t>
      </w:r>
    </w:p>
    <w:p>
      <w:pPr>
        <w:ind w:firstLine="560"/>
      </w:pPr>
      <w:r>
        <w:rPr>
          <w:rFonts w:hint="eastAsia"/>
        </w:rPr>
        <w:t>此外，该公司</w:t>
      </w:r>
      <w:r>
        <w:t>使用压缩空气，压缩空气不属于危险化学品</w:t>
      </w:r>
      <w:r>
        <w:rPr>
          <w:rFonts w:hint="eastAsia"/>
        </w:rPr>
        <w:t>。</w:t>
      </w:r>
    </w:p>
    <w:bookmarkEnd w:id="188"/>
    <w:p>
      <w:pPr>
        <w:pStyle w:val="6"/>
        <w:spacing w:before="156" w:after="156"/>
      </w:pPr>
      <w:bookmarkStart w:id="189" w:name="_Toc27735"/>
      <w:bookmarkStart w:id="190" w:name="_Toc76119863"/>
      <w:r>
        <w:rPr>
          <w:rFonts w:hint="eastAsia"/>
        </w:rPr>
        <w:t>涉及的危险化学品有害因素分析</w:t>
      </w:r>
      <w:bookmarkEnd w:id="189"/>
      <w:r>
        <w:rPr>
          <w:rFonts w:hint="eastAsia"/>
        </w:rPr>
        <w:tab/>
      </w:r>
    </w:p>
    <w:p>
      <w:pPr>
        <w:pStyle w:val="7"/>
        <w:spacing w:before="156" w:after="156"/>
      </w:pPr>
      <w:bookmarkStart w:id="191" w:name="_Toc347574529"/>
      <w:r>
        <w:rPr>
          <w:rFonts w:hint="eastAsia"/>
        </w:rPr>
        <w:t>氧气的危险性分析</w:t>
      </w:r>
    </w:p>
    <w:p>
      <w:pPr>
        <w:ind w:firstLine="560"/>
      </w:pPr>
      <w:r>
        <w:rPr>
          <w:rFonts w:hint="eastAsia"/>
        </w:rPr>
        <w:t>常压下，当氧的浓度超过40％时，有可能发生氧中毒。吸入40％～60％的氧时，出现胸骨后不适感、轻咳，进而胸闷、胸骨后烧灼感和呼吸困难，咳嗽加剧；严重时可发生肺水肿，甚至出现呼吸窘迫综合症。吸入氧浓度在80％以上时，出现面部肌肉抽动、面色苍白、眩晕、心动过速、虚脱，继而全身抽搐、昏迷、呼吸衰竭而死亡。长期处于氧分压为60-100kPa（相当于吸入氧浓度40％左右）的条件下可发生眼损害，严重者可失明。</w:t>
      </w:r>
    </w:p>
    <w:p>
      <w:pPr>
        <w:ind w:firstLine="560"/>
      </w:pPr>
      <w:r>
        <w:rPr>
          <w:rFonts w:hint="eastAsia"/>
        </w:rPr>
        <w:t>氧气是易燃物、可燃物燃烧爆炸的基本要素之一，能氧化大多数活性物质。与易燃物（如乙炔、甲烷等）形成有爆炸性的混合物。</w:t>
      </w:r>
    </w:p>
    <w:p>
      <w:pPr>
        <w:pStyle w:val="7"/>
        <w:spacing w:before="156" w:after="156"/>
      </w:pPr>
      <w:r>
        <w:rPr>
          <w:rFonts w:hint="eastAsia"/>
        </w:rPr>
        <w:t>乙炔的危险性分析</w:t>
      </w:r>
    </w:p>
    <w:bookmarkEnd w:id="191"/>
    <w:p>
      <w:pPr>
        <w:ind w:firstLine="560"/>
      </w:pPr>
      <w:r>
        <w:rPr>
          <w:rFonts w:hint="eastAsia"/>
        </w:rPr>
        <w:t>高浓度乙炔吸入可引起单纯窒息。暴露于20%浓度时，出现明显缺氧症状；吸入高浓度，初期兴奋、多语、哭笑不安，后出现眩晕、头痛、恶心、呕吐、共济失调、嗜睡；严重者昏迷、紫绀、瞳孔对光反应消失、脉弱而不齐。当混有磷化氢时，毒性增大。</w:t>
      </w:r>
    </w:p>
    <w:p>
      <w:pPr>
        <w:ind w:firstLine="560"/>
      </w:pPr>
      <w:r>
        <w:rPr>
          <w:rFonts w:hint="eastAsia"/>
        </w:rPr>
        <w:t>乙炔极易燃烧爆炸，与空气混合能形成爆炸性混合物。遇明火、高热能引起燃烧爆炸。与氧化剂接触会猛烈反应。与氟、氯等接触会发生剧烈的化学反应。能与铜、银、汞等的化合物生成爆炸性物质。</w:t>
      </w:r>
    </w:p>
    <w:p>
      <w:pPr>
        <w:pStyle w:val="7"/>
        <w:spacing w:before="156" w:after="156"/>
        <w:rPr>
          <w:rFonts w:hint="eastAsia"/>
          <w:lang w:val="en-US" w:eastAsia="zh-CN"/>
        </w:rPr>
      </w:pPr>
      <w:r>
        <w:rPr>
          <w:rFonts w:hint="eastAsia"/>
          <w:lang w:val="en-US" w:eastAsia="zh-CN"/>
        </w:rPr>
        <w:t>柴油的危险性分析</w:t>
      </w:r>
    </w:p>
    <w:p>
      <w:pPr>
        <w:rPr>
          <w:rFonts w:hint="eastAsia"/>
          <w:lang w:val="en-US" w:eastAsia="zh-CN"/>
        </w:rPr>
      </w:pPr>
      <w:r>
        <w:rPr>
          <w:rFonts w:hint="eastAsia"/>
          <w:lang w:val="en-US" w:eastAsia="zh-CN"/>
        </w:rPr>
        <w:t>皮肤接触柴油可引起接触性皮炎、油性痤疮；吸入可引起吸入性肺炎，能经胎盘进入胎儿血中。柴油废气可引起眼、鼻刺激症状、头昏及头痛。遇明火、高热或与氧化剂接触有可能引起燃烧爆炸的危险。若遇高热，容器内压增大，有开裂和爆炸的危险。</w:t>
      </w:r>
    </w:p>
    <w:p>
      <w:pPr>
        <w:pStyle w:val="7"/>
        <w:spacing w:before="156" w:after="156"/>
      </w:pPr>
      <w:r>
        <w:rPr>
          <w:rFonts w:hint="eastAsia"/>
        </w:rPr>
        <w:t>黑醇酸调和漆的危险性分析</w:t>
      </w:r>
    </w:p>
    <w:p>
      <w:pPr>
        <w:ind w:firstLine="560"/>
      </w:pPr>
      <w:r>
        <w:rPr>
          <w:rFonts w:hint="eastAsia"/>
        </w:rPr>
        <w:t>黑醇酸调和漆的闪点为33℃，属乙类易燃易爆介质。与空气混合能形成爆炸性混合物，遇明火、高热极易燃烧爆炸。健康危害：直接与皮肤接触，不适应者会出现皮肤发红，瘙痒等过敏性现象。亚急性和慢性毒性：长期接触低浓度汽油可出现记忆减退失眠、乏力、多汗等神经衰弱综合症等。环境危害：本品涂刷会散发出油气，注意通风。燃爆危险：其蒸汽与空气可形成爆炸性混合物。</w:t>
      </w:r>
    </w:p>
    <w:p>
      <w:pPr>
        <w:pStyle w:val="7"/>
        <w:spacing w:before="156" w:after="156"/>
      </w:pPr>
      <w:r>
        <w:rPr>
          <w:rFonts w:hint="eastAsia"/>
          <w:lang w:eastAsia="zh-CN"/>
        </w:rPr>
        <w:t>铁红油性防锈漆</w:t>
      </w:r>
      <w:r>
        <w:rPr>
          <w:rFonts w:hint="eastAsia"/>
        </w:rPr>
        <w:t>的危险性分析</w:t>
      </w:r>
    </w:p>
    <w:p>
      <w:pPr>
        <w:ind w:firstLine="560"/>
        <w:rPr>
          <w:rFonts w:ascii="宋体" w:hAnsi="宋体" w:cs="宋体"/>
          <w:szCs w:val="28"/>
        </w:rPr>
      </w:pPr>
      <w:r>
        <w:rPr>
          <w:rFonts w:hint="eastAsia"/>
          <w:lang w:eastAsia="zh-CN"/>
        </w:rPr>
        <w:t>铁红油性防锈漆</w:t>
      </w:r>
      <w:r>
        <w:rPr>
          <w:rFonts w:hint="eastAsia"/>
        </w:rPr>
        <w:t>的闪点为34℃，属乙类易燃易爆介质。与空气混合能形成爆炸性混合物，遇明火、高热极易燃烧爆炸。健康危害：蒸气能刺激眼睛和黏膜。吸入产生眩晕、头痛、兴奋等症状。吸入高浓度蒸气能造成急性中毒。环境危害：对环境有危害，对大气可造成污染。</w:t>
      </w:r>
    </w:p>
    <w:p>
      <w:pPr>
        <w:pStyle w:val="7"/>
        <w:spacing w:before="156" w:after="156"/>
      </w:pPr>
      <w:r>
        <w:rPr>
          <w:rFonts w:hint="eastAsia"/>
        </w:rPr>
        <w:t>高温熔铁的危险性分析</w:t>
      </w:r>
    </w:p>
    <w:p>
      <w:pPr>
        <w:ind w:firstLine="560"/>
      </w:pPr>
      <w:r>
        <w:rPr>
          <w:rFonts w:hint="eastAsia"/>
        </w:rPr>
        <w:t>本项目熔炼产生的铁水温度在1250</w:t>
      </w:r>
      <w:r>
        <w:rPr>
          <w:rFonts w:cs="Times New Roman"/>
        </w:rPr>
        <w:t>~</w:t>
      </w:r>
      <w:r>
        <w:rPr>
          <w:rFonts w:hint="eastAsia"/>
        </w:rPr>
        <w:t>1670℃，具有很强的热辐射。熔炼的过程中碳氧反应不均衡产生大量的二氧化碳气体，有可能发生爆炸性喷溅。高温铁水及熔渣遇水，水被加热汽化，产生铁水和熔渣喷溅与爆炸，除了可能直接对人员造成灼烫伤害外，还潜藏着发生爆炸的严重危害，有可能诱发其他二次伤害或事故。</w:t>
      </w:r>
    </w:p>
    <w:p>
      <w:pPr>
        <w:pStyle w:val="7"/>
        <w:spacing w:before="156" w:after="156"/>
      </w:pPr>
      <w:r>
        <w:rPr>
          <w:rFonts w:hint="eastAsia"/>
          <w:lang w:val="en-US" w:eastAsia="zh-CN"/>
        </w:rPr>
        <w:t>静电</w:t>
      </w:r>
      <w:r>
        <w:rPr>
          <w:rFonts w:hint="eastAsia"/>
        </w:rPr>
        <w:t>粉末涂料的危险性分析</w:t>
      </w:r>
    </w:p>
    <w:p>
      <w:pPr>
        <w:ind w:firstLine="560"/>
      </w:pPr>
      <w:r>
        <w:rPr>
          <w:rFonts w:hint="eastAsia"/>
        </w:rPr>
        <w:t>本项目金属构件喷塑使用静电粉末涂料，静电粉末涂料主要是由树脂、固化剂、颜料、填充料、助剂等混合而成的固体粉末。树脂是主要的成膜物质，决定了其性能。静电粉末涂料属丙类可燃性粉尘，根据生产厂家提供的产品可用数据，无已知有害属性。在正常状态下储存与使用不会发生危险化学反应。静电粉末涂料使用过程中细小的粉雾可能与空气形成爆炸性混合物，操作</w:t>
      </w:r>
      <w:r>
        <w:rPr>
          <w:rFonts w:hint="eastAsia"/>
          <w:lang w:eastAsia="zh-CN"/>
        </w:rPr>
        <w:t>和</w:t>
      </w:r>
      <w:r>
        <w:rPr>
          <w:rFonts w:hint="eastAsia"/>
        </w:rPr>
        <w:t>处理此物质可能产生能够导致眼睛，皮肤，鼻腔和喉部机械刺激的粉尘。静电粉末涂料在同时满足5个条件（即可燃粉尘，助燃物，具有一定能量的点火源，空间相对密闭，以及粉尘呈悬浮状态）时会发生粉尘爆炸。</w:t>
      </w:r>
    </w:p>
    <w:p>
      <w:pPr>
        <w:pStyle w:val="6"/>
        <w:spacing w:before="156" w:after="156"/>
        <w:rPr>
          <w:rFonts w:hint="eastAsia" w:ascii="Times New Roman" w:hAnsi="Times New Roman" w:eastAsia="宋体" w:cs="Times New Roman"/>
          <w:b/>
          <w:bCs/>
          <w:kern w:val="2"/>
          <w:sz w:val="30"/>
          <w:szCs w:val="32"/>
          <w:lang w:val="en-US" w:eastAsia="zh-CN" w:bidi="ar-SA"/>
        </w:rPr>
      </w:pPr>
      <w:bookmarkStart w:id="192" w:name="_Toc25176"/>
      <w:r>
        <w:rPr>
          <w:rFonts w:hint="eastAsia" w:cs="Times New Roman"/>
          <w:b/>
          <w:bCs/>
          <w:kern w:val="2"/>
          <w:sz w:val="30"/>
          <w:szCs w:val="32"/>
          <w:lang w:val="en-US" w:eastAsia="zh-CN" w:bidi="ar-SA"/>
        </w:rPr>
        <w:t>危险化学品的理化特性</w:t>
      </w:r>
      <w:bookmarkEnd w:id="192"/>
    </w:p>
    <w:p>
      <w:pPr>
        <w:pStyle w:val="7"/>
        <w:bidi w:val="0"/>
        <w:rPr>
          <w:rFonts w:hint="eastAsia" w:eastAsia="宋体"/>
          <w:lang w:val="en-US" w:eastAsia="zh-CN"/>
        </w:rPr>
      </w:pPr>
      <w:r>
        <w:rPr>
          <w:rFonts w:hint="eastAsia" w:eastAsia="宋体"/>
          <w:lang w:val="en-US" w:eastAsia="zh-CN"/>
        </w:rPr>
        <w:t>氧气理化特性</w:t>
      </w:r>
    </w:p>
    <w:p>
      <w:pPr>
        <w:keepNext w:val="0"/>
        <w:keepLines w:val="0"/>
        <w:pageBreakBefore w:val="0"/>
        <w:widowControl w:val="0"/>
        <w:kinsoku/>
        <w:wordWrap/>
        <w:bidi w:val="0"/>
        <w:spacing w:before="50" w:beforeLines="50" w:line="240" w:lineRule="auto"/>
        <w:ind w:firstLine="0" w:firstLineChars="0"/>
        <w:jc w:val="center"/>
        <w:rPr>
          <w:rFonts w:hint="default" w:ascii="宋体" w:hAnsi="宋体" w:eastAsia="宋体" w:cs="宋体"/>
          <w:b/>
          <w:kern w:val="2"/>
          <w:sz w:val="24"/>
          <w:szCs w:val="28"/>
          <w:lang w:val="en-US" w:eastAsia="zh-CN" w:bidi="ar-SA"/>
        </w:rPr>
      </w:pPr>
      <w:r>
        <w:rPr>
          <w:rFonts w:hint="eastAsia" w:ascii="宋体" w:hAnsi="宋体" w:eastAsia="宋体" w:cs="宋体"/>
          <w:b/>
          <w:kern w:val="2"/>
          <w:sz w:val="24"/>
          <w:szCs w:val="28"/>
          <w:lang w:val="en-US" w:eastAsia="zh-CN" w:bidi="ar-SA"/>
        </w:rPr>
        <w:t xml:space="preserve">表 </w:t>
      </w:r>
      <w:r>
        <w:rPr>
          <w:rFonts w:hint="eastAsia" w:ascii="宋体" w:hAnsi="宋体" w:eastAsia="宋体" w:cs="宋体"/>
          <w:b/>
          <w:kern w:val="2"/>
          <w:sz w:val="24"/>
          <w:szCs w:val="28"/>
          <w:lang w:val="en-US" w:eastAsia="zh-CN" w:bidi="ar-SA"/>
        </w:rPr>
        <w:fldChar w:fldCharType="begin"/>
      </w:r>
      <w:r>
        <w:rPr>
          <w:rFonts w:hint="eastAsia" w:ascii="宋体" w:hAnsi="宋体" w:eastAsia="宋体" w:cs="宋体"/>
          <w:b/>
          <w:kern w:val="2"/>
          <w:sz w:val="24"/>
          <w:szCs w:val="28"/>
          <w:lang w:val="en-US" w:eastAsia="zh-CN" w:bidi="ar-SA"/>
        </w:rPr>
        <w:instrText xml:space="preserve"> STYLEREF 1 \s </w:instrText>
      </w:r>
      <w:r>
        <w:rPr>
          <w:rFonts w:hint="eastAsia" w:ascii="宋体" w:hAnsi="宋体" w:eastAsia="宋体" w:cs="宋体"/>
          <w:b/>
          <w:kern w:val="2"/>
          <w:sz w:val="24"/>
          <w:szCs w:val="28"/>
          <w:lang w:val="en-US" w:eastAsia="zh-CN" w:bidi="ar-SA"/>
        </w:rPr>
        <w:fldChar w:fldCharType="separate"/>
      </w:r>
      <w:r>
        <w:rPr>
          <w:rFonts w:hint="eastAsia" w:ascii="宋体" w:hAnsi="宋体" w:eastAsia="宋体" w:cs="宋体"/>
          <w:b/>
          <w:kern w:val="2"/>
          <w:sz w:val="24"/>
          <w:szCs w:val="28"/>
          <w:lang w:val="en-US" w:eastAsia="zh-CN" w:bidi="ar-SA"/>
        </w:rPr>
        <w:t>3</w:t>
      </w:r>
      <w:r>
        <w:rPr>
          <w:rFonts w:hint="eastAsia" w:ascii="宋体" w:hAnsi="宋体" w:eastAsia="宋体" w:cs="宋体"/>
          <w:b/>
          <w:kern w:val="2"/>
          <w:sz w:val="24"/>
          <w:szCs w:val="28"/>
          <w:lang w:val="en-US" w:eastAsia="zh-CN" w:bidi="ar-SA"/>
        </w:rPr>
        <w:fldChar w:fldCharType="end"/>
      </w:r>
      <w:r>
        <w:rPr>
          <w:rFonts w:hint="eastAsia" w:ascii="宋体" w:hAnsi="宋体" w:eastAsia="宋体" w:cs="宋体"/>
          <w:b/>
          <w:kern w:val="2"/>
          <w:sz w:val="24"/>
          <w:szCs w:val="28"/>
          <w:lang w:val="en-US" w:eastAsia="zh-CN" w:bidi="ar-SA"/>
        </w:rPr>
        <w:t>-</w:t>
      </w:r>
      <w:r>
        <w:rPr>
          <w:rFonts w:hint="eastAsia" w:ascii="宋体" w:hAnsi="宋体" w:eastAsia="宋体" w:cs="宋体"/>
          <w:b/>
          <w:kern w:val="2"/>
          <w:sz w:val="24"/>
          <w:szCs w:val="28"/>
          <w:lang w:val="en-US" w:eastAsia="zh-CN" w:bidi="ar-SA"/>
        </w:rPr>
        <w:fldChar w:fldCharType="begin"/>
      </w:r>
      <w:r>
        <w:rPr>
          <w:rFonts w:hint="eastAsia" w:ascii="宋体" w:hAnsi="宋体" w:eastAsia="宋体" w:cs="宋体"/>
          <w:b/>
          <w:kern w:val="2"/>
          <w:sz w:val="24"/>
          <w:szCs w:val="28"/>
          <w:lang w:val="en-US" w:eastAsia="zh-CN" w:bidi="ar-SA"/>
        </w:rPr>
        <w:instrText xml:space="preserve"> SEQ 表 \* ARABIC \s 1 </w:instrText>
      </w:r>
      <w:r>
        <w:rPr>
          <w:rFonts w:hint="eastAsia" w:ascii="宋体" w:hAnsi="宋体" w:eastAsia="宋体" w:cs="宋体"/>
          <w:b/>
          <w:kern w:val="2"/>
          <w:sz w:val="24"/>
          <w:szCs w:val="28"/>
          <w:lang w:val="en-US" w:eastAsia="zh-CN" w:bidi="ar-SA"/>
        </w:rPr>
        <w:fldChar w:fldCharType="separate"/>
      </w:r>
      <w:r>
        <w:rPr>
          <w:rFonts w:hint="eastAsia" w:ascii="宋体" w:hAnsi="宋体" w:eastAsia="宋体" w:cs="宋体"/>
          <w:b/>
          <w:kern w:val="2"/>
          <w:sz w:val="24"/>
          <w:szCs w:val="28"/>
          <w:lang w:val="en-US" w:eastAsia="zh-CN" w:bidi="ar-SA"/>
        </w:rPr>
        <w:t>1</w:t>
      </w:r>
      <w:r>
        <w:rPr>
          <w:rFonts w:hint="eastAsia" w:ascii="宋体" w:hAnsi="宋体" w:eastAsia="宋体" w:cs="宋体"/>
          <w:b/>
          <w:kern w:val="2"/>
          <w:sz w:val="24"/>
          <w:szCs w:val="28"/>
          <w:lang w:val="en-US" w:eastAsia="zh-CN" w:bidi="ar-SA"/>
        </w:rPr>
        <w:fldChar w:fldCharType="end"/>
      </w:r>
      <w:r>
        <w:rPr>
          <w:rFonts w:hint="eastAsia" w:ascii="宋体" w:hAnsi="宋体" w:eastAsia="宋体" w:cs="宋体"/>
          <w:b/>
          <w:kern w:val="2"/>
          <w:sz w:val="24"/>
          <w:szCs w:val="28"/>
          <w:lang w:val="en-US" w:eastAsia="zh-CN" w:bidi="ar-SA"/>
        </w:rPr>
        <w:t>氧气理化特性表</w:t>
      </w:r>
    </w:p>
    <w:tbl>
      <w:tblPr>
        <w:tblStyle w:val="29"/>
        <w:tblW w:w="4998"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57"/>
        <w:gridCol w:w="1772"/>
        <w:gridCol w:w="1896"/>
        <w:gridCol w:w="2205"/>
        <w:gridCol w:w="218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247" w:type="pct"/>
            <w:vMerge w:val="restart"/>
            <w:noWrap w:val="0"/>
            <w:vAlign w:val="center"/>
          </w:tcPr>
          <w:p>
            <w:pPr>
              <w:keepNext w:val="0"/>
              <w:keepLines w:val="0"/>
              <w:pageBreakBefore w:val="0"/>
              <w:widowControl w:val="0"/>
              <w:kinsoku/>
              <w:wordWrap/>
              <w:bidi w:val="0"/>
              <w:adjustRightInd w:val="0"/>
              <w:snapToGrid w:val="0"/>
              <w:spacing w:line="240" w:lineRule="auto"/>
              <w:ind w:firstLine="0" w:firstLineChars="0"/>
              <w:jc w:val="center"/>
              <w:rPr>
                <w:rFonts w:hint="eastAsia" w:ascii="宋体" w:hAnsi="宋体" w:eastAsia="宋体" w:cs="宋体"/>
                <w:b/>
                <w:bCs w:val="0"/>
                <w:kern w:val="2"/>
                <w:sz w:val="24"/>
                <w:szCs w:val="24"/>
                <w:lang w:val="en-US" w:eastAsia="zh-CN" w:bidi="ar-SA"/>
              </w:rPr>
            </w:pPr>
            <w:r>
              <w:rPr>
                <w:rFonts w:hint="eastAsia" w:ascii="宋体" w:hAnsi="宋体" w:eastAsia="宋体" w:cs="宋体"/>
                <w:b/>
                <w:bCs w:val="0"/>
                <w:kern w:val="2"/>
                <w:sz w:val="24"/>
                <w:szCs w:val="24"/>
                <w:lang w:val="en-US" w:eastAsia="zh-CN" w:bidi="ar-SA"/>
              </w:rPr>
              <w:t>标识</w:t>
            </w:r>
          </w:p>
        </w:tc>
        <w:tc>
          <w:tcPr>
            <w:tcW w:w="2163" w:type="pct"/>
            <w:gridSpan w:val="2"/>
            <w:noWrap w:val="0"/>
            <w:vAlign w:val="top"/>
          </w:tcPr>
          <w:p>
            <w:pPr>
              <w:keepNext w:val="0"/>
              <w:keepLines w:val="0"/>
              <w:pageBreakBefore w:val="0"/>
              <w:widowControl w:val="0"/>
              <w:kinsoku/>
              <w:wordWrap/>
              <w:bidi w:val="0"/>
              <w:adjustRightInd w:val="0"/>
              <w:snapToGrid w:val="0"/>
              <w:spacing w:line="240" w:lineRule="auto"/>
              <w:ind w:firstLine="0" w:firstLineChars="0"/>
              <w:jc w:val="left"/>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中文名：氧；氧气</w:t>
            </w:r>
          </w:p>
        </w:tc>
        <w:tc>
          <w:tcPr>
            <w:tcW w:w="2588" w:type="pct"/>
            <w:gridSpan w:val="2"/>
            <w:noWrap w:val="0"/>
            <w:vAlign w:val="top"/>
          </w:tcPr>
          <w:p>
            <w:pPr>
              <w:keepNext w:val="0"/>
              <w:keepLines w:val="0"/>
              <w:pageBreakBefore w:val="0"/>
              <w:widowControl w:val="0"/>
              <w:kinsoku/>
              <w:wordWrap/>
              <w:bidi w:val="0"/>
              <w:adjustRightInd w:val="0"/>
              <w:snapToGrid w:val="0"/>
              <w:spacing w:line="240" w:lineRule="auto"/>
              <w:ind w:firstLine="0" w:firstLineChars="0"/>
              <w:jc w:val="left"/>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英文名： oxygen</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9" w:hRule="atLeast"/>
          <w:jc w:val="center"/>
        </w:trPr>
        <w:tc>
          <w:tcPr>
            <w:tcW w:w="247" w:type="pct"/>
            <w:vMerge w:val="continue"/>
            <w:noWrap w:val="0"/>
            <w:vAlign w:val="center"/>
          </w:tcPr>
          <w:p>
            <w:pPr>
              <w:keepNext w:val="0"/>
              <w:keepLines w:val="0"/>
              <w:pageBreakBefore w:val="0"/>
              <w:widowControl w:val="0"/>
              <w:kinsoku/>
              <w:wordWrap/>
              <w:bidi w:val="0"/>
              <w:adjustRightInd w:val="0"/>
              <w:snapToGrid w:val="0"/>
              <w:spacing w:line="240" w:lineRule="auto"/>
              <w:ind w:firstLine="0" w:firstLineChars="0"/>
              <w:jc w:val="center"/>
              <w:rPr>
                <w:rFonts w:hint="eastAsia" w:ascii="宋体" w:hAnsi="宋体" w:eastAsia="宋体" w:cs="宋体"/>
                <w:b/>
                <w:bCs w:val="0"/>
                <w:kern w:val="2"/>
                <w:sz w:val="24"/>
                <w:szCs w:val="24"/>
                <w:lang w:val="en-US" w:eastAsia="zh-CN" w:bidi="ar-SA"/>
              </w:rPr>
            </w:pPr>
          </w:p>
        </w:tc>
        <w:tc>
          <w:tcPr>
            <w:tcW w:w="1045" w:type="pct"/>
            <w:noWrap w:val="0"/>
            <w:vAlign w:val="top"/>
          </w:tcPr>
          <w:p>
            <w:pPr>
              <w:keepNext w:val="0"/>
              <w:keepLines w:val="0"/>
              <w:pageBreakBefore w:val="0"/>
              <w:widowControl w:val="0"/>
              <w:kinsoku/>
              <w:wordWrap/>
              <w:bidi w:val="0"/>
              <w:adjustRightInd w:val="0"/>
              <w:snapToGrid w:val="0"/>
              <w:spacing w:line="240" w:lineRule="auto"/>
              <w:ind w:firstLine="0" w:firstLineChars="0"/>
              <w:jc w:val="left"/>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分子式：</w:t>
            </w:r>
          </w:p>
        </w:tc>
        <w:tc>
          <w:tcPr>
            <w:tcW w:w="1117" w:type="pct"/>
            <w:noWrap w:val="0"/>
            <w:vAlign w:val="top"/>
          </w:tcPr>
          <w:p>
            <w:pPr>
              <w:keepNext w:val="0"/>
              <w:keepLines w:val="0"/>
              <w:pageBreakBefore w:val="0"/>
              <w:widowControl w:val="0"/>
              <w:kinsoku/>
              <w:wordWrap/>
              <w:bidi w:val="0"/>
              <w:adjustRightInd w:val="0"/>
              <w:snapToGrid w:val="0"/>
              <w:spacing w:line="240" w:lineRule="auto"/>
              <w:ind w:firstLine="0" w:firstLineChars="0"/>
              <w:jc w:val="left"/>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分子量：</w:t>
            </w:r>
          </w:p>
        </w:tc>
        <w:tc>
          <w:tcPr>
            <w:tcW w:w="1299" w:type="pct"/>
            <w:noWrap w:val="0"/>
            <w:vAlign w:val="top"/>
          </w:tcPr>
          <w:p>
            <w:pPr>
              <w:keepNext w:val="0"/>
              <w:keepLines w:val="0"/>
              <w:pageBreakBefore w:val="0"/>
              <w:widowControl w:val="0"/>
              <w:kinsoku/>
              <w:wordWrap/>
              <w:bidi w:val="0"/>
              <w:adjustRightInd w:val="0"/>
              <w:snapToGrid w:val="0"/>
              <w:spacing w:line="240" w:lineRule="auto"/>
              <w:ind w:firstLine="0" w:firstLineChars="0"/>
              <w:jc w:val="left"/>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CAS号： 7782-44-7</w:t>
            </w:r>
          </w:p>
        </w:tc>
        <w:tc>
          <w:tcPr>
            <w:tcW w:w="1289" w:type="pct"/>
            <w:noWrap w:val="0"/>
            <w:vAlign w:val="top"/>
          </w:tcPr>
          <w:p>
            <w:pPr>
              <w:keepNext w:val="0"/>
              <w:keepLines w:val="0"/>
              <w:pageBreakBefore w:val="0"/>
              <w:widowControl w:val="0"/>
              <w:kinsoku/>
              <w:wordWrap/>
              <w:bidi w:val="0"/>
              <w:adjustRightInd w:val="0"/>
              <w:snapToGrid w:val="0"/>
              <w:spacing w:line="240" w:lineRule="auto"/>
              <w:ind w:firstLine="0" w:firstLineChars="0"/>
              <w:jc w:val="left"/>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 xml:space="preserve">化学类别：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9" w:hRule="atLeast"/>
          <w:jc w:val="center"/>
        </w:trPr>
        <w:tc>
          <w:tcPr>
            <w:tcW w:w="247" w:type="pct"/>
            <w:vMerge w:val="continue"/>
            <w:noWrap w:val="0"/>
            <w:vAlign w:val="center"/>
          </w:tcPr>
          <w:p>
            <w:pPr>
              <w:keepNext w:val="0"/>
              <w:keepLines w:val="0"/>
              <w:pageBreakBefore w:val="0"/>
              <w:widowControl w:val="0"/>
              <w:kinsoku/>
              <w:wordWrap/>
              <w:bidi w:val="0"/>
              <w:adjustRightInd w:val="0"/>
              <w:snapToGrid w:val="0"/>
              <w:spacing w:line="240" w:lineRule="auto"/>
              <w:ind w:firstLine="0" w:firstLineChars="0"/>
              <w:jc w:val="center"/>
              <w:rPr>
                <w:rFonts w:hint="eastAsia" w:ascii="宋体" w:hAnsi="宋体" w:eastAsia="宋体" w:cs="宋体"/>
                <w:b/>
                <w:bCs w:val="0"/>
                <w:kern w:val="2"/>
                <w:sz w:val="24"/>
                <w:szCs w:val="24"/>
                <w:lang w:val="en-US" w:eastAsia="zh-CN" w:bidi="ar-SA"/>
              </w:rPr>
            </w:pPr>
          </w:p>
        </w:tc>
        <w:tc>
          <w:tcPr>
            <w:tcW w:w="2163" w:type="pct"/>
            <w:gridSpan w:val="2"/>
            <w:noWrap w:val="0"/>
            <w:vAlign w:val="top"/>
          </w:tcPr>
          <w:p>
            <w:pPr>
              <w:keepNext w:val="0"/>
              <w:keepLines w:val="0"/>
              <w:pageBreakBefore w:val="0"/>
              <w:widowControl w:val="0"/>
              <w:kinsoku/>
              <w:wordWrap/>
              <w:bidi w:val="0"/>
              <w:adjustRightInd w:val="0"/>
              <w:snapToGrid w:val="0"/>
              <w:spacing w:line="240" w:lineRule="auto"/>
              <w:ind w:firstLine="0" w:firstLineChars="0"/>
              <w:jc w:val="left"/>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危险性类别： 第2.2类 不燃气体</w:t>
            </w:r>
          </w:p>
        </w:tc>
        <w:tc>
          <w:tcPr>
            <w:tcW w:w="2588" w:type="pct"/>
            <w:gridSpan w:val="2"/>
            <w:noWrap w:val="0"/>
            <w:vAlign w:val="top"/>
          </w:tcPr>
          <w:p>
            <w:pPr>
              <w:keepNext w:val="0"/>
              <w:keepLines w:val="0"/>
              <w:pageBreakBefore w:val="0"/>
              <w:widowControl w:val="0"/>
              <w:kinsoku/>
              <w:wordWrap/>
              <w:bidi w:val="0"/>
              <w:adjustRightInd w:val="0"/>
              <w:snapToGrid w:val="0"/>
              <w:spacing w:line="240" w:lineRule="auto"/>
              <w:ind w:firstLine="0" w:firstLineChars="0"/>
              <w:jc w:val="left"/>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UN编号： 1072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7" w:type="pct"/>
            <w:vMerge w:val="restart"/>
            <w:noWrap w:val="0"/>
            <w:vAlign w:val="center"/>
          </w:tcPr>
          <w:p>
            <w:pPr>
              <w:keepNext w:val="0"/>
              <w:keepLines w:val="0"/>
              <w:pageBreakBefore w:val="0"/>
              <w:widowControl w:val="0"/>
              <w:kinsoku/>
              <w:wordWrap/>
              <w:bidi w:val="0"/>
              <w:adjustRightInd w:val="0"/>
              <w:snapToGrid w:val="0"/>
              <w:spacing w:line="240" w:lineRule="auto"/>
              <w:ind w:firstLine="0" w:firstLineChars="0"/>
              <w:jc w:val="center"/>
              <w:rPr>
                <w:rFonts w:hint="eastAsia" w:ascii="宋体" w:hAnsi="宋体" w:eastAsia="宋体" w:cs="宋体"/>
                <w:b/>
                <w:bCs w:val="0"/>
                <w:kern w:val="2"/>
                <w:sz w:val="24"/>
                <w:szCs w:val="24"/>
                <w:lang w:val="en-US" w:eastAsia="zh-CN" w:bidi="ar-SA"/>
              </w:rPr>
            </w:pPr>
            <w:r>
              <w:rPr>
                <w:rFonts w:hint="eastAsia" w:ascii="宋体" w:hAnsi="宋体" w:eastAsia="宋体" w:cs="宋体"/>
                <w:b/>
                <w:bCs w:val="0"/>
                <w:kern w:val="2"/>
                <w:sz w:val="24"/>
                <w:szCs w:val="24"/>
                <w:lang w:val="en-US" w:eastAsia="zh-CN" w:bidi="ar-SA"/>
              </w:rPr>
              <w:t>理化性质</w:t>
            </w:r>
          </w:p>
        </w:tc>
        <w:tc>
          <w:tcPr>
            <w:tcW w:w="4752" w:type="pct"/>
            <w:gridSpan w:val="4"/>
            <w:noWrap w:val="0"/>
            <w:vAlign w:val="top"/>
          </w:tcPr>
          <w:p>
            <w:pPr>
              <w:keepNext w:val="0"/>
              <w:keepLines w:val="0"/>
              <w:pageBreakBefore w:val="0"/>
              <w:widowControl w:val="0"/>
              <w:kinsoku/>
              <w:wordWrap/>
              <w:bidi w:val="0"/>
              <w:adjustRightInd w:val="0"/>
              <w:snapToGrid w:val="0"/>
              <w:spacing w:line="240" w:lineRule="auto"/>
              <w:ind w:firstLine="0" w:firstLineChars="0"/>
              <w:jc w:val="left"/>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性状与用途： 无色无味气体。</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247" w:type="pct"/>
            <w:vMerge w:val="continue"/>
            <w:noWrap w:val="0"/>
            <w:vAlign w:val="center"/>
          </w:tcPr>
          <w:p>
            <w:pPr>
              <w:keepNext w:val="0"/>
              <w:keepLines w:val="0"/>
              <w:pageBreakBefore w:val="0"/>
              <w:widowControl w:val="0"/>
              <w:kinsoku/>
              <w:wordWrap/>
              <w:bidi w:val="0"/>
              <w:adjustRightInd w:val="0"/>
              <w:snapToGrid w:val="0"/>
              <w:spacing w:line="240" w:lineRule="auto"/>
              <w:ind w:firstLine="0" w:firstLineChars="0"/>
              <w:jc w:val="center"/>
              <w:rPr>
                <w:rFonts w:hint="eastAsia" w:ascii="宋体" w:hAnsi="宋体" w:eastAsia="宋体" w:cs="宋体"/>
                <w:b/>
                <w:bCs w:val="0"/>
                <w:kern w:val="2"/>
                <w:sz w:val="24"/>
                <w:szCs w:val="24"/>
                <w:lang w:val="en-US" w:eastAsia="zh-CN" w:bidi="ar-SA"/>
              </w:rPr>
            </w:pPr>
          </w:p>
        </w:tc>
        <w:tc>
          <w:tcPr>
            <w:tcW w:w="2163" w:type="pct"/>
            <w:gridSpan w:val="2"/>
            <w:noWrap w:val="0"/>
            <w:vAlign w:val="top"/>
          </w:tcPr>
          <w:p>
            <w:pPr>
              <w:keepNext w:val="0"/>
              <w:keepLines w:val="0"/>
              <w:pageBreakBefore w:val="0"/>
              <w:widowControl w:val="0"/>
              <w:kinsoku/>
              <w:wordWrap/>
              <w:bidi w:val="0"/>
              <w:adjustRightInd w:val="0"/>
              <w:snapToGrid w:val="0"/>
              <w:spacing w:line="240" w:lineRule="auto"/>
              <w:ind w:firstLine="0" w:firstLineChars="0"/>
              <w:jc w:val="left"/>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临界温度(℃)：-118.95</w:t>
            </w:r>
          </w:p>
          <w:p>
            <w:pPr>
              <w:keepNext w:val="0"/>
              <w:keepLines w:val="0"/>
              <w:pageBreakBefore w:val="0"/>
              <w:widowControl w:val="0"/>
              <w:kinsoku/>
              <w:wordWrap/>
              <w:bidi w:val="0"/>
              <w:adjustRightInd w:val="0"/>
              <w:snapToGrid w:val="0"/>
              <w:spacing w:line="240" w:lineRule="auto"/>
              <w:ind w:firstLine="0" w:firstLineChars="0"/>
              <w:jc w:val="left"/>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临界压力(MPa)：5.08</w:t>
            </w:r>
          </w:p>
          <w:p>
            <w:pPr>
              <w:keepNext w:val="0"/>
              <w:keepLines w:val="0"/>
              <w:pageBreakBefore w:val="0"/>
              <w:widowControl w:val="0"/>
              <w:kinsoku/>
              <w:wordWrap/>
              <w:bidi w:val="0"/>
              <w:adjustRightInd w:val="0"/>
              <w:snapToGrid w:val="0"/>
              <w:spacing w:line="240" w:lineRule="auto"/>
              <w:ind w:firstLine="0" w:firstLineChars="0"/>
              <w:jc w:val="left"/>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饱和蒸汽压(kPa)：506.62(-164℃)</w:t>
            </w:r>
          </w:p>
          <w:p>
            <w:pPr>
              <w:keepNext w:val="0"/>
              <w:keepLines w:val="0"/>
              <w:pageBreakBefore w:val="0"/>
              <w:widowControl w:val="0"/>
              <w:kinsoku/>
              <w:wordWrap/>
              <w:bidi w:val="0"/>
              <w:adjustRightInd w:val="0"/>
              <w:snapToGrid w:val="0"/>
              <w:spacing w:line="240" w:lineRule="auto"/>
              <w:ind w:firstLine="0" w:firstLineChars="0"/>
              <w:jc w:val="left"/>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燃烧热(kj/mol)：</w:t>
            </w:r>
          </w:p>
          <w:p>
            <w:pPr>
              <w:keepNext w:val="0"/>
              <w:keepLines w:val="0"/>
              <w:pageBreakBefore w:val="0"/>
              <w:widowControl w:val="0"/>
              <w:kinsoku/>
              <w:wordWrap/>
              <w:bidi w:val="0"/>
              <w:adjustRightInd w:val="0"/>
              <w:snapToGrid w:val="0"/>
              <w:spacing w:line="240" w:lineRule="auto"/>
              <w:ind w:firstLine="0" w:firstLineChars="0"/>
              <w:jc w:val="left"/>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熔点(℃)：-218.8</w:t>
            </w:r>
          </w:p>
        </w:tc>
        <w:tc>
          <w:tcPr>
            <w:tcW w:w="2588" w:type="pct"/>
            <w:gridSpan w:val="2"/>
            <w:noWrap w:val="0"/>
            <w:vAlign w:val="center"/>
          </w:tcPr>
          <w:p>
            <w:pPr>
              <w:keepNext w:val="0"/>
              <w:keepLines w:val="0"/>
              <w:pageBreakBefore w:val="0"/>
              <w:widowControl w:val="0"/>
              <w:kinsoku/>
              <w:wordWrap/>
              <w:bidi w:val="0"/>
              <w:adjustRightInd w:val="0"/>
              <w:snapToGrid w:val="0"/>
              <w:spacing w:line="240" w:lineRule="auto"/>
              <w:ind w:firstLine="0" w:firstLineChars="0"/>
              <w:jc w:val="left"/>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沸点(℃)：-183.1</w:t>
            </w:r>
          </w:p>
          <w:p>
            <w:pPr>
              <w:keepNext w:val="0"/>
              <w:keepLines w:val="0"/>
              <w:pageBreakBefore w:val="0"/>
              <w:widowControl w:val="0"/>
              <w:kinsoku/>
              <w:wordWrap/>
              <w:bidi w:val="0"/>
              <w:adjustRightInd w:val="0"/>
              <w:snapToGrid w:val="0"/>
              <w:spacing w:line="240" w:lineRule="auto"/>
              <w:ind w:firstLine="0" w:firstLineChars="0"/>
              <w:jc w:val="left"/>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相对密度(水=1)：1.14(-183℃)</w:t>
            </w:r>
          </w:p>
          <w:p>
            <w:pPr>
              <w:keepNext w:val="0"/>
              <w:keepLines w:val="0"/>
              <w:pageBreakBefore w:val="0"/>
              <w:widowControl w:val="0"/>
              <w:kinsoku/>
              <w:wordWrap/>
              <w:bidi w:val="0"/>
              <w:adjustRightInd w:val="0"/>
              <w:snapToGrid w:val="0"/>
              <w:spacing w:line="240" w:lineRule="auto"/>
              <w:ind w:firstLine="0" w:firstLineChars="0"/>
              <w:jc w:val="left"/>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 xml:space="preserve"> [相对密度(空气=1)]：1.43</w:t>
            </w:r>
          </w:p>
          <w:p>
            <w:pPr>
              <w:keepNext w:val="0"/>
              <w:keepLines w:val="0"/>
              <w:pageBreakBefore w:val="0"/>
              <w:widowControl w:val="0"/>
              <w:kinsoku/>
              <w:wordWrap/>
              <w:bidi w:val="0"/>
              <w:adjustRightInd w:val="0"/>
              <w:snapToGrid w:val="0"/>
              <w:spacing w:line="240" w:lineRule="auto"/>
              <w:ind w:firstLine="0" w:firstLineChars="0"/>
              <w:jc w:val="left"/>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自燃温度(℃)：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606" w:hRule="atLeast"/>
          <w:jc w:val="center"/>
        </w:trPr>
        <w:tc>
          <w:tcPr>
            <w:tcW w:w="247" w:type="pct"/>
            <w:vMerge w:val="restart"/>
            <w:noWrap w:val="0"/>
            <w:vAlign w:val="center"/>
          </w:tcPr>
          <w:p>
            <w:pPr>
              <w:keepNext w:val="0"/>
              <w:keepLines w:val="0"/>
              <w:pageBreakBefore w:val="0"/>
              <w:widowControl w:val="0"/>
              <w:kinsoku/>
              <w:wordWrap/>
              <w:bidi w:val="0"/>
              <w:adjustRightInd w:val="0"/>
              <w:snapToGrid w:val="0"/>
              <w:spacing w:line="240" w:lineRule="auto"/>
              <w:ind w:firstLine="0" w:firstLineChars="0"/>
              <w:jc w:val="center"/>
              <w:rPr>
                <w:rFonts w:hint="eastAsia" w:ascii="宋体" w:hAnsi="宋体" w:eastAsia="宋体" w:cs="宋体"/>
                <w:b/>
                <w:bCs w:val="0"/>
                <w:kern w:val="2"/>
                <w:sz w:val="24"/>
                <w:szCs w:val="24"/>
                <w:lang w:val="en-US" w:eastAsia="zh-CN" w:bidi="ar-SA"/>
              </w:rPr>
            </w:pPr>
            <w:r>
              <w:rPr>
                <w:rFonts w:hint="eastAsia" w:ascii="宋体" w:hAnsi="宋体" w:eastAsia="宋体" w:cs="宋体"/>
                <w:b/>
                <w:bCs w:val="0"/>
                <w:kern w:val="2"/>
                <w:sz w:val="24"/>
                <w:szCs w:val="24"/>
                <w:lang w:val="en-US" w:eastAsia="zh-CN" w:bidi="ar-SA"/>
              </w:rPr>
              <w:t>燃爆物性与消防</w:t>
            </w:r>
          </w:p>
        </w:tc>
        <w:tc>
          <w:tcPr>
            <w:tcW w:w="2163" w:type="pct"/>
            <w:gridSpan w:val="2"/>
            <w:noWrap w:val="0"/>
            <w:vAlign w:val="top"/>
          </w:tcPr>
          <w:p>
            <w:pPr>
              <w:keepNext w:val="0"/>
              <w:keepLines w:val="0"/>
              <w:pageBreakBefore w:val="0"/>
              <w:widowControl w:val="0"/>
              <w:kinsoku/>
              <w:wordWrap/>
              <w:bidi w:val="0"/>
              <w:adjustRightInd w:val="0"/>
              <w:snapToGrid w:val="0"/>
              <w:spacing w:line="240" w:lineRule="auto"/>
              <w:ind w:firstLine="0" w:firstLineChars="0"/>
              <w:jc w:val="left"/>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燃烧性：</w:t>
            </w:r>
          </w:p>
          <w:p>
            <w:pPr>
              <w:keepNext w:val="0"/>
              <w:keepLines w:val="0"/>
              <w:pageBreakBefore w:val="0"/>
              <w:widowControl w:val="0"/>
              <w:kinsoku/>
              <w:wordWrap/>
              <w:bidi w:val="0"/>
              <w:adjustRightInd w:val="0"/>
              <w:snapToGrid w:val="0"/>
              <w:spacing w:line="240" w:lineRule="auto"/>
              <w:ind w:firstLine="0" w:firstLineChars="0"/>
              <w:jc w:val="left"/>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闪点(℃)：无资料</w:t>
            </w:r>
          </w:p>
          <w:p>
            <w:pPr>
              <w:keepNext w:val="0"/>
              <w:keepLines w:val="0"/>
              <w:pageBreakBefore w:val="0"/>
              <w:widowControl w:val="0"/>
              <w:kinsoku/>
              <w:wordWrap/>
              <w:bidi w:val="0"/>
              <w:adjustRightInd w:val="0"/>
              <w:snapToGrid w:val="0"/>
              <w:spacing w:line="240" w:lineRule="auto"/>
              <w:ind w:firstLine="0" w:firstLineChars="0"/>
              <w:jc w:val="left"/>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爆炸下限(V %)：无资料</w:t>
            </w:r>
          </w:p>
          <w:p>
            <w:pPr>
              <w:keepNext w:val="0"/>
              <w:keepLines w:val="0"/>
              <w:pageBreakBefore w:val="0"/>
              <w:widowControl w:val="0"/>
              <w:kinsoku/>
              <w:wordWrap/>
              <w:bidi w:val="0"/>
              <w:adjustRightInd w:val="0"/>
              <w:snapToGrid w:val="0"/>
              <w:spacing w:line="240" w:lineRule="auto"/>
              <w:ind w:firstLine="0" w:firstLineChars="0"/>
              <w:jc w:val="left"/>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爆炸上限(V%)：无资料</w:t>
            </w:r>
          </w:p>
          <w:p>
            <w:pPr>
              <w:keepNext w:val="0"/>
              <w:keepLines w:val="0"/>
              <w:pageBreakBefore w:val="0"/>
              <w:widowControl w:val="0"/>
              <w:kinsoku/>
              <w:wordWrap/>
              <w:bidi w:val="0"/>
              <w:adjustRightInd w:val="0"/>
              <w:snapToGrid w:val="0"/>
              <w:spacing w:line="240" w:lineRule="auto"/>
              <w:ind w:firstLine="0" w:firstLineChars="0"/>
              <w:jc w:val="left"/>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稳定性：稳定</w:t>
            </w:r>
          </w:p>
        </w:tc>
        <w:tc>
          <w:tcPr>
            <w:tcW w:w="2588" w:type="pct"/>
            <w:gridSpan w:val="2"/>
            <w:noWrap w:val="0"/>
            <w:vAlign w:val="top"/>
          </w:tcPr>
          <w:p>
            <w:pPr>
              <w:keepNext w:val="0"/>
              <w:keepLines w:val="0"/>
              <w:pageBreakBefore w:val="0"/>
              <w:widowControl w:val="0"/>
              <w:kinsoku/>
              <w:wordWrap/>
              <w:bidi w:val="0"/>
              <w:adjustRightInd w:val="0"/>
              <w:snapToGrid w:val="0"/>
              <w:spacing w:line="240" w:lineRule="auto"/>
              <w:ind w:firstLine="0" w:firstLineChars="0"/>
              <w:jc w:val="left"/>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聚合危害：不聚合</w:t>
            </w:r>
          </w:p>
          <w:p>
            <w:pPr>
              <w:keepNext w:val="0"/>
              <w:keepLines w:val="0"/>
              <w:pageBreakBefore w:val="0"/>
              <w:widowControl w:val="0"/>
              <w:kinsoku/>
              <w:wordWrap/>
              <w:bidi w:val="0"/>
              <w:adjustRightInd w:val="0"/>
              <w:snapToGrid w:val="0"/>
              <w:spacing w:line="240" w:lineRule="auto"/>
              <w:ind w:firstLine="0" w:firstLineChars="0"/>
              <w:jc w:val="left"/>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建筑火险分级：</w:t>
            </w:r>
          </w:p>
          <w:p>
            <w:pPr>
              <w:keepNext w:val="0"/>
              <w:keepLines w:val="0"/>
              <w:pageBreakBefore w:val="0"/>
              <w:widowControl w:val="0"/>
              <w:kinsoku/>
              <w:wordWrap/>
              <w:bidi w:val="0"/>
              <w:adjustRightInd w:val="0"/>
              <w:snapToGrid w:val="0"/>
              <w:spacing w:line="240" w:lineRule="auto"/>
              <w:ind w:firstLine="0" w:firstLineChars="0"/>
              <w:jc w:val="left"/>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燃烧(分解)产物：</w:t>
            </w:r>
          </w:p>
          <w:p>
            <w:pPr>
              <w:keepNext w:val="0"/>
              <w:keepLines w:val="0"/>
              <w:pageBreakBefore w:val="0"/>
              <w:widowControl w:val="0"/>
              <w:kinsoku/>
              <w:wordWrap/>
              <w:bidi w:val="0"/>
              <w:adjustRightInd w:val="0"/>
              <w:snapToGrid w:val="0"/>
              <w:spacing w:line="240" w:lineRule="auto"/>
              <w:ind w:firstLine="0" w:firstLineChars="0"/>
              <w:jc w:val="left"/>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禁忌物：还原剂、易燃或可燃物、活性金属粉末、碱金属、碱土金属等。</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48" w:hRule="atLeast"/>
          <w:jc w:val="center"/>
        </w:trPr>
        <w:tc>
          <w:tcPr>
            <w:tcW w:w="247" w:type="pct"/>
            <w:vMerge w:val="continue"/>
            <w:noWrap w:val="0"/>
            <w:vAlign w:val="center"/>
          </w:tcPr>
          <w:p>
            <w:pPr>
              <w:keepNext w:val="0"/>
              <w:keepLines w:val="0"/>
              <w:pageBreakBefore w:val="0"/>
              <w:widowControl w:val="0"/>
              <w:kinsoku/>
              <w:wordWrap/>
              <w:bidi w:val="0"/>
              <w:adjustRightInd w:val="0"/>
              <w:snapToGrid w:val="0"/>
              <w:spacing w:line="240" w:lineRule="auto"/>
              <w:ind w:firstLine="0" w:firstLineChars="0"/>
              <w:jc w:val="center"/>
              <w:rPr>
                <w:rFonts w:hint="eastAsia" w:ascii="宋体" w:hAnsi="宋体" w:eastAsia="宋体" w:cs="宋体"/>
                <w:b/>
                <w:bCs w:val="0"/>
                <w:kern w:val="2"/>
                <w:sz w:val="24"/>
                <w:szCs w:val="24"/>
                <w:lang w:val="en-US" w:eastAsia="zh-CN" w:bidi="ar-SA"/>
              </w:rPr>
            </w:pPr>
          </w:p>
        </w:tc>
        <w:tc>
          <w:tcPr>
            <w:tcW w:w="4752" w:type="pct"/>
            <w:gridSpan w:val="4"/>
            <w:noWrap w:val="0"/>
            <w:vAlign w:val="center"/>
          </w:tcPr>
          <w:p>
            <w:pPr>
              <w:keepNext w:val="0"/>
              <w:keepLines w:val="0"/>
              <w:pageBreakBefore w:val="0"/>
              <w:widowControl w:val="0"/>
              <w:kinsoku/>
              <w:wordWrap/>
              <w:bidi w:val="0"/>
              <w:adjustRightInd w:val="0"/>
              <w:snapToGrid w:val="0"/>
              <w:spacing w:line="240" w:lineRule="auto"/>
              <w:ind w:firstLine="0" w:firstLineChars="0"/>
              <w:jc w:val="left"/>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危险特性：是易燃物、可燃物燃烧爆炸的基本要素之一，能氧化大多数活性物质。与易燃物（如乙炔、甲烷等）形成有爆炸性的混合物。</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47" w:type="pct"/>
            <w:vMerge w:val="continue"/>
            <w:noWrap w:val="0"/>
            <w:vAlign w:val="center"/>
          </w:tcPr>
          <w:p>
            <w:pPr>
              <w:keepNext w:val="0"/>
              <w:keepLines w:val="0"/>
              <w:pageBreakBefore w:val="0"/>
              <w:widowControl w:val="0"/>
              <w:kinsoku/>
              <w:wordWrap/>
              <w:bidi w:val="0"/>
              <w:adjustRightInd w:val="0"/>
              <w:snapToGrid w:val="0"/>
              <w:spacing w:line="240" w:lineRule="auto"/>
              <w:ind w:firstLine="0" w:firstLineChars="0"/>
              <w:jc w:val="center"/>
              <w:rPr>
                <w:rFonts w:hint="eastAsia" w:ascii="宋体" w:hAnsi="宋体" w:eastAsia="宋体" w:cs="宋体"/>
                <w:b/>
                <w:bCs w:val="0"/>
                <w:kern w:val="2"/>
                <w:sz w:val="24"/>
                <w:szCs w:val="24"/>
                <w:lang w:val="en-US" w:eastAsia="zh-CN" w:bidi="ar-SA"/>
              </w:rPr>
            </w:pPr>
          </w:p>
        </w:tc>
        <w:tc>
          <w:tcPr>
            <w:tcW w:w="4752" w:type="pct"/>
            <w:gridSpan w:val="4"/>
            <w:noWrap w:val="0"/>
            <w:vAlign w:val="center"/>
          </w:tcPr>
          <w:p>
            <w:pPr>
              <w:keepNext w:val="0"/>
              <w:keepLines w:val="0"/>
              <w:pageBreakBefore w:val="0"/>
              <w:widowControl w:val="0"/>
              <w:kinsoku/>
              <w:wordWrap/>
              <w:bidi w:val="0"/>
              <w:adjustRightInd w:val="0"/>
              <w:snapToGrid w:val="0"/>
              <w:spacing w:line="240" w:lineRule="auto"/>
              <w:ind w:firstLine="0" w:firstLineChars="0"/>
              <w:jc w:val="left"/>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灭火方法：本品不燃。根据着火原因选择适当灭火剂灭火。</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247" w:type="pct"/>
            <w:noWrap w:val="0"/>
            <w:vAlign w:val="center"/>
          </w:tcPr>
          <w:p>
            <w:pPr>
              <w:keepNext w:val="0"/>
              <w:keepLines w:val="0"/>
              <w:pageBreakBefore w:val="0"/>
              <w:widowControl w:val="0"/>
              <w:kinsoku/>
              <w:wordWrap/>
              <w:bidi w:val="0"/>
              <w:adjustRightInd w:val="0"/>
              <w:snapToGrid w:val="0"/>
              <w:spacing w:line="240" w:lineRule="auto"/>
              <w:ind w:firstLine="0" w:firstLineChars="0"/>
              <w:jc w:val="center"/>
              <w:rPr>
                <w:rFonts w:hint="eastAsia" w:ascii="宋体" w:hAnsi="宋体" w:eastAsia="宋体" w:cs="宋体"/>
                <w:b/>
                <w:bCs w:val="0"/>
                <w:kern w:val="2"/>
                <w:sz w:val="24"/>
                <w:szCs w:val="24"/>
                <w:lang w:val="en-US" w:eastAsia="zh-CN" w:bidi="ar-SA"/>
              </w:rPr>
            </w:pPr>
            <w:r>
              <w:rPr>
                <w:rFonts w:hint="eastAsia" w:ascii="宋体" w:hAnsi="宋体" w:eastAsia="宋体" w:cs="宋体"/>
                <w:b/>
                <w:bCs w:val="0"/>
                <w:kern w:val="2"/>
                <w:sz w:val="24"/>
                <w:szCs w:val="24"/>
                <w:lang w:val="en-US" w:eastAsia="zh-CN" w:bidi="ar-SA"/>
              </w:rPr>
              <w:t>毒性</w:t>
            </w:r>
          </w:p>
        </w:tc>
        <w:tc>
          <w:tcPr>
            <w:tcW w:w="4752" w:type="pct"/>
            <w:gridSpan w:val="4"/>
            <w:noWrap w:val="0"/>
            <w:vAlign w:val="center"/>
          </w:tcPr>
          <w:p>
            <w:pPr>
              <w:keepNext w:val="0"/>
              <w:keepLines w:val="0"/>
              <w:pageBreakBefore w:val="0"/>
              <w:widowControl w:val="0"/>
              <w:kinsoku/>
              <w:wordWrap/>
              <w:bidi w:val="0"/>
              <w:adjustRightInd w:val="0"/>
              <w:snapToGrid w:val="0"/>
              <w:spacing w:line="240" w:lineRule="auto"/>
              <w:ind w:firstLine="0" w:firstLineChars="0"/>
              <w:jc w:val="left"/>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毒性：动物在300KPa（3ATA）以上氧中，可在30min至数小时死亡。</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247" w:type="pct"/>
            <w:noWrap w:val="0"/>
            <w:vAlign w:val="center"/>
          </w:tcPr>
          <w:p>
            <w:pPr>
              <w:keepNext w:val="0"/>
              <w:keepLines w:val="0"/>
              <w:pageBreakBefore w:val="0"/>
              <w:widowControl w:val="0"/>
              <w:kinsoku/>
              <w:wordWrap/>
              <w:bidi w:val="0"/>
              <w:adjustRightInd w:val="0"/>
              <w:snapToGrid w:val="0"/>
              <w:spacing w:line="240" w:lineRule="auto"/>
              <w:ind w:firstLine="0" w:firstLineChars="0"/>
              <w:jc w:val="center"/>
              <w:rPr>
                <w:rFonts w:hint="eastAsia" w:ascii="宋体" w:hAnsi="宋体" w:eastAsia="宋体" w:cs="宋体"/>
                <w:b/>
                <w:bCs w:val="0"/>
                <w:kern w:val="2"/>
                <w:sz w:val="24"/>
                <w:szCs w:val="24"/>
                <w:lang w:val="en-US" w:eastAsia="zh-CN" w:bidi="ar-SA"/>
              </w:rPr>
            </w:pPr>
            <w:r>
              <w:rPr>
                <w:rFonts w:hint="eastAsia" w:ascii="宋体" w:hAnsi="宋体" w:eastAsia="宋体" w:cs="宋体"/>
                <w:b/>
                <w:bCs w:val="0"/>
                <w:kern w:val="2"/>
                <w:sz w:val="24"/>
                <w:szCs w:val="24"/>
                <w:lang w:val="en-US" w:eastAsia="zh-CN" w:bidi="ar-SA"/>
              </w:rPr>
              <w:t>健康危害</w:t>
            </w:r>
          </w:p>
        </w:tc>
        <w:tc>
          <w:tcPr>
            <w:tcW w:w="4752" w:type="pct"/>
            <w:gridSpan w:val="4"/>
            <w:noWrap w:val="0"/>
            <w:vAlign w:val="center"/>
          </w:tcPr>
          <w:p>
            <w:pPr>
              <w:keepNext w:val="0"/>
              <w:keepLines w:val="0"/>
              <w:pageBreakBefore w:val="0"/>
              <w:widowControl w:val="0"/>
              <w:kinsoku/>
              <w:wordWrap/>
              <w:bidi w:val="0"/>
              <w:adjustRightInd w:val="0"/>
              <w:snapToGrid w:val="0"/>
              <w:spacing w:line="240" w:lineRule="auto"/>
              <w:ind w:firstLine="0" w:firstLineChars="0"/>
              <w:jc w:val="left"/>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侵入途径：吸入</w:t>
            </w:r>
          </w:p>
          <w:p>
            <w:pPr>
              <w:keepNext w:val="0"/>
              <w:keepLines w:val="0"/>
              <w:pageBreakBefore w:val="0"/>
              <w:widowControl w:val="0"/>
              <w:kinsoku/>
              <w:wordWrap/>
              <w:bidi w:val="0"/>
              <w:adjustRightInd w:val="0"/>
              <w:snapToGrid w:val="0"/>
              <w:spacing w:line="240" w:lineRule="auto"/>
              <w:ind w:firstLine="0" w:firstLineChars="0"/>
              <w:jc w:val="left"/>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健康危害：常压下，当氧的浓度超过40％时，有可能发生氧中毒。</w:t>
            </w:r>
          </w:p>
          <w:p>
            <w:pPr>
              <w:keepNext w:val="0"/>
              <w:keepLines w:val="0"/>
              <w:pageBreakBefore w:val="0"/>
              <w:widowControl w:val="0"/>
              <w:kinsoku/>
              <w:wordWrap/>
              <w:bidi w:val="0"/>
              <w:adjustRightInd w:val="0"/>
              <w:snapToGrid w:val="0"/>
              <w:spacing w:line="240" w:lineRule="auto"/>
              <w:ind w:firstLine="0" w:firstLineChars="0"/>
              <w:jc w:val="left"/>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肺型：见于在氧分压100～200kPa条件下，时间超过6～12小时。开始时出现胸骨后不适感、轻咳，进而胸闷、胸骨后烧灼感和呼吸困难，咳嗽加剧；严重时可发生肺水肿，甚至出现呼吸窘迫综合征。脑型：见于氧分压超过300kPa连续2～3小时，先出现面部肌肉抽动、面色苍白、眩晕、心动过速、虚脱，继而全身强直性抽搐、昏迷、呼吸衰竭而死亡。眼型：长期处于氧分压为60～100kPa(相当于吸入氧浓度40％左右)的条件下可发生眼损害，严重者可失明。</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925" w:hRule="atLeast"/>
          <w:jc w:val="center"/>
        </w:trPr>
        <w:tc>
          <w:tcPr>
            <w:tcW w:w="247" w:type="pct"/>
            <w:noWrap w:val="0"/>
            <w:vAlign w:val="center"/>
          </w:tcPr>
          <w:p>
            <w:pPr>
              <w:keepNext w:val="0"/>
              <w:keepLines w:val="0"/>
              <w:pageBreakBefore w:val="0"/>
              <w:widowControl w:val="0"/>
              <w:kinsoku/>
              <w:wordWrap/>
              <w:bidi w:val="0"/>
              <w:adjustRightInd w:val="0"/>
              <w:snapToGrid w:val="0"/>
              <w:spacing w:line="240" w:lineRule="auto"/>
              <w:ind w:firstLine="0" w:firstLineChars="0"/>
              <w:jc w:val="center"/>
              <w:rPr>
                <w:rFonts w:hint="eastAsia" w:ascii="宋体" w:hAnsi="宋体" w:eastAsia="宋体" w:cs="宋体"/>
                <w:b/>
                <w:bCs w:val="0"/>
                <w:kern w:val="2"/>
                <w:sz w:val="24"/>
                <w:szCs w:val="24"/>
                <w:lang w:val="en-US" w:eastAsia="zh-CN" w:bidi="ar-SA"/>
              </w:rPr>
            </w:pPr>
            <w:r>
              <w:rPr>
                <w:rFonts w:hint="eastAsia" w:ascii="宋体" w:hAnsi="宋体" w:eastAsia="宋体" w:cs="宋体"/>
                <w:b/>
                <w:bCs w:val="0"/>
                <w:kern w:val="2"/>
                <w:sz w:val="24"/>
                <w:szCs w:val="24"/>
                <w:lang w:val="en-US" w:eastAsia="zh-CN" w:bidi="ar-SA"/>
              </w:rPr>
              <w:t>急救</w:t>
            </w:r>
          </w:p>
        </w:tc>
        <w:tc>
          <w:tcPr>
            <w:tcW w:w="4752" w:type="pct"/>
            <w:gridSpan w:val="4"/>
            <w:noWrap w:val="0"/>
            <w:vAlign w:val="center"/>
          </w:tcPr>
          <w:p>
            <w:pPr>
              <w:keepNext w:val="0"/>
              <w:keepLines w:val="0"/>
              <w:pageBreakBefore w:val="0"/>
              <w:widowControl w:val="0"/>
              <w:kinsoku/>
              <w:wordWrap/>
              <w:bidi w:val="0"/>
              <w:adjustRightInd w:val="0"/>
              <w:snapToGrid w:val="0"/>
              <w:spacing w:line="240" w:lineRule="auto"/>
              <w:ind w:firstLine="0" w:firstLineChars="0"/>
              <w:jc w:val="left"/>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侵入途径：吸入</w:t>
            </w:r>
          </w:p>
          <w:p>
            <w:pPr>
              <w:keepNext w:val="0"/>
              <w:keepLines w:val="0"/>
              <w:pageBreakBefore w:val="0"/>
              <w:widowControl w:val="0"/>
              <w:kinsoku/>
              <w:wordWrap/>
              <w:bidi w:val="0"/>
              <w:adjustRightInd w:val="0"/>
              <w:snapToGrid w:val="0"/>
              <w:spacing w:line="240" w:lineRule="auto"/>
              <w:ind w:firstLine="0" w:firstLineChars="0"/>
              <w:jc w:val="left"/>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皮肤接触：</w:t>
            </w:r>
          </w:p>
          <w:p>
            <w:pPr>
              <w:keepNext w:val="0"/>
              <w:keepLines w:val="0"/>
              <w:pageBreakBefore w:val="0"/>
              <w:widowControl w:val="0"/>
              <w:kinsoku/>
              <w:wordWrap/>
              <w:bidi w:val="0"/>
              <w:adjustRightInd w:val="0"/>
              <w:snapToGrid w:val="0"/>
              <w:spacing w:line="240" w:lineRule="auto"/>
              <w:ind w:firstLine="0" w:firstLineChars="0"/>
              <w:jc w:val="left"/>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眼睛接触：C25</w:t>
            </w:r>
          </w:p>
          <w:p>
            <w:pPr>
              <w:keepNext w:val="0"/>
              <w:keepLines w:val="0"/>
              <w:pageBreakBefore w:val="0"/>
              <w:widowControl w:val="0"/>
              <w:kinsoku/>
              <w:wordWrap/>
              <w:bidi w:val="0"/>
              <w:adjustRightInd w:val="0"/>
              <w:snapToGrid w:val="0"/>
              <w:spacing w:line="240" w:lineRule="auto"/>
              <w:ind w:firstLine="0" w:firstLineChars="0"/>
              <w:jc w:val="left"/>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吸入 ：迅速脱离现场至空气新鲜处。保持呼吸道通畅。呼吸、心跳停止，立即进行心肺复苏术。就医。</w:t>
            </w:r>
          </w:p>
          <w:p>
            <w:pPr>
              <w:keepNext w:val="0"/>
              <w:keepLines w:val="0"/>
              <w:pageBreakBefore w:val="0"/>
              <w:widowControl w:val="0"/>
              <w:kinsoku/>
              <w:wordWrap/>
              <w:bidi w:val="0"/>
              <w:adjustRightInd w:val="0"/>
              <w:snapToGrid w:val="0"/>
              <w:spacing w:line="240" w:lineRule="auto"/>
              <w:ind w:firstLine="0" w:firstLineChars="0"/>
              <w:jc w:val="left"/>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食入：不会通过该途径接触。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68" w:hRule="atLeast"/>
          <w:jc w:val="center"/>
        </w:trPr>
        <w:tc>
          <w:tcPr>
            <w:tcW w:w="247" w:type="pct"/>
            <w:vMerge w:val="restart"/>
            <w:noWrap w:val="0"/>
            <w:vAlign w:val="center"/>
          </w:tcPr>
          <w:p>
            <w:pPr>
              <w:keepNext w:val="0"/>
              <w:keepLines w:val="0"/>
              <w:pageBreakBefore w:val="0"/>
              <w:widowControl w:val="0"/>
              <w:kinsoku/>
              <w:wordWrap/>
              <w:bidi w:val="0"/>
              <w:adjustRightInd w:val="0"/>
              <w:snapToGrid w:val="0"/>
              <w:spacing w:line="240" w:lineRule="auto"/>
              <w:ind w:firstLine="0" w:firstLineChars="0"/>
              <w:jc w:val="center"/>
              <w:rPr>
                <w:rFonts w:hint="eastAsia" w:ascii="宋体" w:hAnsi="宋体" w:eastAsia="宋体" w:cs="宋体"/>
                <w:b/>
                <w:bCs w:val="0"/>
                <w:kern w:val="2"/>
                <w:sz w:val="24"/>
                <w:szCs w:val="24"/>
                <w:lang w:val="en-US" w:eastAsia="zh-CN" w:bidi="ar-SA"/>
              </w:rPr>
            </w:pPr>
            <w:r>
              <w:rPr>
                <w:rFonts w:hint="eastAsia" w:ascii="宋体" w:hAnsi="宋体" w:eastAsia="宋体" w:cs="宋体"/>
                <w:b/>
                <w:bCs w:val="0"/>
                <w:kern w:val="2"/>
                <w:sz w:val="24"/>
                <w:szCs w:val="24"/>
                <w:lang w:val="en-US" w:eastAsia="zh-CN" w:bidi="ar-SA"/>
              </w:rPr>
              <w:t>防护措施</w:t>
            </w:r>
          </w:p>
        </w:tc>
        <w:tc>
          <w:tcPr>
            <w:tcW w:w="4752" w:type="pct"/>
            <w:gridSpan w:val="4"/>
            <w:noWrap w:val="0"/>
            <w:vAlign w:val="center"/>
          </w:tcPr>
          <w:p>
            <w:pPr>
              <w:keepNext w:val="0"/>
              <w:keepLines w:val="0"/>
              <w:pageBreakBefore w:val="0"/>
              <w:widowControl w:val="0"/>
              <w:kinsoku/>
              <w:wordWrap/>
              <w:bidi w:val="0"/>
              <w:adjustRightInd w:val="0"/>
              <w:snapToGrid w:val="0"/>
              <w:spacing w:line="240" w:lineRule="auto"/>
              <w:ind w:firstLine="0" w:firstLineChars="0"/>
              <w:jc w:val="left"/>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安全卫生标准： MAC(mg/m3)：未制定标准            PC-TWA（mg/m3）：未制定标准</w:t>
            </w:r>
          </w:p>
          <w:p>
            <w:pPr>
              <w:keepNext w:val="0"/>
              <w:keepLines w:val="0"/>
              <w:pageBreakBefore w:val="0"/>
              <w:widowControl w:val="0"/>
              <w:kinsoku/>
              <w:wordWrap/>
              <w:bidi w:val="0"/>
              <w:adjustRightInd w:val="0"/>
              <w:snapToGrid w:val="0"/>
              <w:spacing w:line="240" w:lineRule="auto"/>
              <w:ind w:firstLine="0" w:firstLineChars="0"/>
              <w:jc w:val="left"/>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PC-STEL（mg/m3）：未制定标准       TLV-C(mg/m3)：未制定标准</w:t>
            </w:r>
          </w:p>
          <w:p>
            <w:pPr>
              <w:keepNext w:val="0"/>
              <w:keepLines w:val="0"/>
              <w:pageBreakBefore w:val="0"/>
              <w:widowControl w:val="0"/>
              <w:kinsoku/>
              <w:wordWrap/>
              <w:bidi w:val="0"/>
              <w:adjustRightInd w:val="0"/>
              <w:snapToGrid w:val="0"/>
              <w:spacing w:line="240" w:lineRule="auto"/>
              <w:ind w:firstLine="0" w:firstLineChars="0"/>
              <w:jc w:val="left"/>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TLV-TWA(mg/m3):                   TLV-STEL(mg/m3):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925" w:hRule="atLeast"/>
          <w:jc w:val="center"/>
        </w:trPr>
        <w:tc>
          <w:tcPr>
            <w:tcW w:w="247" w:type="pct"/>
            <w:vMerge w:val="continue"/>
            <w:noWrap w:val="0"/>
            <w:vAlign w:val="center"/>
          </w:tcPr>
          <w:p>
            <w:pPr>
              <w:keepNext w:val="0"/>
              <w:keepLines w:val="0"/>
              <w:pageBreakBefore w:val="0"/>
              <w:widowControl w:val="0"/>
              <w:kinsoku/>
              <w:wordWrap/>
              <w:bidi w:val="0"/>
              <w:adjustRightInd w:val="0"/>
              <w:snapToGrid w:val="0"/>
              <w:spacing w:line="240" w:lineRule="auto"/>
              <w:ind w:firstLine="0" w:firstLineChars="0"/>
              <w:jc w:val="center"/>
              <w:rPr>
                <w:rFonts w:hint="eastAsia" w:ascii="宋体" w:hAnsi="宋体" w:eastAsia="宋体" w:cs="宋体"/>
                <w:b/>
                <w:bCs w:val="0"/>
                <w:kern w:val="2"/>
                <w:sz w:val="24"/>
                <w:szCs w:val="24"/>
                <w:lang w:val="en-US" w:eastAsia="zh-CN" w:bidi="ar-SA"/>
              </w:rPr>
            </w:pPr>
          </w:p>
        </w:tc>
        <w:tc>
          <w:tcPr>
            <w:tcW w:w="4752" w:type="pct"/>
            <w:gridSpan w:val="4"/>
            <w:noWrap w:val="0"/>
            <w:vAlign w:val="center"/>
          </w:tcPr>
          <w:p>
            <w:pPr>
              <w:keepNext w:val="0"/>
              <w:keepLines w:val="0"/>
              <w:pageBreakBefore w:val="0"/>
              <w:widowControl w:val="0"/>
              <w:kinsoku/>
              <w:wordWrap/>
              <w:bidi w:val="0"/>
              <w:adjustRightInd w:val="0"/>
              <w:snapToGrid w:val="0"/>
              <w:spacing w:line="240" w:lineRule="auto"/>
              <w:ind w:firstLine="0" w:firstLineChars="0"/>
              <w:jc w:val="left"/>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工程控制：密闭操作。提供良好的自然通风条件。</w:t>
            </w:r>
          </w:p>
          <w:p>
            <w:pPr>
              <w:keepNext w:val="0"/>
              <w:keepLines w:val="0"/>
              <w:pageBreakBefore w:val="0"/>
              <w:widowControl w:val="0"/>
              <w:kinsoku/>
              <w:wordWrap/>
              <w:bidi w:val="0"/>
              <w:adjustRightInd w:val="0"/>
              <w:snapToGrid w:val="0"/>
              <w:spacing w:line="240" w:lineRule="auto"/>
              <w:ind w:firstLine="0" w:firstLineChars="0"/>
              <w:jc w:val="left"/>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呼吸系统防护：一般不需特殊防护。</w:t>
            </w:r>
          </w:p>
          <w:p>
            <w:pPr>
              <w:keepNext w:val="0"/>
              <w:keepLines w:val="0"/>
              <w:pageBreakBefore w:val="0"/>
              <w:widowControl w:val="0"/>
              <w:kinsoku/>
              <w:wordWrap/>
              <w:bidi w:val="0"/>
              <w:adjustRightInd w:val="0"/>
              <w:snapToGrid w:val="0"/>
              <w:spacing w:line="240" w:lineRule="auto"/>
              <w:ind w:firstLine="0" w:firstLineChars="0"/>
              <w:jc w:val="left"/>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眼睛防护：一般不需特殊防护。</w:t>
            </w:r>
          </w:p>
          <w:p>
            <w:pPr>
              <w:keepNext w:val="0"/>
              <w:keepLines w:val="0"/>
              <w:pageBreakBefore w:val="0"/>
              <w:widowControl w:val="0"/>
              <w:kinsoku/>
              <w:wordWrap/>
              <w:bidi w:val="0"/>
              <w:adjustRightInd w:val="0"/>
              <w:snapToGrid w:val="0"/>
              <w:spacing w:line="240" w:lineRule="auto"/>
              <w:ind w:firstLine="0" w:firstLineChars="0"/>
              <w:jc w:val="left"/>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身体防护：穿一般作业工作服。</w:t>
            </w:r>
          </w:p>
          <w:p>
            <w:pPr>
              <w:keepNext w:val="0"/>
              <w:keepLines w:val="0"/>
              <w:pageBreakBefore w:val="0"/>
              <w:widowControl w:val="0"/>
              <w:kinsoku/>
              <w:wordWrap/>
              <w:bidi w:val="0"/>
              <w:adjustRightInd w:val="0"/>
              <w:snapToGrid w:val="0"/>
              <w:spacing w:line="240" w:lineRule="auto"/>
              <w:ind w:firstLine="0" w:firstLineChars="0"/>
              <w:jc w:val="left"/>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手防护：戴一般作业防护手套。</w:t>
            </w:r>
          </w:p>
          <w:p>
            <w:pPr>
              <w:keepNext w:val="0"/>
              <w:keepLines w:val="0"/>
              <w:pageBreakBefore w:val="0"/>
              <w:widowControl w:val="0"/>
              <w:kinsoku/>
              <w:wordWrap/>
              <w:bidi w:val="0"/>
              <w:adjustRightInd w:val="0"/>
              <w:snapToGrid w:val="0"/>
              <w:spacing w:line="240" w:lineRule="auto"/>
              <w:ind w:firstLine="0" w:firstLineChars="0"/>
              <w:jc w:val="left"/>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其他防护：避免高浓度吸入。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87" w:hRule="atLeast"/>
          <w:jc w:val="center"/>
        </w:trPr>
        <w:tc>
          <w:tcPr>
            <w:tcW w:w="247" w:type="pct"/>
            <w:noWrap w:val="0"/>
            <w:vAlign w:val="center"/>
          </w:tcPr>
          <w:p>
            <w:pPr>
              <w:keepNext w:val="0"/>
              <w:keepLines w:val="0"/>
              <w:pageBreakBefore w:val="0"/>
              <w:widowControl w:val="0"/>
              <w:kinsoku/>
              <w:wordWrap/>
              <w:bidi w:val="0"/>
              <w:adjustRightInd w:val="0"/>
              <w:snapToGrid w:val="0"/>
              <w:spacing w:line="240" w:lineRule="auto"/>
              <w:ind w:firstLine="0" w:firstLineChars="0"/>
              <w:jc w:val="center"/>
              <w:rPr>
                <w:rFonts w:hint="eastAsia" w:ascii="宋体" w:hAnsi="宋体" w:eastAsia="宋体" w:cs="宋体"/>
                <w:b/>
                <w:bCs w:val="0"/>
                <w:kern w:val="2"/>
                <w:sz w:val="24"/>
                <w:szCs w:val="24"/>
                <w:lang w:val="en-US" w:eastAsia="zh-CN" w:bidi="ar-SA"/>
              </w:rPr>
            </w:pPr>
            <w:r>
              <w:rPr>
                <w:rFonts w:hint="eastAsia" w:ascii="宋体" w:hAnsi="宋体" w:eastAsia="宋体" w:cs="宋体"/>
                <w:b/>
                <w:bCs w:val="0"/>
                <w:kern w:val="2"/>
                <w:sz w:val="24"/>
                <w:szCs w:val="24"/>
                <w:lang w:val="en-US" w:eastAsia="zh-CN" w:bidi="ar-SA"/>
              </w:rPr>
              <w:t>泄漏处理</w:t>
            </w:r>
          </w:p>
        </w:tc>
        <w:tc>
          <w:tcPr>
            <w:tcW w:w="4752" w:type="pct"/>
            <w:gridSpan w:val="4"/>
            <w:noWrap w:val="0"/>
            <w:vAlign w:val="center"/>
          </w:tcPr>
          <w:p>
            <w:pPr>
              <w:keepNext w:val="0"/>
              <w:keepLines w:val="0"/>
              <w:pageBreakBefore w:val="0"/>
              <w:widowControl w:val="0"/>
              <w:kinsoku/>
              <w:wordWrap/>
              <w:bidi w:val="0"/>
              <w:adjustRightInd w:val="0"/>
              <w:snapToGrid w:val="0"/>
              <w:spacing w:line="240" w:lineRule="auto"/>
              <w:ind w:firstLine="0" w:firstLineChars="0"/>
              <w:jc w:val="left"/>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消除所有点火源。根据气体的影响区域划定警戒区，无关人员从侧风、上风向撤离至安全区。建议应急处理人员戴正压自给式呼吸器，穿一般作业工作服。勿使泄漏物与可燃物质（如木材、纸、油等）接触。尽可能切断泄漏源。喷雾状水抑制蒸气或改变蒸气云流向。漏出气允许排入大气中。隔离泄漏区直至气体散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55" w:hRule="atLeast"/>
          <w:jc w:val="center"/>
        </w:trPr>
        <w:tc>
          <w:tcPr>
            <w:tcW w:w="247" w:type="pct"/>
            <w:noWrap w:val="0"/>
            <w:vAlign w:val="center"/>
          </w:tcPr>
          <w:p>
            <w:pPr>
              <w:keepNext w:val="0"/>
              <w:keepLines w:val="0"/>
              <w:pageBreakBefore w:val="0"/>
              <w:widowControl w:val="0"/>
              <w:kinsoku/>
              <w:wordWrap/>
              <w:bidi w:val="0"/>
              <w:adjustRightInd w:val="0"/>
              <w:snapToGrid w:val="0"/>
              <w:spacing w:line="240" w:lineRule="auto"/>
              <w:ind w:firstLine="0" w:firstLineChars="0"/>
              <w:jc w:val="center"/>
              <w:rPr>
                <w:rFonts w:hint="eastAsia" w:ascii="宋体" w:hAnsi="宋体" w:eastAsia="宋体" w:cs="宋体"/>
                <w:b/>
                <w:bCs w:val="0"/>
                <w:kern w:val="2"/>
                <w:sz w:val="24"/>
                <w:szCs w:val="24"/>
                <w:lang w:val="en-US" w:eastAsia="zh-CN" w:bidi="ar-SA"/>
              </w:rPr>
            </w:pPr>
            <w:r>
              <w:rPr>
                <w:rFonts w:hint="eastAsia" w:ascii="宋体" w:hAnsi="宋体" w:eastAsia="宋体" w:cs="宋体"/>
                <w:b/>
                <w:bCs w:val="0"/>
                <w:kern w:val="2"/>
                <w:sz w:val="24"/>
                <w:szCs w:val="24"/>
                <w:lang w:val="en-US" w:eastAsia="zh-CN" w:bidi="ar-SA"/>
              </w:rPr>
              <w:t>储运包装</w:t>
            </w:r>
          </w:p>
        </w:tc>
        <w:tc>
          <w:tcPr>
            <w:tcW w:w="4752" w:type="pct"/>
            <w:gridSpan w:val="4"/>
            <w:noWrap w:val="0"/>
            <w:vAlign w:val="center"/>
          </w:tcPr>
          <w:p>
            <w:pPr>
              <w:keepNext w:val="0"/>
              <w:keepLines w:val="0"/>
              <w:pageBreakBefore w:val="0"/>
              <w:widowControl w:val="0"/>
              <w:kinsoku/>
              <w:wordWrap/>
              <w:bidi w:val="0"/>
              <w:adjustRightInd w:val="0"/>
              <w:snapToGrid w:val="0"/>
              <w:spacing w:line="240" w:lineRule="auto"/>
              <w:ind w:firstLine="0" w:firstLineChars="0"/>
              <w:jc w:val="left"/>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储运注意事项 ：储存于阴凉、通风的不燃气体专用库房。远离火种、热源。库温不宜超过30℃。应与易（可）燃物、活性金属粉末等分开存放，切忌混储。储区应备有泄漏应急处理设备。</w:t>
            </w:r>
          </w:p>
        </w:tc>
      </w:tr>
    </w:tbl>
    <w:p>
      <w:pPr>
        <w:pStyle w:val="7"/>
        <w:bidi w:val="0"/>
        <w:rPr>
          <w:rFonts w:hint="eastAsia" w:eastAsia="宋体"/>
          <w:lang w:val="en-US" w:eastAsia="zh-CN"/>
        </w:rPr>
      </w:pPr>
      <w:r>
        <w:rPr>
          <w:rFonts w:hint="eastAsia" w:eastAsia="宋体"/>
          <w:lang w:val="en-US" w:eastAsia="zh-CN"/>
        </w:rPr>
        <w:t>乙炔理化特性</w:t>
      </w:r>
    </w:p>
    <w:p>
      <w:pPr>
        <w:keepNext w:val="0"/>
        <w:keepLines w:val="0"/>
        <w:pageBreakBefore w:val="0"/>
        <w:widowControl w:val="0"/>
        <w:kinsoku/>
        <w:wordWrap/>
        <w:bidi w:val="0"/>
        <w:snapToGrid w:val="0"/>
        <w:spacing w:before="50" w:beforeLines="50" w:line="240" w:lineRule="auto"/>
        <w:ind w:firstLine="0" w:firstLineChars="0"/>
        <w:jc w:val="center"/>
        <w:rPr>
          <w:rFonts w:hint="eastAsia" w:ascii="宋体" w:hAnsi="宋体" w:eastAsia="宋体" w:cs="Times New Roman"/>
          <w:b/>
          <w:kern w:val="2"/>
          <w:sz w:val="24"/>
          <w:szCs w:val="24"/>
          <w:lang w:val="en-US" w:eastAsia="zh-CN" w:bidi="ar-SA"/>
        </w:rPr>
      </w:pPr>
      <w:r>
        <w:rPr>
          <w:rFonts w:hint="eastAsia" w:ascii="宋体" w:hAnsi="宋体" w:eastAsia="宋体" w:cs="Times New Roman"/>
          <w:b/>
          <w:kern w:val="2"/>
          <w:sz w:val="24"/>
          <w:szCs w:val="24"/>
          <w:lang w:val="en-US" w:eastAsia="zh-CN" w:bidi="ar-SA"/>
        </w:rPr>
        <w:t xml:space="preserve">表 </w:t>
      </w:r>
      <w:r>
        <w:rPr>
          <w:rFonts w:hint="eastAsia" w:ascii="宋体" w:hAnsi="宋体" w:eastAsia="宋体" w:cs="Times New Roman"/>
          <w:b/>
          <w:kern w:val="2"/>
          <w:sz w:val="24"/>
          <w:szCs w:val="24"/>
          <w:lang w:val="en-US" w:eastAsia="zh-CN" w:bidi="ar-SA"/>
        </w:rPr>
        <w:fldChar w:fldCharType="begin"/>
      </w:r>
      <w:r>
        <w:rPr>
          <w:rFonts w:hint="eastAsia" w:ascii="宋体" w:hAnsi="宋体" w:eastAsia="宋体" w:cs="Times New Roman"/>
          <w:b/>
          <w:kern w:val="2"/>
          <w:sz w:val="24"/>
          <w:szCs w:val="24"/>
          <w:lang w:val="en-US" w:eastAsia="zh-CN" w:bidi="ar-SA"/>
        </w:rPr>
        <w:instrText xml:space="preserve"> STYLEREF 1 \s </w:instrText>
      </w:r>
      <w:r>
        <w:rPr>
          <w:rFonts w:hint="eastAsia" w:ascii="宋体" w:hAnsi="宋体" w:eastAsia="宋体" w:cs="Times New Roman"/>
          <w:b/>
          <w:kern w:val="2"/>
          <w:sz w:val="24"/>
          <w:szCs w:val="24"/>
          <w:lang w:val="en-US" w:eastAsia="zh-CN" w:bidi="ar-SA"/>
        </w:rPr>
        <w:fldChar w:fldCharType="separate"/>
      </w:r>
      <w:r>
        <w:rPr>
          <w:rFonts w:hint="eastAsia" w:ascii="宋体" w:hAnsi="宋体" w:eastAsia="宋体" w:cs="Times New Roman"/>
          <w:b/>
          <w:kern w:val="2"/>
          <w:sz w:val="24"/>
          <w:szCs w:val="24"/>
          <w:lang w:val="en-US" w:eastAsia="zh-CN" w:bidi="ar-SA"/>
        </w:rPr>
        <w:t>3</w:t>
      </w:r>
      <w:r>
        <w:rPr>
          <w:rFonts w:hint="eastAsia" w:ascii="宋体" w:hAnsi="宋体" w:eastAsia="宋体" w:cs="Times New Roman"/>
          <w:b/>
          <w:kern w:val="2"/>
          <w:sz w:val="24"/>
          <w:szCs w:val="24"/>
          <w:lang w:val="en-US" w:eastAsia="zh-CN" w:bidi="ar-SA"/>
        </w:rPr>
        <w:fldChar w:fldCharType="end"/>
      </w:r>
      <w:r>
        <w:rPr>
          <w:rFonts w:hint="eastAsia" w:ascii="宋体" w:hAnsi="宋体" w:eastAsia="宋体" w:cs="Times New Roman"/>
          <w:b/>
          <w:kern w:val="2"/>
          <w:sz w:val="24"/>
          <w:szCs w:val="24"/>
          <w:lang w:val="en-US" w:eastAsia="zh-CN" w:bidi="ar-SA"/>
        </w:rPr>
        <w:t>-</w:t>
      </w:r>
      <w:r>
        <w:rPr>
          <w:rFonts w:hint="eastAsia" w:ascii="宋体" w:hAnsi="宋体" w:eastAsia="宋体" w:cs="Times New Roman"/>
          <w:b/>
          <w:kern w:val="2"/>
          <w:sz w:val="24"/>
          <w:szCs w:val="24"/>
          <w:lang w:val="en-US" w:eastAsia="zh-CN" w:bidi="ar-SA"/>
        </w:rPr>
        <w:fldChar w:fldCharType="begin"/>
      </w:r>
      <w:r>
        <w:rPr>
          <w:rFonts w:hint="eastAsia" w:ascii="宋体" w:hAnsi="宋体" w:eastAsia="宋体" w:cs="Times New Roman"/>
          <w:b/>
          <w:kern w:val="2"/>
          <w:sz w:val="24"/>
          <w:szCs w:val="24"/>
          <w:lang w:val="en-US" w:eastAsia="zh-CN" w:bidi="ar-SA"/>
        </w:rPr>
        <w:instrText xml:space="preserve"> SEQ 表 \* ARABIC \s 1 </w:instrText>
      </w:r>
      <w:r>
        <w:rPr>
          <w:rFonts w:hint="eastAsia" w:ascii="宋体" w:hAnsi="宋体" w:eastAsia="宋体" w:cs="Times New Roman"/>
          <w:b/>
          <w:kern w:val="2"/>
          <w:sz w:val="24"/>
          <w:szCs w:val="24"/>
          <w:lang w:val="en-US" w:eastAsia="zh-CN" w:bidi="ar-SA"/>
        </w:rPr>
        <w:fldChar w:fldCharType="separate"/>
      </w:r>
      <w:r>
        <w:rPr>
          <w:rFonts w:hint="eastAsia" w:ascii="宋体" w:hAnsi="宋体" w:eastAsia="宋体" w:cs="Times New Roman"/>
          <w:b/>
          <w:kern w:val="2"/>
          <w:sz w:val="24"/>
          <w:szCs w:val="24"/>
          <w:lang w:val="en-US" w:eastAsia="zh-CN" w:bidi="ar-SA"/>
        </w:rPr>
        <w:t>2</w:t>
      </w:r>
      <w:r>
        <w:rPr>
          <w:rFonts w:hint="eastAsia" w:ascii="宋体" w:hAnsi="宋体" w:eastAsia="宋体" w:cs="Times New Roman"/>
          <w:b/>
          <w:kern w:val="2"/>
          <w:sz w:val="24"/>
          <w:szCs w:val="24"/>
          <w:lang w:val="en-US" w:eastAsia="zh-CN" w:bidi="ar-SA"/>
        </w:rPr>
        <w:fldChar w:fldCharType="end"/>
      </w:r>
      <w:r>
        <w:rPr>
          <w:rFonts w:hint="eastAsia" w:ascii="宋体" w:hAnsi="宋体" w:eastAsia="宋体" w:cs="Times New Roman"/>
          <w:b/>
          <w:kern w:val="2"/>
          <w:sz w:val="24"/>
          <w:szCs w:val="24"/>
          <w:lang w:val="en-US" w:eastAsia="zh-CN" w:bidi="ar-SA"/>
        </w:rPr>
        <w:t>乙炔理化特性表</w:t>
      </w:r>
    </w:p>
    <w:tbl>
      <w:tblPr>
        <w:tblStyle w:val="29"/>
        <w:tblW w:w="4998" w:type="pct"/>
        <w:jc w:val="center"/>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autofit"/>
        <w:tblCellMar>
          <w:top w:w="0" w:type="dxa"/>
          <w:left w:w="108" w:type="dxa"/>
          <w:bottom w:w="0" w:type="dxa"/>
          <w:right w:w="108" w:type="dxa"/>
        </w:tblCellMar>
      </w:tblPr>
      <w:tblGrid>
        <w:gridCol w:w="457"/>
        <w:gridCol w:w="1357"/>
        <w:gridCol w:w="1202"/>
        <w:gridCol w:w="40"/>
        <w:gridCol w:w="24"/>
        <w:gridCol w:w="309"/>
        <w:gridCol w:w="905"/>
        <w:gridCol w:w="515"/>
        <w:gridCol w:w="616"/>
        <w:gridCol w:w="118"/>
        <w:gridCol w:w="6"/>
        <w:gridCol w:w="29"/>
        <w:gridCol w:w="172"/>
        <w:gridCol w:w="1147"/>
        <w:gridCol w:w="97"/>
        <w:gridCol w:w="642"/>
        <w:gridCol w:w="876"/>
        <w:gridCol w:w="7"/>
      </w:tblGrid>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jc w:val="center"/>
        </w:trPr>
        <w:tc>
          <w:tcPr>
            <w:tcW w:w="243" w:type="pct"/>
            <w:vMerge w:val="restart"/>
            <w:tcBorders>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b/>
                <w:bCs w:val="0"/>
                <w:kern w:val="2"/>
                <w:sz w:val="24"/>
                <w:szCs w:val="24"/>
                <w:lang w:val="en-US" w:eastAsia="zh-CN" w:bidi="ar-SA"/>
              </w:rPr>
            </w:pPr>
            <w:r>
              <w:rPr>
                <w:rFonts w:hint="eastAsia" w:ascii="宋体" w:hAnsi="宋体" w:eastAsia="宋体" w:cs="宋体"/>
                <w:b/>
                <w:bCs w:val="0"/>
                <w:kern w:val="2"/>
                <w:sz w:val="24"/>
                <w:szCs w:val="24"/>
                <w:lang w:val="en-US" w:eastAsia="zh-CN" w:bidi="ar-SA"/>
              </w:rPr>
              <w:t>标识</w:t>
            </w:r>
          </w:p>
        </w:tc>
        <w:tc>
          <w:tcPr>
            <w:tcW w:w="3023" w:type="pct"/>
            <w:gridSpan w:val="11"/>
            <w:tcBorders>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中文名：乙炔[溶于介质的]；电石气</w:t>
            </w:r>
          </w:p>
        </w:tc>
        <w:tc>
          <w:tcPr>
            <w:tcW w:w="1732" w:type="pct"/>
            <w:gridSpan w:val="6"/>
            <w:tcBorders>
              <w:left w:val="single" w:color="auto" w:sz="6" w:space="0"/>
              <w:bottom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危险货物编号：21024</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jc w:val="center"/>
        </w:trPr>
        <w:tc>
          <w:tcPr>
            <w:tcW w:w="243" w:type="pct"/>
            <w:vMerge w:val="continue"/>
            <w:tcBorders>
              <w:top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b/>
                <w:bCs w:val="0"/>
                <w:kern w:val="2"/>
                <w:sz w:val="24"/>
                <w:szCs w:val="24"/>
                <w:lang w:val="en-US" w:eastAsia="zh-CN" w:bidi="ar-SA"/>
              </w:rPr>
            </w:pPr>
          </w:p>
        </w:tc>
        <w:tc>
          <w:tcPr>
            <w:tcW w:w="3023" w:type="pct"/>
            <w:gridSpan w:val="11"/>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英文名：acetylene，dissolved</w:t>
            </w:r>
          </w:p>
        </w:tc>
        <w:tc>
          <w:tcPr>
            <w:tcW w:w="1732" w:type="pct"/>
            <w:gridSpan w:val="6"/>
            <w:tcBorders>
              <w:top w:val="single" w:color="auto" w:sz="6" w:space="0"/>
              <w:left w:val="single" w:color="auto" w:sz="6" w:space="0"/>
              <w:bottom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UN编号：1001</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jc w:val="center"/>
        </w:trPr>
        <w:tc>
          <w:tcPr>
            <w:tcW w:w="243" w:type="pct"/>
            <w:vMerge w:val="continue"/>
            <w:tcBorders>
              <w:top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b/>
                <w:bCs w:val="0"/>
                <w:kern w:val="2"/>
                <w:sz w:val="24"/>
                <w:szCs w:val="24"/>
                <w:lang w:val="en-US" w:eastAsia="zh-CN" w:bidi="ar-SA"/>
              </w:rPr>
            </w:pPr>
          </w:p>
        </w:tc>
        <w:tc>
          <w:tcPr>
            <w:tcW w:w="1546" w:type="pct"/>
            <w:gridSpan w:val="4"/>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分子式：C2H2</w:t>
            </w:r>
          </w:p>
        </w:tc>
        <w:tc>
          <w:tcPr>
            <w:tcW w:w="1477" w:type="pct"/>
            <w:gridSpan w:val="7"/>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分子量：26.04</w:t>
            </w:r>
          </w:p>
        </w:tc>
        <w:tc>
          <w:tcPr>
            <w:tcW w:w="1732" w:type="pct"/>
            <w:gridSpan w:val="6"/>
            <w:tcBorders>
              <w:top w:val="single" w:color="auto" w:sz="6" w:space="0"/>
              <w:left w:val="single" w:color="auto" w:sz="6" w:space="0"/>
              <w:bottom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CAS号：74-86-2</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jc w:val="center"/>
        </w:trPr>
        <w:tc>
          <w:tcPr>
            <w:tcW w:w="243" w:type="pct"/>
            <w:vMerge w:val="restart"/>
            <w:tcBorders>
              <w:top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b/>
                <w:bCs w:val="0"/>
                <w:kern w:val="2"/>
                <w:sz w:val="24"/>
                <w:szCs w:val="24"/>
                <w:lang w:val="en-US" w:eastAsia="zh-CN" w:bidi="ar-SA"/>
              </w:rPr>
            </w:pPr>
            <w:r>
              <w:rPr>
                <w:rFonts w:hint="eastAsia" w:ascii="宋体" w:hAnsi="宋体" w:eastAsia="宋体" w:cs="宋体"/>
                <w:b/>
                <w:bCs w:val="0"/>
                <w:kern w:val="2"/>
                <w:sz w:val="24"/>
                <w:szCs w:val="24"/>
                <w:lang w:val="en-US" w:eastAsia="zh-CN" w:bidi="ar-SA"/>
              </w:rPr>
              <w:t>理化性质</w:t>
            </w:r>
          </w:p>
        </w:tc>
        <w:tc>
          <w:tcPr>
            <w:tcW w:w="798" w:type="pct"/>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外观与性状</w:t>
            </w:r>
          </w:p>
        </w:tc>
        <w:tc>
          <w:tcPr>
            <w:tcW w:w="3957" w:type="pct"/>
            <w:gridSpan w:val="16"/>
            <w:tcBorders>
              <w:top w:val="single" w:color="auto" w:sz="6" w:space="0"/>
              <w:left w:val="single" w:color="auto" w:sz="6" w:space="0"/>
              <w:bottom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无色无臭气体，工业品有使人不愉快的大蒜气味。</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gridAfter w:val="1"/>
          <w:wAfter w:w="3" w:type="pct"/>
          <w:jc w:val="center"/>
        </w:trPr>
        <w:tc>
          <w:tcPr>
            <w:tcW w:w="243" w:type="pct"/>
            <w:vMerge w:val="continue"/>
            <w:tcBorders>
              <w:top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b/>
                <w:bCs w:val="0"/>
                <w:kern w:val="2"/>
                <w:sz w:val="24"/>
                <w:szCs w:val="24"/>
                <w:lang w:val="en-US" w:eastAsia="zh-CN" w:bidi="ar-SA"/>
              </w:rPr>
            </w:pPr>
          </w:p>
        </w:tc>
        <w:tc>
          <w:tcPr>
            <w:tcW w:w="798" w:type="pct"/>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熔点（℃）</w:t>
            </w:r>
          </w:p>
        </w:tc>
        <w:tc>
          <w:tcPr>
            <w:tcW w:w="707" w:type="pct"/>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-81.8</w:t>
            </w:r>
          </w:p>
        </w:tc>
        <w:tc>
          <w:tcPr>
            <w:tcW w:w="1061" w:type="pct"/>
            <w:gridSpan w:val="5"/>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相对密度(水=1)</w:t>
            </w:r>
          </w:p>
        </w:tc>
        <w:tc>
          <w:tcPr>
            <w:tcW w:w="433" w:type="pct"/>
            <w:gridSpan w:val="2"/>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0.62</w:t>
            </w:r>
          </w:p>
        </w:tc>
        <w:tc>
          <w:tcPr>
            <w:tcW w:w="1235" w:type="pct"/>
            <w:gridSpan w:val="6"/>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相对密度(空气=1)</w:t>
            </w:r>
          </w:p>
        </w:tc>
        <w:tc>
          <w:tcPr>
            <w:tcW w:w="515" w:type="pct"/>
            <w:tcBorders>
              <w:top w:val="single" w:color="auto" w:sz="6" w:space="0"/>
              <w:left w:val="single" w:color="auto" w:sz="6" w:space="0"/>
              <w:bottom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0.91</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jc w:val="center"/>
        </w:trPr>
        <w:tc>
          <w:tcPr>
            <w:tcW w:w="243" w:type="pct"/>
            <w:vMerge w:val="continue"/>
            <w:tcBorders>
              <w:top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b/>
                <w:bCs w:val="0"/>
                <w:kern w:val="2"/>
                <w:sz w:val="24"/>
                <w:szCs w:val="24"/>
                <w:lang w:val="en-US" w:eastAsia="zh-CN" w:bidi="ar-SA"/>
              </w:rPr>
            </w:pPr>
          </w:p>
        </w:tc>
        <w:tc>
          <w:tcPr>
            <w:tcW w:w="798" w:type="pct"/>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沸点（℃）</w:t>
            </w:r>
          </w:p>
        </w:tc>
        <w:tc>
          <w:tcPr>
            <w:tcW w:w="707" w:type="pct"/>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-83.8</w:t>
            </w:r>
          </w:p>
        </w:tc>
        <w:tc>
          <w:tcPr>
            <w:tcW w:w="1495" w:type="pct"/>
            <w:gridSpan w:val="7"/>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饱和蒸气压（kPa）</w:t>
            </w:r>
          </w:p>
        </w:tc>
        <w:tc>
          <w:tcPr>
            <w:tcW w:w="1754" w:type="pct"/>
            <w:gridSpan w:val="8"/>
            <w:tcBorders>
              <w:top w:val="single" w:color="auto" w:sz="6" w:space="0"/>
              <w:left w:val="single" w:color="auto" w:sz="6" w:space="0"/>
              <w:bottom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4053/16.8℃</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jc w:val="center"/>
        </w:trPr>
        <w:tc>
          <w:tcPr>
            <w:tcW w:w="243" w:type="pct"/>
            <w:vMerge w:val="continue"/>
            <w:tcBorders>
              <w:top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b/>
                <w:bCs w:val="0"/>
                <w:kern w:val="2"/>
                <w:sz w:val="24"/>
                <w:szCs w:val="24"/>
                <w:lang w:val="en-US" w:eastAsia="zh-CN" w:bidi="ar-SA"/>
              </w:rPr>
            </w:pPr>
          </w:p>
        </w:tc>
        <w:tc>
          <w:tcPr>
            <w:tcW w:w="798" w:type="pct"/>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溶解性</w:t>
            </w:r>
          </w:p>
        </w:tc>
        <w:tc>
          <w:tcPr>
            <w:tcW w:w="2206" w:type="pct"/>
            <w:gridSpan w:val="9"/>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微溶于水、乙醇，溶于丙酮、氯仿、苯。</w:t>
            </w:r>
          </w:p>
        </w:tc>
        <w:tc>
          <w:tcPr>
            <w:tcW w:w="794" w:type="pct"/>
            <w:gridSpan w:val="3"/>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临界温度（℃）</w:t>
            </w:r>
          </w:p>
        </w:tc>
        <w:tc>
          <w:tcPr>
            <w:tcW w:w="956" w:type="pct"/>
            <w:gridSpan w:val="4"/>
            <w:tcBorders>
              <w:top w:val="single" w:color="auto" w:sz="6" w:space="0"/>
              <w:left w:val="single" w:color="auto" w:sz="6" w:space="0"/>
              <w:bottom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35.2</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jc w:val="center"/>
        </w:trPr>
        <w:tc>
          <w:tcPr>
            <w:tcW w:w="243" w:type="pct"/>
            <w:vMerge w:val="restart"/>
            <w:tcBorders>
              <w:top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b/>
                <w:bCs w:val="0"/>
                <w:kern w:val="2"/>
                <w:sz w:val="24"/>
                <w:szCs w:val="24"/>
                <w:lang w:val="en-US" w:eastAsia="zh-CN" w:bidi="ar-SA"/>
              </w:rPr>
            </w:pPr>
            <w:r>
              <w:rPr>
                <w:rFonts w:hint="eastAsia" w:ascii="宋体" w:hAnsi="宋体" w:eastAsia="宋体" w:cs="宋体"/>
                <w:b/>
                <w:bCs w:val="0"/>
                <w:kern w:val="2"/>
                <w:sz w:val="24"/>
                <w:szCs w:val="24"/>
                <w:lang w:val="en-US" w:eastAsia="zh-CN" w:bidi="ar-SA"/>
              </w:rPr>
              <w:t>毒性及健康危害</w:t>
            </w:r>
          </w:p>
        </w:tc>
        <w:tc>
          <w:tcPr>
            <w:tcW w:w="798" w:type="pct"/>
            <w:tcBorders>
              <w:top w:val="single" w:color="auto" w:sz="6" w:space="0"/>
              <w:left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侵入途径</w:t>
            </w:r>
          </w:p>
        </w:tc>
        <w:tc>
          <w:tcPr>
            <w:tcW w:w="3957" w:type="pct"/>
            <w:gridSpan w:val="16"/>
            <w:tcBorders>
              <w:top w:val="single" w:color="auto" w:sz="6" w:space="0"/>
              <w:lef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吸入。</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jc w:val="center"/>
        </w:trPr>
        <w:tc>
          <w:tcPr>
            <w:tcW w:w="243" w:type="pct"/>
            <w:vMerge w:val="continue"/>
            <w:tcBorders>
              <w:top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b/>
                <w:bCs w:val="0"/>
                <w:kern w:val="2"/>
                <w:sz w:val="24"/>
                <w:szCs w:val="24"/>
                <w:lang w:val="en-US" w:eastAsia="zh-CN" w:bidi="ar-SA"/>
              </w:rPr>
            </w:pPr>
          </w:p>
        </w:tc>
        <w:tc>
          <w:tcPr>
            <w:tcW w:w="798" w:type="pct"/>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毒性</w:t>
            </w:r>
          </w:p>
        </w:tc>
        <w:tc>
          <w:tcPr>
            <w:tcW w:w="3957" w:type="pct"/>
            <w:gridSpan w:val="16"/>
            <w:tcBorders>
              <w:top w:val="single" w:color="auto" w:sz="6" w:space="0"/>
              <w:left w:val="single" w:color="auto" w:sz="6" w:space="0"/>
              <w:bottom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LD50：                       LC50：</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jc w:val="center"/>
        </w:trPr>
        <w:tc>
          <w:tcPr>
            <w:tcW w:w="243" w:type="pct"/>
            <w:vMerge w:val="continue"/>
            <w:tcBorders>
              <w:top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b/>
                <w:bCs w:val="0"/>
                <w:kern w:val="2"/>
                <w:sz w:val="24"/>
                <w:szCs w:val="24"/>
                <w:lang w:val="en-US" w:eastAsia="zh-CN" w:bidi="ar-SA"/>
              </w:rPr>
            </w:pPr>
          </w:p>
        </w:tc>
        <w:tc>
          <w:tcPr>
            <w:tcW w:w="798" w:type="pct"/>
            <w:tcBorders>
              <w:top w:val="single" w:color="auto" w:sz="6" w:space="0"/>
              <w:left w:val="single" w:color="auto" w:sz="6" w:space="0"/>
              <w:bottom w:val="single" w:color="auto" w:sz="4"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健康危害</w:t>
            </w:r>
          </w:p>
        </w:tc>
        <w:tc>
          <w:tcPr>
            <w:tcW w:w="3957" w:type="pct"/>
            <w:gridSpan w:val="16"/>
            <w:tcBorders>
              <w:top w:val="single" w:color="auto" w:sz="6" w:space="0"/>
              <w:left w:val="single" w:color="auto" w:sz="6"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具有弱麻醉作用。急性中毒：接触10%～20%乙炔，工人可引起不同程度的缺氧症状；吸入高浓度乙炔，初期兴奋、多语、哭笑不安，后眩晕、头痛、恶心和呕吐，共济失调、嗜睡；严重者昏迷、紫绀、瞳孔对光反应消失、脉弱而不齐。停止吸入，症状可迅速消失。慢性中毒：目前未见有慢性中毒报告。有时可能有混合气体中毒的问题，如磷化氢，应予注意。</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jc w:val="center"/>
        </w:trPr>
        <w:tc>
          <w:tcPr>
            <w:tcW w:w="243" w:type="pct"/>
            <w:vMerge w:val="continue"/>
            <w:tcBorders>
              <w:top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b/>
                <w:bCs w:val="0"/>
                <w:kern w:val="2"/>
                <w:sz w:val="24"/>
                <w:szCs w:val="24"/>
                <w:lang w:val="en-US" w:eastAsia="zh-CN" w:bidi="ar-SA"/>
              </w:rPr>
            </w:pPr>
          </w:p>
        </w:tc>
        <w:tc>
          <w:tcPr>
            <w:tcW w:w="798" w:type="pct"/>
            <w:tcBorders>
              <w:top w:val="single" w:color="auto" w:sz="4"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急救方法</w:t>
            </w:r>
          </w:p>
        </w:tc>
        <w:tc>
          <w:tcPr>
            <w:tcW w:w="3957" w:type="pct"/>
            <w:gridSpan w:val="16"/>
            <w:tcBorders>
              <w:top w:val="single" w:color="auto" w:sz="4" w:space="0"/>
              <w:left w:val="single" w:color="auto" w:sz="6" w:space="0"/>
              <w:bottom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吸入：迅速脱离现场至空气新鲜处。保持呼吸道通畅。如呼吸困难，给输氧。如呼吸停止，立即进行人工呼吸。就医。</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jc w:val="center"/>
        </w:trPr>
        <w:tc>
          <w:tcPr>
            <w:tcW w:w="243" w:type="pct"/>
            <w:vMerge w:val="restart"/>
            <w:tcBorders>
              <w:top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b/>
                <w:bCs w:val="0"/>
                <w:kern w:val="2"/>
                <w:sz w:val="24"/>
                <w:szCs w:val="24"/>
                <w:lang w:val="en-US" w:eastAsia="zh-CN" w:bidi="ar-SA"/>
              </w:rPr>
            </w:pPr>
            <w:r>
              <w:rPr>
                <w:rFonts w:hint="eastAsia" w:ascii="宋体" w:hAnsi="宋体" w:eastAsia="宋体" w:cs="宋体"/>
                <w:b/>
                <w:bCs w:val="0"/>
                <w:kern w:val="2"/>
                <w:sz w:val="24"/>
                <w:szCs w:val="24"/>
                <w:lang w:val="en-US" w:eastAsia="zh-CN" w:bidi="ar-SA"/>
              </w:rPr>
              <w:t>燃烧爆炸危险性</w:t>
            </w:r>
          </w:p>
        </w:tc>
        <w:tc>
          <w:tcPr>
            <w:tcW w:w="798" w:type="pct"/>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燃烧性</w:t>
            </w:r>
          </w:p>
        </w:tc>
        <w:tc>
          <w:tcPr>
            <w:tcW w:w="931" w:type="pct"/>
            <w:gridSpan w:val="4"/>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易燃</w:t>
            </w:r>
          </w:p>
        </w:tc>
        <w:tc>
          <w:tcPr>
            <w:tcW w:w="1200" w:type="pct"/>
            <w:gridSpan w:val="3"/>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燃烧分解物</w:t>
            </w:r>
          </w:p>
        </w:tc>
        <w:tc>
          <w:tcPr>
            <w:tcW w:w="1825" w:type="pct"/>
            <w:gridSpan w:val="9"/>
            <w:tcBorders>
              <w:top w:val="single" w:color="auto" w:sz="6" w:space="0"/>
              <w:left w:val="single" w:color="auto" w:sz="6" w:space="0"/>
              <w:bottom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一氧化碳、二氧化碳。</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jc w:val="center"/>
        </w:trPr>
        <w:tc>
          <w:tcPr>
            <w:tcW w:w="243" w:type="pct"/>
            <w:vMerge w:val="continue"/>
            <w:tcBorders>
              <w:top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b/>
                <w:bCs w:val="0"/>
                <w:kern w:val="2"/>
                <w:sz w:val="24"/>
                <w:szCs w:val="24"/>
                <w:lang w:val="en-US" w:eastAsia="zh-CN" w:bidi="ar-SA"/>
              </w:rPr>
            </w:pPr>
          </w:p>
        </w:tc>
        <w:tc>
          <w:tcPr>
            <w:tcW w:w="798" w:type="pct"/>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闪点(℃)</w:t>
            </w:r>
          </w:p>
        </w:tc>
        <w:tc>
          <w:tcPr>
            <w:tcW w:w="931" w:type="pct"/>
            <w:gridSpan w:val="4"/>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-32</w:t>
            </w:r>
          </w:p>
        </w:tc>
        <w:tc>
          <w:tcPr>
            <w:tcW w:w="1200" w:type="pct"/>
            <w:gridSpan w:val="3"/>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爆炸上限（v%）</w:t>
            </w:r>
          </w:p>
        </w:tc>
        <w:tc>
          <w:tcPr>
            <w:tcW w:w="1825" w:type="pct"/>
            <w:gridSpan w:val="9"/>
            <w:tcBorders>
              <w:top w:val="single" w:color="auto" w:sz="6" w:space="0"/>
              <w:left w:val="single" w:color="auto" w:sz="6" w:space="0"/>
              <w:bottom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80.0</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jc w:val="center"/>
        </w:trPr>
        <w:tc>
          <w:tcPr>
            <w:tcW w:w="243" w:type="pct"/>
            <w:vMerge w:val="continue"/>
            <w:tcBorders>
              <w:top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b/>
                <w:bCs w:val="0"/>
                <w:kern w:val="2"/>
                <w:sz w:val="24"/>
                <w:szCs w:val="24"/>
                <w:lang w:val="en-US" w:eastAsia="zh-CN" w:bidi="ar-SA"/>
              </w:rPr>
            </w:pPr>
          </w:p>
        </w:tc>
        <w:tc>
          <w:tcPr>
            <w:tcW w:w="798" w:type="pct"/>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引燃温度(℃)</w:t>
            </w:r>
          </w:p>
        </w:tc>
        <w:tc>
          <w:tcPr>
            <w:tcW w:w="931" w:type="pct"/>
            <w:gridSpan w:val="4"/>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305</w:t>
            </w:r>
          </w:p>
        </w:tc>
        <w:tc>
          <w:tcPr>
            <w:tcW w:w="1200" w:type="pct"/>
            <w:gridSpan w:val="3"/>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爆炸下限（v%）</w:t>
            </w:r>
          </w:p>
        </w:tc>
        <w:tc>
          <w:tcPr>
            <w:tcW w:w="1825" w:type="pct"/>
            <w:gridSpan w:val="9"/>
            <w:tcBorders>
              <w:top w:val="single" w:color="auto" w:sz="6" w:space="0"/>
              <w:left w:val="single" w:color="auto" w:sz="6" w:space="0"/>
              <w:bottom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2.1</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jc w:val="center"/>
        </w:trPr>
        <w:tc>
          <w:tcPr>
            <w:tcW w:w="243" w:type="pct"/>
            <w:vMerge w:val="continue"/>
            <w:tcBorders>
              <w:top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bCs/>
                <w:kern w:val="2"/>
                <w:sz w:val="24"/>
                <w:szCs w:val="24"/>
                <w:lang w:val="en-US" w:eastAsia="zh-CN" w:bidi="ar-SA"/>
              </w:rPr>
            </w:pPr>
          </w:p>
        </w:tc>
        <w:tc>
          <w:tcPr>
            <w:tcW w:w="798" w:type="pct"/>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危险特性</w:t>
            </w:r>
          </w:p>
        </w:tc>
        <w:tc>
          <w:tcPr>
            <w:tcW w:w="3957" w:type="pct"/>
            <w:gridSpan w:val="16"/>
            <w:tcBorders>
              <w:top w:val="single" w:color="auto" w:sz="6" w:space="0"/>
              <w:left w:val="single" w:color="auto" w:sz="6" w:space="0"/>
              <w:bottom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极易燃烧爆炸，与空气混合能形成爆炸性混合物。遇明火、高热能引起燃烧爆炸。与氧化剂接触会猛烈反应。与氟、氯等接触会发生剧烈的化学反应。能与铜、银、汞等的化合物生成爆炸性物质。</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jc w:val="center"/>
        </w:trPr>
        <w:tc>
          <w:tcPr>
            <w:tcW w:w="243" w:type="pct"/>
            <w:vMerge w:val="continue"/>
            <w:tcBorders>
              <w:top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bCs/>
                <w:kern w:val="2"/>
                <w:sz w:val="24"/>
                <w:szCs w:val="24"/>
                <w:lang w:val="en-US" w:eastAsia="zh-CN" w:bidi="ar-SA"/>
              </w:rPr>
            </w:pPr>
          </w:p>
        </w:tc>
        <w:tc>
          <w:tcPr>
            <w:tcW w:w="798" w:type="pct"/>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建规火险分级</w:t>
            </w:r>
          </w:p>
        </w:tc>
        <w:tc>
          <w:tcPr>
            <w:tcW w:w="732" w:type="pct"/>
            <w:gridSpan w:val="2"/>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甲</w:t>
            </w:r>
          </w:p>
        </w:tc>
        <w:tc>
          <w:tcPr>
            <w:tcW w:w="732" w:type="pct"/>
            <w:gridSpan w:val="3"/>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稳定性</w:t>
            </w:r>
          </w:p>
        </w:tc>
        <w:tc>
          <w:tcPr>
            <w:tcW w:w="863" w:type="pct"/>
            <w:gridSpan w:val="6"/>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稳定</w:t>
            </w:r>
          </w:p>
        </w:tc>
        <w:tc>
          <w:tcPr>
            <w:tcW w:w="732" w:type="pct"/>
            <w:gridSpan w:val="2"/>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聚合危害</w:t>
            </w:r>
          </w:p>
        </w:tc>
        <w:tc>
          <w:tcPr>
            <w:tcW w:w="895" w:type="pct"/>
            <w:gridSpan w:val="3"/>
            <w:tcBorders>
              <w:top w:val="single" w:color="auto" w:sz="6" w:space="0"/>
              <w:left w:val="single" w:color="auto" w:sz="6" w:space="0"/>
              <w:bottom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聚合</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jc w:val="center"/>
        </w:trPr>
        <w:tc>
          <w:tcPr>
            <w:tcW w:w="243" w:type="pct"/>
            <w:vMerge w:val="continue"/>
            <w:tcBorders>
              <w:top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bCs/>
                <w:kern w:val="2"/>
                <w:sz w:val="24"/>
                <w:szCs w:val="24"/>
                <w:lang w:val="en-US" w:eastAsia="zh-CN" w:bidi="ar-SA"/>
              </w:rPr>
            </w:pPr>
          </w:p>
        </w:tc>
        <w:tc>
          <w:tcPr>
            <w:tcW w:w="798" w:type="pct"/>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禁忌物</w:t>
            </w:r>
          </w:p>
        </w:tc>
        <w:tc>
          <w:tcPr>
            <w:tcW w:w="3957" w:type="pct"/>
            <w:gridSpan w:val="16"/>
            <w:tcBorders>
              <w:top w:val="single" w:color="auto" w:sz="6" w:space="0"/>
              <w:left w:val="single" w:color="auto" w:sz="6" w:space="0"/>
              <w:bottom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强氧化剂、强酸、卤素。</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jc w:val="center"/>
        </w:trPr>
        <w:tc>
          <w:tcPr>
            <w:tcW w:w="243" w:type="pct"/>
            <w:vMerge w:val="continue"/>
            <w:tcBorders>
              <w:top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bCs/>
                <w:kern w:val="2"/>
                <w:sz w:val="24"/>
                <w:szCs w:val="24"/>
                <w:lang w:val="en-US" w:eastAsia="zh-CN" w:bidi="ar-SA"/>
              </w:rPr>
            </w:pPr>
          </w:p>
        </w:tc>
        <w:tc>
          <w:tcPr>
            <w:tcW w:w="798" w:type="pct"/>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储运条件</w:t>
            </w:r>
          </w:p>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与泄漏处理</w:t>
            </w:r>
          </w:p>
        </w:tc>
        <w:tc>
          <w:tcPr>
            <w:tcW w:w="3957" w:type="pct"/>
            <w:gridSpan w:val="16"/>
            <w:tcBorders>
              <w:top w:val="single" w:color="auto" w:sz="6" w:space="0"/>
              <w:left w:val="single" w:color="auto" w:sz="6" w:space="0"/>
              <w:bottom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储运条件：乙炔的包装法通常是溶解在溶剂及多孔物中， 装入钢瓶内。储存于阴凉、通风的库房。远离火种、热源。库温不宜超过30℃。应与氧化剂、酸类、卤素分开存放，切忌混储。采用防爆型照明、通风设施。禁止使用易产生火花的机械设备和工具。储区应备有泄漏应急处理设备。搬运时应轻装轻卸，防止钢瓶及附件破损。泄漏处理：迅速撤离泄漏污染区人员至上风处，并进行隔离，严格限制出入。切断火源。建议应急处理人员戴自给正压式呼吸器，穿消防防护服。尽可能切断泄漏源。合理通风，加速扩散。喷雾状水稀释、溶解。构筑围堤或挖坑收容产生的大量废水。如有可能，将漏出气用排风机送至空旷地方或装设适当喷头烧掉。漏气容器要妥善处理，修复、检验后再用。</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jc w:val="center"/>
        </w:trPr>
        <w:tc>
          <w:tcPr>
            <w:tcW w:w="243" w:type="pct"/>
            <w:vMerge w:val="continue"/>
            <w:tcBorders>
              <w:top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bCs/>
                <w:kern w:val="2"/>
                <w:sz w:val="24"/>
                <w:szCs w:val="24"/>
                <w:lang w:val="en-US" w:eastAsia="zh-CN" w:bidi="ar-SA"/>
              </w:rPr>
            </w:pPr>
          </w:p>
        </w:tc>
        <w:tc>
          <w:tcPr>
            <w:tcW w:w="798" w:type="pct"/>
            <w:tcBorders>
              <w:top w:val="single" w:color="auto" w:sz="6" w:space="0"/>
              <w:left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灭火方法</w:t>
            </w:r>
          </w:p>
        </w:tc>
        <w:tc>
          <w:tcPr>
            <w:tcW w:w="3957" w:type="pct"/>
            <w:gridSpan w:val="16"/>
            <w:tcBorders>
              <w:top w:val="single" w:color="auto" w:sz="6" w:space="0"/>
              <w:lef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切断气源。若不能立即切断气源，则不允许熄灭正在燃烧的气体。喷水冷却容器，可能的话将容器从火场移至空旷处。灭火剂：雾状水、泡沫、二氧化碳、干粉。</w:t>
            </w:r>
          </w:p>
        </w:tc>
      </w:tr>
    </w:tbl>
    <w:p>
      <w:pPr>
        <w:rPr>
          <w:rFonts w:hint="eastAsia"/>
          <w:lang w:val="en-US" w:eastAsia="zh-CN"/>
        </w:rPr>
      </w:pPr>
    </w:p>
    <w:bookmarkEnd w:id="190"/>
    <w:p>
      <w:pPr>
        <w:pStyle w:val="7"/>
        <w:bidi w:val="0"/>
        <w:rPr>
          <w:rFonts w:hint="eastAsia"/>
          <w:lang w:val="en-US" w:eastAsia="zh-CN"/>
        </w:rPr>
      </w:pPr>
      <w:r>
        <w:rPr>
          <w:rFonts w:hint="eastAsia"/>
          <w:lang w:val="en-US" w:eastAsia="zh-CN"/>
        </w:rPr>
        <w:t>柴油理化特性</w:t>
      </w:r>
    </w:p>
    <w:p>
      <w:pPr>
        <w:keepNext w:val="0"/>
        <w:keepLines w:val="0"/>
        <w:pageBreakBefore w:val="0"/>
        <w:widowControl w:val="0"/>
        <w:numPr>
          <w:ilvl w:val="0"/>
          <w:numId w:val="0"/>
        </w:numPr>
        <w:kinsoku/>
        <w:wordWrap/>
        <w:bidi w:val="0"/>
        <w:spacing w:before="50" w:beforeLines="50" w:line="240" w:lineRule="auto"/>
        <w:ind w:leftChars="0" w:firstLine="0" w:firstLineChars="0"/>
        <w:jc w:val="center"/>
        <w:rPr>
          <w:rFonts w:ascii="宋体" w:hAnsi="宋体" w:eastAsia="宋体" w:cs="Times New Roman"/>
          <w:b/>
          <w:kern w:val="2"/>
          <w:sz w:val="24"/>
          <w:szCs w:val="24"/>
          <w:lang w:val="en-US" w:eastAsia="zh-CN" w:bidi="ar-SA"/>
        </w:rPr>
      </w:pPr>
      <w:r>
        <w:rPr>
          <w:rFonts w:ascii="宋体" w:hAnsi="宋体" w:eastAsia="宋体" w:cs="宋体"/>
          <w:b/>
          <w:kern w:val="2"/>
          <w:sz w:val="24"/>
          <w:szCs w:val="28"/>
          <w:lang w:val="en-US" w:eastAsia="zh-CN" w:bidi="ar-SA"/>
        </w:rPr>
        <w:t xml:space="preserve">表 </w:t>
      </w:r>
      <w:r>
        <w:rPr>
          <w:rFonts w:ascii="宋体" w:hAnsi="宋体" w:eastAsia="宋体" w:cs="宋体"/>
          <w:b/>
          <w:kern w:val="2"/>
          <w:sz w:val="24"/>
          <w:szCs w:val="28"/>
          <w:lang w:val="en-US" w:eastAsia="zh-CN" w:bidi="ar-SA"/>
        </w:rPr>
        <w:fldChar w:fldCharType="begin"/>
      </w:r>
      <w:r>
        <w:rPr>
          <w:rFonts w:ascii="宋体" w:hAnsi="宋体" w:eastAsia="宋体" w:cs="宋体"/>
          <w:b/>
          <w:kern w:val="2"/>
          <w:sz w:val="24"/>
          <w:szCs w:val="28"/>
          <w:lang w:val="en-US" w:eastAsia="zh-CN" w:bidi="ar-SA"/>
        </w:rPr>
        <w:instrText xml:space="preserve"> STYLEREF 1 \s </w:instrText>
      </w:r>
      <w:r>
        <w:rPr>
          <w:rFonts w:ascii="宋体" w:hAnsi="宋体" w:eastAsia="宋体" w:cs="宋体"/>
          <w:b/>
          <w:kern w:val="2"/>
          <w:sz w:val="24"/>
          <w:szCs w:val="28"/>
          <w:lang w:val="en-US" w:eastAsia="zh-CN" w:bidi="ar-SA"/>
        </w:rPr>
        <w:fldChar w:fldCharType="separate"/>
      </w:r>
      <w:r>
        <w:rPr>
          <w:rFonts w:ascii="宋体" w:hAnsi="宋体" w:eastAsia="宋体" w:cs="宋体"/>
          <w:b/>
          <w:kern w:val="2"/>
          <w:sz w:val="24"/>
          <w:szCs w:val="28"/>
          <w:lang w:val="en-US" w:eastAsia="zh-CN" w:bidi="ar-SA"/>
        </w:rPr>
        <w:t>3</w:t>
      </w:r>
      <w:r>
        <w:rPr>
          <w:rFonts w:ascii="宋体" w:hAnsi="宋体" w:eastAsia="宋体" w:cs="宋体"/>
          <w:b/>
          <w:kern w:val="2"/>
          <w:sz w:val="24"/>
          <w:szCs w:val="28"/>
          <w:lang w:val="en-US" w:eastAsia="zh-CN" w:bidi="ar-SA"/>
        </w:rPr>
        <w:fldChar w:fldCharType="end"/>
      </w:r>
      <w:r>
        <w:rPr>
          <w:rFonts w:hint="eastAsia" w:ascii="宋体" w:hAnsi="宋体" w:eastAsia="宋体" w:cs="宋体"/>
          <w:b/>
          <w:kern w:val="2"/>
          <w:sz w:val="24"/>
          <w:szCs w:val="28"/>
          <w:lang w:val="en-US" w:eastAsia="zh-CN" w:bidi="ar-SA"/>
        </w:rPr>
        <w:t>-</w:t>
      </w:r>
      <w:r>
        <w:rPr>
          <w:rFonts w:ascii="宋体" w:hAnsi="宋体" w:eastAsia="宋体" w:cs="宋体"/>
          <w:b/>
          <w:kern w:val="2"/>
          <w:sz w:val="24"/>
          <w:szCs w:val="28"/>
          <w:lang w:val="en-US" w:eastAsia="zh-CN" w:bidi="ar-SA"/>
        </w:rPr>
        <w:fldChar w:fldCharType="begin"/>
      </w:r>
      <w:r>
        <w:rPr>
          <w:rFonts w:ascii="宋体" w:hAnsi="宋体" w:eastAsia="宋体" w:cs="宋体"/>
          <w:b/>
          <w:kern w:val="2"/>
          <w:sz w:val="24"/>
          <w:szCs w:val="28"/>
          <w:lang w:val="en-US" w:eastAsia="zh-CN" w:bidi="ar-SA"/>
        </w:rPr>
        <w:instrText xml:space="preserve"> SEQ 表 \* ARABIC \s 1 </w:instrText>
      </w:r>
      <w:r>
        <w:rPr>
          <w:rFonts w:ascii="宋体" w:hAnsi="宋体" w:eastAsia="宋体" w:cs="宋体"/>
          <w:b/>
          <w:kern w:val="2"/>
          <w:sz w:val="24"/>
          <w:szCs w:val="28"/>
          <w:lang w:val="en-US" w:eastAsia="zh-CN" w:bidi="ar-SA"/>
        </w:rPr>
        <w:fldChar w:fldCharType="separate"/>
      </w:r>
      <w:r>
        <w:rPr>
          <w:rFonts w:ascii="宋体" w:hAnsi="宋体" w:eastAsia="宋体" w:cs="宋体"/>
          <w:b/>
          <w:kern w:val="2"/>
          <w:sz w:val="24"/>
          <w:szCs w:val="28"/>
          <w:lang w:val="en-US" w:eastAsia="zh-CN" w:bidi="ar-SA"/>
        </w:rPr>
        <w:t>3</w:t>
      </w:r>
      <w:r>
        <w:rPr>
          <w:rFonts w:ascii="宋体" w:hAnsi="宋体" w:eastAsia="宋体" w:cs="宋体"/>
          <w:b/>
          <w:kern w:val="2"/>
          <w:sz w:val="24"/>
          <w:szCs w:val="28"/>
          <w:lang w:val="en-US" w:eastAsia="zh-CN" w:bidi="ar-SA"/>
        </w:rPr>
        <w:fldChar w:fldCharType="end"/>
      </w:r>
      <w:r>
        <w:rPr>
          <w:rFonts w:hint="eastAsia" w:ascii="宋体" w:hAnsi="宋体" w:eastAsia="宋体" w:cs="宋体"/>
          <w:b/>
          <w:kern w:val="2"/>
          <w:sz w:val="24"/>
          <w:szCs w:val="28"/>
          <w:lang w:val="en-US" w:eastAsia="zh-CN" w:bidi="ar-SA"/>
        </w:rPr>
        <w:t>柴油</w:t>
      </w:r>
      <w:r>
        <w:rPr>
          <w:rFonts w:ascii="宋体" w:hAnsi="宋体" w:eastAsia="宋体" w:cs="宋体"/>
          <w:b/>
          <w:kern w:val="2"/>
          <w:sz w:val="24"/>
          <w:szCs w:val="28"/>
          <w:lang w:val="en-US" w:eastAsia="zh-CN" w:bidi="ar-SA"/>
        </w:rPr>
        <w:t>理化特性表</w:t>
      </w:r>
    </w:p>
    <w:tbl>
      <w:tblPr>
        <w:tblStyle w:val="29"/>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7"/>
        <w:gridCol w:w="2418"/>
        <w:gridCol w:w="518"/>
        <w:gridCol w:w="490"/>
        <w:gridCol w:w="1160"/>
        <w:gridCol w:w="973"/>
        <w:gridCol w:w="25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98" w:hRule="atLeast"/>
          <w:jc w:val="center"/>
        </w:trPr>
        <w:tc>
          <w:tcPr>
            <w:tcW w:w="255" w:type="pct"/>
            <w:vMerge w:val="restart"/>
            <w:noWrap w:val="0"/>
            <w:vAlign w:val="center"/>
          </w:tcPr>
          <w:p>
            <w:pPr>
              <w:keepNext w:val="0"/>
              <w:keepLines w:val="0"/>
              <w:pageBreakBefore w:val="0"/>
              <w:widowControl w:val="0"/>
              <w:kinsoku/>
              <w:wordWrap/>
              <w:bidi w:val="0"/>
              <w:adjustRightInd w:val="0"/>
              <w:snapToGrid w:val="0"/>
              <w:spacing w:line="240" w:lineRule="auto"/>
              <w:ind w:firstLine="0" w:firstLineChars="0"/>
              <w:jc w:val="center"/>
              <w:rPr>
                <w:rFonts w:hint="eastAsia" w:ascii="宋体" w:hAnsi="宋体" w:eastAsia="宋体" w:cs="宋体"/>
                <w:b/>
                <w:bCs w:val="0"/>
                <w:kern w:val="2"/>
                <w:sz w:val="24"/>
                <w:szCs w:val="24"/>
                <w:lang w:val="en-US" w:eastAsia="zh-CN" w:bidi="ar-SA"/>
              </w:rPr>
            </w:pPr>
            <w:r>
              <w:rPr>
                <w:rFonts w:hint="eastAsia" w:ascii="宋体" w:hAnsi="宋体" w:eastAsia="宋体" w:cs="宋体"/>
                <w:b/>
                <w:bCs w:val="0"/>
                <w:kern w:val="2"/>
                <w:sz w:val="24"/>
                <w:szCs w:val="24"/>
                <w:lang w:val="en-US" w:eastAsia="zh-CN" w:bidi="ar-SA"/>
              </w:rPr>
              <w:t>标识</w:t>
            </w:r>
          </w:p>
        </w:tc>
        <w:tc>
          <w:tcPr>
            <w:tcW w:w="2017" w:type="pct"/>
            <w:gridSpan w:val="3"/>
            <w:noWrap w:val="0"/>
            <w:vAlign w:val="top"/>
          </w:tcPr>
          <w:p>
            <w:pPr>
              <w:keepNext w:val="0"/>
              <w:keepLines w:val="0"/>
              <w:pageBreakBefore w:val="0"/>
              <w:widowControl w:val="0"/>
              <w:kinsoku/>
              <w:wordWrap/>
              <w:bidi w:val="0"/>
              <w:adjustRightInd w:val="0"/>
              <w:snapToGrid w:val="0"/>
              <w:spacing w:line="240" w:lineRule="auto"/>
              <w:ind w:firstLine="0" w:firstLineChars="0"/>
              <w:jc w:val="center"/>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中文名：柴油</w:t>
            </w:r>
          </w:p>
        </w:tc>
        <w:tc>
          <w:tcPr>
            <w:tcW w:w="2727" w:type="pct"/>
            <w:gridSpan w:val="3"/>
            <w:noWrap w:val="0"/>
            <w:vAlign w:val="top"/>
          </w:tcPr>
          <w:p>
            <w:pPr>
              <w:keepNext w:val="0"/>
              <w:keepLines w:val="0"/>
              <w:pageBreakBefore w:val="0"/>
              <w:widowControl w:val="0"/>
              <w:kinsoku/>
              <w:wordWrap/>
              <w:bidi w:val="0"/>
              <w:adjustRightInd w:val="0"/>
              <w:snapToGrid w:val="0"/>
              <w:spacing w:line="240" w:lineRule="auto"/>
              <w:ind w:firstLine="0" w:firstLineChars="0"/>
              <w:jc w:val="center"/>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英文名：Diesel oil； Diesel fuel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 w:hRule="atLeast"/>
          <w:jc w:val="center"/>
        </w:trPr>
        <w:tc>
          <w:tcPr>
            <w:tcW w:w="255" w:type="pct"/>
            <w:vMerge w:val="continue"/>
            <w:noWrap w:val="0"/>
            <w:vAlign w:val="center"/>
          </w:tcPr>
          <w:p>
            <w:pPr>
              <w:keepNext w:val="0"/>
              <w:keepLines w:val="0"/>
              <w:pageBreakBefore w:val="0"/>
              <w:widowControl w:val="0"/>
              <w:kinsoku/>
              <w:wordWrap/>
              <w:bidi w:val="0"/>
              <w:adjustRightInd w:val="0"/>
              <w:snapToGrid w:val="0"/>
              <w:spacing w:line="240" w:lineRule="auto"/>
              <w:ind w:firstLine="0" w:firstLineChars="0"/>
              <w:jc w:val="center"/>
              <w:rPr>
                <w:rFonts w:hint="eastAsia" w:ascii="宋体" w:hAnsi="宋体" w:eastAsia="宋体" w:cs="宋体"/>
                <w:b/>
                <w:bCs w:val="0"/>
                <w:kern w:val="2"/>
                <w:sz w:val="24"/>
                <w:szCs w:val="24"/>
                <w:lang w:val="en-US" w:eastAsia="zh-CN" w:bidi="ar-SA"/>
              </w:rPr>
            </w:pPr>
          </w:p>
        </w:tc>
        <w:tc>
          <w:tcPr>
            <w:tcW w:w="1727" w:type="pct"/>
            <w:gridSpan w:val="2"/>
            <w:noWrap w:val="0"/>
            <w:vAlign w:val="top"/>
          </w:tcPr>
          <w:p>
            <w:pPr>
              <w:keepNext w:val="0"/>
              <w:keepLines w:val="0"/>
              <w:pageBreakBefore w:val="0"/>
              <w:widowControl w:val="0"/>
              <w:kinsoku/>
              <w:wordWrap/>
              <w:bidi w:val="0"/>
              <w:adjustRightInd w:val="0"/>
              <w:snapToGrid w:val="0"/>
              <w:spacing w:line="240" w:lineRule="auto"/>
              <w:ind w:firstLine="0" w:firstLineChars="0"/>
              <w:jc w:val="center"/>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分子式：</w:t>
            </w:r>
          </w:p>
        </w:tc>
        <w:tc>
          <w:tcPr>
            <w:tcW w:w="1546" w:type="pct"/>
            <w:gridSpan w:val="3"/>
            <w:noWrap w:val="0"/>
            <w:vAlign w:val="top"/>
          </w:tcPr>
          <w:p>
            <w:pPr>
              <w:keepNext w:val="0"/>
              <w:keepLines w:val="0"/>
              <w:pageBreakBefore w:val="0"/>
              <w:widowControl w:val="0"/>
              <w:kinsoku/>
              <w:wordWrap/>
              <w:bidi w:val="0"/>
              <w:adjustRightInd w:val="0"/>
              <w:snapToGrid w:val="0"/>
              <w:spacing w:line="240" w:lineRule="auto"/>
              <w:ind w:firstLine="0" w:firstLineChars="0"/>
              <w:jc w:val="center"/>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分子量：</w:t>
            </w:r>
          </w:p>
        </w:tc>
        <w:tc>
          <w:tcPr>
            <w:tcW w:w="1470" w:type="pct"/>
            <w:noWrap w:val="0"/>
            <w:vAlign w:val="top"/>
          </w:tcPr>
          <w:p>
            <w:pPr>
              <w:keepNext w:val="0"/>
              <w:keepLines w:val="0"/>
              <w:pageBreakBefore w:val="0"/>
              <w:widowControl w:val="0"/>
              <w:kinsoku/>
              <w:wordWrap/>
              <w:bidi w:val="0"/>
              <w:adjustRightInd w:val="0"/>
              <w:snapToGrid w:val="0"/>
              <w:spacing w:line="240" w:lineRule="auto"/>
              <w:ind w:firstLine="0" w:firstLineChars="0"/>
              <w:jc w:val="center"/>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CAS号：68334-30-5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255" w:type="pct"/>
            <w:vMerge w:val="continue"/>
            <w:noWrap w:val="0"/>
            <w:vAlign w:val="center"/>
          </w:tcPr>
          <w:p>
            <w:pPr>
              <w:keepNext w:val="0"/>
              <w:keepLines w:val="0"/>
              <w:pageBreakBefore w:val="0"/>
              <w:widowControl w:val="0"/>
              <w:kinsoku/>
              <w:wordWrap/>
              <w:bidi w:val="0"/>
              <w:adjustRightInd w:val="0"/>
              <w:snapToGrid w:val="0"/>
              <w:spacing w:line="240" w:lineRule="auto"/>
              <w:ind w:firstLine="0" w:firstLineChars="0"/>
              <w:jc w:val="center"/>
              <w:rPr>
                <w:rFonts w:hint="eastAsia" w:ascii="宋体" w:hAnsi="宋体" w:eastAsia="宋体" w:cs="宋体"/>
                <w:b/>
                <w:bCs w:val="0"/>
                <w:kern w:val="2"/>
                <w:sz w:val="24"/>
                <w:szCs w:val="24"/>
                <w:lang w:val="en-US" w:eastAsia="zh-CN" w:bidi="ar-SA"/>
              </w:rPr>
            </w:pPr>
          </w:p>
        </w:tc>
        <w:tc>
          <w:tcPr>
            <w:tcW w:w="4744" w:type="pct"/>
            <w:gridSpan w:val="6"/>
            <w:noWrap w:val="0"/>
            <w:vAlign w:val="top"/>
          </w:tcPr>
          <w:p>
            <w:pPr>
              <w:keepNext w:val="0"/>
              <w:keepLines w:val="0"/>
              <w:pageBreakBefore w:val="0"/>
              <w:widowControl w:val="0"/>
              <w:kinsoku/>
              <w:wordWrap/>
              <w:bidi w:val="0"/>
              <w:adjustRightInd w:val="0"/>
              <w:snapToGrid w:val="0"/>
              <w:spacing w:line="240" w:lineRule="auto"/>
              <w:ind w:firstLine="0" w:firstLineChars="0"/>
              <w:jc w:val="center"/>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危规号：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6" w:hRule="atLeast"/>
          <w:jc w:val="center"/>
        </w:trPr>
        <w:tc>
          <w:tcPr>
            <w:tcW w:w="255" w:type="pct"/>
            <w:vMerge w:val="restart"/>
            <w:noWrap w:val="0"/>
            <w:vAlign w:val="center"/>
          </w:tcPr>
          <w:p>
            <w:pPr>
              <w:keepNext w:val="0"/>
              <w:keepLines w:val="0"/>
              <w:pageBreakBefore w:val="0"/>
              <w:widowControl w:val="0"/>
              <w:kinsoku/>
              <w:wordWrap/>
              <w:bidi w:val="0"/>
              <w:adjustRightInd w:val="0"/>
              <w:snapToGrid w:val="0"/>
              <w:spacing w:line="240" w:lineRule="auto"/>
              <w:ind w:firstLine="0" w:firstLineChars="0"/>
              <w:jc w:val="center"/>
              <w:rPr>
                <w:rFonts w:hint="eastAsia" w:ascii="宋体" w:hAnsi="宋体" w:eastAsia="宋体" w:cs="宋体"/>
                <w:b/>
                <w:bCs w:val="0"/>
                <w:kern w:val="2"/>
                <w:sz w:val="24"/>
                <w:szCs w:val="24"/>
                <w:lang w:val="en-US" w:eastAsia="zh-CN" w:bidi="ar-SA"/>
              </w:rPr>
            </w:pPr>
            <w:r>
              <w:rPr>
                <w:rFonts w:hint="eastAsia" w:ascii="宋体" w:hAnsi="宋体" w:eastAsia="宋体" w:cs="宋体"/>
                <w:b/>
                <w:bCs w:val="0"/>
                <w:kern w:val="2"/>
                <w:sz w:val="24"/>
                <w:szCs w:val="24"/>
                <w:lang w:val="en-US" w:eastAsia="zh-CN" w:bidi="ar-SA"/>
              </w:rPr>
              <w:t>理化性质</w:t>
            </w:r>
          </w:p>
        </w:tc>
        <w:tc>
          <w:tcPr>
            <w:tcW w:w="4744" w:type="pct"/>
            <w:gridSpan w:val="6"/>
            <w:noWrap w:val="0"/>
            <w:vAlign w:val="top"/>
          </w:tcPr>
          <w:p>
            <w:pPr>
              <w:keepNext w:val="0"/>
              <w:keepLines w:val="0"/>
              <w:pageBreakBefore w:val="0"/>
              <w:widowControl w:val="0"/>
              <w:kinsoku/>
              <w:wordWrap/>
              <w:bidi w:val="0"/>
              <w:adjustRightInd w:val="0"/>
              <w:snapToGrid w:val="0"/>
              <w:spacing w:line="240" w:lineRule="auto"/>
              <w:ind w:firstLine="0" w:firstLineChars="0"/>
              <w:jc w:val="center"/>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性状：稍有黏性的棕色液体。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255" w:type="pct"/>
            <w:vMerge w:val="continue"/>
            <w:noWrap w:val="0"/>
            <w:vAlign w:val="center"/>
          </w:tcPr>
          <w:p>
            <w:pPr>
              <w:keepNext w:val="0"/>
              <w:keepLines w:val="0"/>
              <w:pageBreakBefore w:val="0"/>
              <w:widowControl w:val="0"/>
              <w:kinsoku/>
              <w:wordWrap/>
              <w:bidi w:val="0"/>
              <w:adjustRightInd w:val="0"/>
              <w:snapToGrid w:val="0"/>
              <w:spacing w:line="240" w:lineRule="auto"/>
              <w:ind w:firstLine="0" w:firstLineChars="0"/>
              <w:jc w:val="center"/>
              <w:rPr>
                <w:rFonts w:hint="eastAsia" w:ascii="宋体" w:hAnsi="宋体" w:eastAsia="宋体" w:cs="宋体"/>
                <w:b/>
                <w:bCs w:val="0"/>
                <w:kern w:val="2"/>
                <w:sz w:val="24"/>
                <w:szCs w:val="24"/>
                <w:lang w:val="en-US" w:eastAsia="zh-CN" w:bidi="ar-SA"/>
              </w:rPr>
            </w:pPr>
          </w:p>
        </w:tc>
        <w:tc>
          <w:tcPr>
            <w:tcW w:w="4744" w:type="pct"/>
            <w:gridSpan w:val="6"/>
            <w:noWrap w:val="0"/>
            <w:vAlign w:val="top"/>
          </w:tcPr>
          <w:p>
            <w:pPr>
              <w:keepNext w:val="0"/>
              <w:keepLines w:val="0"/>
              <w:pageBreakBefore w:val="0"/>
              <w:widowControl w:val="0"/>
              <w:kinsoku/>
              <w:wordWrap/>
              <w:bidi w:val="0"/>
              <w:adjustRightInd w:val="0"/>
              <w:snapToGrid w:val="0"/>
              <w:spacing w:line="240" w:lineRule="auto"/>
              <w:ind w:firstLine="0" w:firstLineChars="0"/>
              <w:jc w:val="center"/>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溶解性：与水混溶，可混溶于乙醇。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5" w:hRule="atLeast"/>
          <w:jc w:val="center"/>
        </w:trPr>
        <w:tc>
          <w:tcPr>
            <w:tcW w:w="255" w:type="pct"/>
            <w:vMerge w:val="continue"/>
            <w:noWrap w:val="0"/>
            <w:vAlign w:val="center"/>
          </w:tcPr>
          <w:p>
            <w:pPr>
              <w:keepNext w:val="0"/>
              <w:keepLines w:val="0"/>
              <w:pageBreakBefore w:val="0"/>
              <w:widowControl w:val="0"/>
              <w:kinsoku/>
              <w:wordWrap/>
              <w:bidi w:val="0"/>
              <w:adjustRightInd w:val="0"/>
              <w:snapToGrid w:val="0"/>
              <w:spacing w:line="240" w:lineRule="auto"/>
              <w:ind w:firstLine="0" w:firstLineChars="0"/>
              <w:jc w:val="center"/>
              <w:rPr>
                <w:rFonts w:hint="eastAsia" w:ascii="宋体" w:hAnsi="宋体" w:eastAsia="宋体" w:cs="宋体"/>
                <w:b/>
                <w:bCs w:val="0"/>
                <w:kern w:val="2"/>
                <w:sz w:val="24"/>
                <w:szCs w:val="24"/>
                <w:lang w:val="en-US" w:eastAsia="zh-CN" w:bidi="ar-SA"/>
              </w:rPr>
            </w:pPr>
          </w:p>
        </w:tc>
        <w:tc>
          <w:tcPr>
            <w:tcW w:w="1421" w:type="pct"/>
            <w:noWrap w:val="0"/>
            <w:vAlign w:val="top"/>
          </w:tcPr>
          <w:p>
            <w:pPr>
              <w:keepNext w:val="0"/>
              <w:keepLines w:val="0"/>
              <w:pageBreakBefore w:val="0"/>
              <w:widowControl w:val="0"/>
              <w:kinsoku/>
              <w:wordWrap/>
              <w:bidi w:val="0"/>
              <w:adjustRightInd w:val="0"/>
              <w:snapToGrid w:val="0"/>
              <w:spacing w:line="240" w:lineRule="auto"/>
              <w:ind w:firstLine="0" w:firstLineChars="0"/>
              <w:jc w:val="center"/>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凝点（℃）：不高于0</w:t>
            </w:r>
          </w:p>
        </w:tc>
        <w:tc>
          <w:tcPr>
            <w:tcW w:w="1279" w:type="pct"/>
            <w:gridSpan w:val="3"/>
            <w:noWrap w:val="0"/>
            <w:vAlign w:val="top"/>
          </w:tcPr>
          <w:p>
            <w:pPr>
              <w:keepNext w:val="0"/>
              <w:keepLines w:val="0"/>
              <w:pageBreakBefore w:val="0"/>
              <w:widowControl w:val="0"/>
              <w:kinsoku/>
              <w:wordWrap/>
              <w:bidi w:val="0"/>
              <w:adjustRightInd w:val="0"/>
              <w:snapToGrid w:val="0"/>
              <w:spacing w:line="240" w:lineRule="auto"/>
              <w:ind w:firstLine="0" w:firstLineChars="0"/>
              <w:jc w:val="center"/>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沸点（℃）：282－338</w:t>
            </w:r>
          </w:p>
        </w:tc>
        <w:tc>
          <w:tcPr>
            <w:tcW w:w="2044" w:type="pct"/>
            <w:gridSpan w:val="2"/>
            <w:noWrap w:val="0"/>
            <w:vAlign w:val="top"/>
          </w:tcPr>
          <w:p>
            <w:pPr>
              <w:keepNext w:val="0"/>
              <w:keepLines w:val="0"/>
              <w:pageBreakBefore w:val="0"/>
              <w:widowControl w:val="0"/>
              <w:kinsoku/>
              <w:wordWrap/>
              <w:bidi w:val="0"/>
              <w:adjustRightInd w:val="0"/>
              <w:snapToGrid w:val="0"/>
              <w:spacing w:line="240" w:lineRule="auto"/>
              <w:ind w:firstLine="0" w:firstLineChars="0"/>
              <w:jc w:val="center"/>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密度（20℃)810-850(kg/m3）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5" w:hRule="atLeast"/>
          <w:jc w:val="center"/>
        </w:trPr>
        <w:tc>
          <w:tcPr>
            <w:tcW w:w="255" w:type="pct"/>
            <w:vMerge w:val="continue"/>
            <w:noWrap w:val="0"/>
            <w:vAlign w:val="center"/>
          </w:tcPr>
          <w:p>
            <w:pPr>
              <w:keepNext w:val="0"/>
              <w:keepLines w:val="0"/>
              <w:pageBreakBefore w:val="0"/>
              <w:widowControl w:val="0"/>
              <w:kinsoku/>
              <w:wordWrap/>
              <w:bidi w:val="0"/>
              <w:adjustRightInd w:val="0"/>
              <w:snapToGrid w:val="0"/>
              <w:spacing w:line="240" w:lineRule="auto"/>
              <w:ind w:firstLine="0" w:firstLineChars="0"/>
              <w:jc w:val="center"/>
              <w:rPr>
                <w:rFonts w:hint="eastAsia" w:ascii="宋体" w:hAnsi="宋体" w:eastAsia="宋体" w:cs="宋体"/>
                <w:b/>
                <w:bCs w:val="0"/>
                <w:kern w:val="2"/>
                <w:sz w:val="24"/>
                <w:szCs w:val="24"/>
                <w:lang w:val="en-US" w:eastAsia="zh-CN" w:bidi="ar-SA"/>
              </w:rPr>
            </w:pPr>
          </w:p>
        </w:tc>
        <w:tc>
          <w:tcPr>
            <w:tcW w:w="1421" w:type="pct"/>
            <w:noWrap w:val="0"/>
            <w:vAlign w:val="top"/>
          </w:tcPr>
          <w:p>
            <w:pPr>
              <w:keepNext w:val="0"/>
              <w:keepLines w:val="0"/>
              <w:pageBreakBefore w:val="0"/>
              <w:widowControl w:val="0"/>
              <w:kinsoku/>
              <w:wordWrap/>
              <w:bidi w:val="0"/>
              <w:adjustRightInd w:val="0"/>
              <w:snapToGrid w:val="0"/>
              <w:spacing w:line="240" w:lineRule="auto"/>
              <w:ind w:firstLine="0" w:firstLineChars="0"/>
              <w:jc w:val="center"/>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临界温度（℃）：</w:t>
            </w:r>
          </w:p>
        </w:tc>
        <w:tc>
          <w:tcPr>
            <w:tcW w:w="1279" w:type="pct"/>
            <w:gridSpan w:val="3"/>
            <w:noWrap w:val="0"/>
            <w:vAlign w:val="top"/>
          </w:tcPr>
          <w:p>
            <w:pPr>
              <w:keepNext w:val="0"/>
              <w:keepLines w:val="0"/>
              <w:pageBreakBefore w:val="0"/>
              <w:widowControl w:val="0"/>
              <w:kinsoku/>
              <w:wordWrap/>
              <w:bidi w:val="0"/>
              <w:adjustRightInd w:val="0"/>
              <w:snapToGrid w:val="0"/>
              <w:spacing w:line="240" w:lineRule="auto"/>
              <w:ind w:firstLine="0" w:firstLineChars="0"/>
              <w:jc w:val="center"/>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临界压力（MPa）：</w:t>
            </w:r>
          </w:p>
        </w:tc>
        <w:tc>
          <w:tcPr>
            <w:tcW w:w="2044" w:type="pct"/>
            <w:gridSpan w:val="2"/>
            <w:noWrap w:val="0"/>
            <w:vAlign w:val="top"/>
          </w:tcPr>
          <w:p>
            <w:pPr>
              <w:keepNext w:val="0"/>
              <w:keepLines w:val="0"/>
              <w:pageBreakBefore w:val="0"/>
              <w:widowControl w:val="0"/>
              <w:kinsoku/>
              <w:wordWrap/>
              <w:bidi w:val="0"/>
              <w:adjustRightInd w:val="0"/>
              <w:snapToGrid w:val="0"/>
              <w:spacing w:line="240" w:lineRule="auto"/>
              <w:ind w:firstLine="0" w:firstLineChars="0"/>
              <w:jc w:val="center"/>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相对密度（空气＝1）：3.38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255" w:type="pct"/>
            <w:vMerge w:val="continue"/>
            <w:noWrap w:val="0"/>
            <w:vAlign w:val="center"/>
          </w:tcPr>
          <w:p>
            <w:pPr>
              <w:keepNext w:val="0"/>
              <w:keepLines w:val="0"/>
              <w:pageBreakBefore w:val="0"/>
              <w:widowControl w:val="0"/>
              <w:kinsoku/>
              <w:wordWrap/>
              <w:bidi w:val="0"/>
              <w:adjustRightInd w:val="0"/>
              <w:snapToGrid w:val="0"/>
              <w:spacing w:line="240" w:lineRule="auto"/>
              <w:ind w:firstLine="0" w:firstLineChars="0"/>
              <w:jc w:val="center"/>
              <w:rPr>
                <w:rFonts w:hint="eastAsia" w:ascii="宋体" w:hAnsi="宋体" w:eastAsia="宋体" w:cs="宋体"/>
                <w:b/>
                <w:bCs w:val="0"/>
                <w:kern w:val="2"/>
                <w:sz w:val="24"/>
                <w:szCs w:val="24"/>
                <w:lang w:val="en-US" w:eastAsia="zh-CN" w:bidi="ar-SA"/>
              </w:rPr>
            </w:pPr>
          </w:p>
        </w:tc>
        <w:tc>
          <w:tcPr>
            <w:tcW w:w="1421" w:type="pct"/>
            <w:noWrap w:val="0"/>
            <w:vAlign w:val="top"/>
          </w:tcPr>
          <w:p>
            <w:pPr>
              <w:keepNext w:val="0"/>
              <w:keepLines w:val="0"/>
              <w:pageBreakBefore w:val="0"/>
              <w:widowControl w:val="0"/>
              <w:kinsoku/>
              <w:wordWrap/>
              <w:bidi w:val="0"/>
              <w:adjustRightInd w:val="0"/>
              <w:snapToGrid w:val="0"/>
              <w:spacing w:line="240" w:lineRule="auto"/>
              <w:ind w:firstLine="0" w:firstLineChars="0"/>
              <w:jc w:val="center"/>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燃烧热（kJ/mol）：</w:t>
            </w:r>
          </w:p>
        </w:tc>
        <w:tc>
          <w:tcPr>
            <w:tcW w:w="1279" w:type="pct"/>
            <w:gridSpan w:val="3"/>
            <w:noWrap w:val="0"/>
            <w:vAlign w:val="top"/>
          </w:tcPr>
          <w:p>
            <w:pPr>
              <w:keepNext w:val="0"/>
              <w:keepLines w:val="0"/>
              <w:pageBreakBefore w:val="0"/>
              <w:widowControl w:val="0"/>
              <w:kinsoku/>
              <w:wordWrap/>
              <w:bidi w:val="0"/>
              <w:adjustRightInd w:val="0"/>
              <w:snapToGrid w:val="0"/>
              <w:spacing w:line="240" w:lineRule="auto"/>
              <w:ind w:firstLine="0" w:firstLineChars="0"/>
              <w:jc w:val="center"/>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最小点火能（mJ）：</w:t>
            </w:r>
          </w:p>
        </w:tc>
        <w:tc>
          <w:tcPr>
            <w:tcW w:w="2044" w:type="pct"/>
            <w:gridSpan w:val="2"/>
            <w:noWrap w:val="0"/>
            <w:vAlign w:val="top"/>
          </w:tcPr>
          <w:p>
            <w:pPr>
              <w:keepNext w:val="0"/>
              <w:keepLines w:val="0"/>
              <w:pageBreakBefore w:val="0"/>
              <w:widowControl w:val="0"/>
              <w:kinsoku/>
              <w:wordWrap/>
              <w:bidi w:val="0"/>
              <w:adjustRightInd w:val="0"/>
              <w:snapToGrid w:val="0"/>
              <w:spacing w:line="240" w:lineRule="auto"/>
              <w:ind w:firstLine="0" w:firstLineChars="0"/>
              <w:jc w:val="center"/>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饱和蒸汽压（KPa）：0.67（25℃，纯品）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5" w:hRule="atLeast"/>
          <w:jc w:val="center"/>
        </w:trPr>
        <w:tc>
          <w:tcPr>
            <w:tcW w:w="255" w:type="pct"/>
            <w:vMerge w:val="restart"/>
            <w:noWrap w:val="0"/>
            <w:vAlign w:val="center"/>
          </w:tcPr>
          <w:p>
            <w:pPr>
              <w:keepNext w:val="0"/>
              <w:keepLines w:val="0"/>
              <w:pageBreakBefore w:val="0"/>
              <w:widowControl w:val="0"/>
              <w:kinsoku/>
              <w:wordWrap/>
              <w:bidi w:val="0"/>
              <w:adjustRightInd w:val="0"/>
              <w:snapToGrid w:val="0"/>
              <w:spacing w:line="240" w:lineRule="auto"/>
              <w:ind w:firstLine="0" w:firstLineChars="0"/>
              <w:jc w:val="center"/>
              <w:rPr>
                <w:rFonts w:hint="eastAsia" w:ascii="宋体" w:hAnsi="宋体" w:eastAsia="宋体" w:cs="宋体"/>
                <w:b/>
                <w:bCs w:val="0"/>
                <w:kern w:val="2"/>
                <w:sz w:val="24"/>
                <w:szCs w:val="24"/>
                <w:lang w:val="en-US" w:eastAsia="zh-CN" w:bidi="ar-SA"/>
              </w:rPr>
            </w:pPr>
            <w:r>
              <w:rPr>
                <w:rFonts w:hint="eastAsia" w:ascii="宋体" w:hAnsi="宋体" w:eastAsia="宋体" w:cs="宋体"/>
                <w:b/>
                <w:bCs w:val="0"/>
                <w:kern w:val="2"/>
                <w:sz w:val="24"/>
                <w:szCs w:val="24"/>
                <w:lang w:val="en-US" w:eastAsia="zh-CN" w:bidi="ar-SA"/>
              </w:rPr>
              <w:t>燃烧爆炸危险性</w:t>
            </w:r>
          </w:p>
        </w:tc>
        <w:tc>
          <w:tcPr>
            <w:tcW w:w="1727" w:type="pct"/>
            <w:gridSpan w:val="2"/>
            <w:noWrap w:val="0"/>
            <w:vAlign w:val="top"/>
          </w:tcPr>
          <w:p>
            <w:pPr>
              <w:keepNext w:val="0"/>
              <w:keepLines w:val="0"/>
              <w:pageBreakBefore w:val="0"/>
              <w:widowControl w:val="0"/>
              <w:kinsoku/>
              <w:wordWrap/>
              <w:bidi w:val="0"/>
              <w:adjustRightInd w:val="0"/>
              <w:snapToGrid w:val="0"/>
              <w:spacing w:line="240" w:lineRule="auto"/>
              <w:ind w:firstLine="0" w:firstLineChars="0"/>
              <w:jc w:val="center"/>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燃烧性：可燃</w:t>
            </w:r>
          </w:p>
        </w:tc>
        <w:tc>
          <w:tcPr>
            <w:tcW w:w="3017" w:type="pct"/>
            <w:gridSpan w:val="4"/>
            <w:noWrap w:val="0"/>
            <w:vAlign w:val="top"/>
          </w:tcPr>
          <w:p>
            <w:pPr>
              <w:keepNext w:val="0"/>
              <w:keepLines w:val="0"/>
              <w:pageBreakBefore w:val="0"/>
              <w:widowControl w:val="0"/>
              <w:kinsoku/>
              <w:wordWrap/>
              <w:bidi w:val="0"/>
              <w:adjustRightInd w:val="0"/>
              <w:snapToGrid w:val="0"/>
              <w:spacing w:line="240" w:lineRule="auto"/>
              <w:ind w:firstLine="0" w:firstLineChars="0"/>
              <w:jc w:val="center"/>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 xml:space="preserve">燃烧分解产物：一氧化碳、二氧化碳。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5" w:hRule="atLeast"/>
          <w:jc w:val="center"/>
        </w:trPr>
        <w:tc>
          <w:tcPr>
            <w:tcW w:w="255" w:type="pct"/>
            <w:vMerge w:val="continue"/>
            <w:noWrap w:val="0"/>
            <w:vAlign w:val="center"/>
          </w:tcPr>
          <w:p>
            <w:pPr>
              <w:keepNext w:val="0"/>
              <w:keepLines w:val="0"/>
              <w:pageBreakBefore w:val="0"/>
              <w:widowControl w:val="0"/>
              <w:kinsoku/>
              <w:wordWrap/>
              <w:bidi w:val="0"/>
              <w:adjustRightInd w:val="0"/>
              <w:snapToGrid w:val="0"/>
              <w:spacing w:line="240" w:lineRule="auto"/>
              <w:ind w:firstLine="0" w:firstLineChars="0"/>
              <w:jc w:val="center"/>
              <w:rPr>
                <w:rFonts w:hint="eastAsia" w:ascii="宋体" w:hAnsi="宋体" w:eastAsia="宋体" w:cs="宋体"/>
                <w:b/>
                <w:bCs w:val="0"/>
                <w:kern w:val="2"/>
                <w:sz w:val="24"/>
                <w:szCs w:val="24"/>
                <w:lang w:val="en-US" w:eastAsia="zh-CN" w:bidi="ar-SA"/>
              </w:rPr>
            </w:pPr>
          </w:p>
        </w:tc>
        <w:tc>
          <w:tcPr>
            <w:tcW w:w="1727" w:type="pct"/>
            <w:gridSpan w:val="2"/>
            <w:noWrap w:val="0"/>
            <w:vAlign w:val="top"/>
          </w:tcPr>
          <w:p>
            <w:pPr>
              <w:keepNext w:val="0"/>
              <w:keepLines w:val="0"/>
              <w:pageBreakBefore w:val="0"/>
              <w:widowControl w:val="0"/>
              <w:kinsoku/>
              <w:wordWrap/>
              <w:bidi w:val="0"/>
              <w:adjustRightInd w:val="0"/>
              <w:snapToGrid w:val="0"/>
              <w:spacing w:line="240" w:lineRule="auto"/>
              <w:ind w:firstLine="0" w:firstLineChars="0"/>
              <w:jc w:val="center"/>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闪点（℃）：不低于60</w:t>
            </w:r>
          </w:p>
        </w:tc>
        <w:tc>
          <w:tcPr>
            <w:tcW w:w="3017" w:type="pct"/>
            <w:gridSpan w:val="4"/>
            <w:noWrap w:val="0"/>
            <w:vAlign w:val="top"/>
          </w:tcPr>
          <w:p>
            <w:pPr>
              <w:keepNext w:val="0"/>
              <w:keepLines w:val="0"/>
              <w:pageBreakBefore w:val="0"/>
              <w:widowControl w:val="0"/>
              <w:kinsoku/>
              <w:wordWrap/>
              <w:bidi w:val="0"/>
              <w:adjustRightInd w:val="0"/>
              <w:snapToGrid w:val="0"/>
              <w:spacing w:line="240" w:lineRule="auto"/>
              <w:ind w:firstLine="0" w:firstLineChars="0"/>
              <w:jc w:val="center"/>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聚合危害：不聚合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5" w:hRule="atLeast"/>
          <w:jc w:val="center"/>
        </w:trPr>
        <w:tc>
          <w:tcPr>
            <w:tcW w:w="255" w:type="pct"/>
            <w:vMerge w:val="continue"/>
            <w:noWrap w:val="0"/>
            <w:vAlign w:val="center"/>
          </w:tcPr>
          <w:p>
            <w:pPr>
              <w:keepNext w:val="0"/>
              <w:keepLines w:val="0"/>
              <w:pageBreakBefore w:val="0"/>
              <w:widowControl w:val="0"/>
              <w:kinsoku/>
              <w:wordWrap/>
              <w:bidi w:val="0"/>
              <w:adjustRightInd w:val="0"/>
              <w:snapToGrid w:val="0"/>
              <w:spacing w:line="240" w:lineRule="auto"/>
              <w:ind w:firstLine="0" w:firstLineChars="0"/>
              <w:jc w:val="center"/>
              <w:rPr>
                <w:rFonts w:hint="eastAsia" w:ascii="宋体" w:hAnsi="宋体" w:eastAsia="宋体" w:cs="宋体"/>
                <w:b/>
                <w:bCs w:val="0"/>
                <w:kern w:val="2"/>
                <w:sz w:val="24"/>
                <w:szCs w:val="24"/>
                <w:lang w:val="en-US" w:eastAsia="zh-CN" w:bidi="ar-SA"/>
              </w:rPr>
            </w:pPr>
          </w:p>
        </w:tc>
        <w:tc>
          <w:tcPr>
            <w:tcW w:w="1727" w:type="pct"/>
            <w:gridSpan w:val="2"/>
            <w:noWrap w:val="0"/>
            <w:vAlign w:val="top"/>
          </w:tcPr>
          <w:p>
            <w:pPr>
              <w:keepNext w:val="0"/>
              <w:keepLines w:val="0"/>
              <w:pageBreakBefore w:val="0"/>
              <w:widowControl w:val="0"/>
              <w:kinsoku/>
              <w:wordWrap/>
              <w:bidi w:val="0"/>
              <w:adjustRightInd w:val="0"/>
              <w:snapToGrid w:val="0"/>
              <w:spacing w:line="240" w:lineRule="auto"/>
              <w:ind w:firstLine="0" w:firstLineChars="0"/>
              <w:jc w:val="center"/>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爆炸下限（％）：约0.6</w:t>
            </w:r>
          </w:p>
        </w:tc>
        <w:tc>
          <w:tcPr>
            <w:tcW w:w="3017" w:type="pct"/>
            <w:gridSpan w:val="4"/>
            <w:noWrap w:val="0"/>
            <w:vAlign w:val="top"/>
          </w:tcPr>
          <w:p>
            <w:pPr>
              <w:keepNext w:val="0"/>
              <w:keepLines w:val="0"/>
              <w:pageBreakBefore w:val="0"/>
              <w:widowControl w:val="0"/>
              <w:kinsoku/>
              <w:wordWrap/>
              <w:bidi w:val="0"/>
              <w:adjustRightInd w:val="0"/>
              <w:snapToGrid w:val="0"/>
              <w:spacing w:line="240" w:lineRule="auto"/>
              <w:ind w:firstLine="0" w:firstLineChars="0"/>
              <w:jc w:val="center"/>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稳定性：稳定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5" w:hRule="atLeast"/>
          <w:jc w:val="center"/>
        </w:trPr>
        <w:tc>
          <w:tcPr>
            <w:tcW w:w="255" w:type="pct"/>
            <w:vMerge w:val="continue"/>
            <w:noWrap w:val="0"/>
            <w:vAlign w:val="center"/>
          </w:tcPr>
          <w:p>
            <w:pPr>
              <w:keepNext w:val="0"/>
              <w:keepLines w:val="0"/>
              <w:pageBreakBefore w:val="0"/>
              <w:widowControl w:val="0"/>
              <w:kinsoku/>
              <w:wordWrap/>
              <w:bidi w:val="0"/>
              <w:adjustRightInd w:val="0"/>
              <w:snapToGrid w:val="0"/>
              <w:spacing w:line="240" w:lineRule="auto"/>
              <w:ind w:firstLine="0" w:firstLineChars="0"/>
              <w:jc w:val="center"/>
              <w:rPr>
                <w:rFonts w:hint="eastAsia" w:ascii="宋体" w:hAnsi="宋体" w:eastAsia="宋体" w:cs="宋体"/>
                <w:b/>
                <w:bCs w:val="0"/>
                <w:kern w:val="2"/>
                <w:sz w:val="24"/>
                <w:szCs w:val="24"/>
                <w:lang w:val="en-US" w:eastAsia="zh-CN" w:bidi="ar-SA"/>
              </w:rPr>
            </w:pPr>
          </w:p>
        </w:tc>
        <w:tc>
          <w:tcPr>
            <w:tcW w:w="1727" w:type="pct"/>
            <w:gridSpan w:val="2"/>
            <w:noWrap w:val="0"/>
            <w:vAlign w:val="top"/>
          </w:tcPr>
          <w:p>
            <w:pPr>
              <w:keepNext w:val="0"/>
              <w:keepLines w:val="0"/>
              <w:pageBreakBefore w:val="0"/>
              <w:widowControl w:val="0"/>
              <w:kinsoku/>
              <w:wordWrap/>
              <w:bidi w:val="0"/>
              <w:adjustRightInd w:val="0"/>
              <w:snapToGrid w:val="0"/>
              <w:spacing w:line="240" w:lineRule="auto"/>
              <w:ind w:firstLine="0" w:firstLineChars="0"/>
              <w:jc w:val="center"/>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爆炸上限（％）：约7.5</w:t>
            </w:r>
          </w:p>
        </w:tc>
        <w:tc>
          <w:tcPr>
            <w:tcW w:w="3017" w:type="pct"/>
            <w:gridSpan w:val="4"/>
            <w:noWrap w:val="0"/>
            <w:vAlign w:val="top"/>
          </w:tcPr>
          <w:p>
            <w:pPr>
              <w:keepNext w:val="0"/>
              <w:keepLines w:val="0"/>
              <w:pageBreakBefore w:val="0"/>
              <w:widowControl w:val="0"/>
              <w:kinsoku/>
              <w:wordWrap/>
              <w:bidi w:val="0"/>
              <w:adjustRightInd w:val="0"/>
              <w:snapToGrid w:val="0"/>
              <w:spacing w:line="240" w:lineRule="auto"/>
              <w:ind w:firstLine="0" w:firstLineChars="0"/>
              <w:jc w:val="center"/>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最大爆炸压力（MPa）：无资料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0" w:hRule="atLeast"/>
          <w:jc w:val="center"/>
        </w:trPr>
        <w:tc>
          <w:tcPr>
            <w:tcW w:w="255" w:type="pct"/>
            <w:vMerge w:val="continue"/>
            <w:noWrap w:val="0"/>
            <w:vAlign w:val="center"/>
          </w:tcPr>
          <w:p>
            <w:pPr>
              <w:keepNext w:val="0"/>
              <w:keepLines w:val="0"/>
              <w:pageBreakBefore w:val="0"/>
              <w:widowControl w:val="0"/>
              <w:kinsoku/>
              <w:wordWrap/>
              <w:bidi w:val="0"/>
              <w:adjustRightInd w:val="0"/>
              <w:snapToGrid w:val="0"/>
              <w:spacing w:line="240" w:lineRule="auto"/>
              <w:ind w:firstLine="0" w:firstLineChars="0"/>
              <w:jc w:val="center"/>
              <w:rPr>
                <w:rFonts w:hint="eastAsia" w:ascii="宋体" w:hAnsi="宋体" w:eastAsia="宋体" w:cs="宋体"/>
                <w:b/>
                <w:bCs w:val="0"/>
                <w:kern w:val="2"/>
                <w:sz w:val="24"/>
                <w:szCs w:val="24"/>
                <w:lang w:val="en-US" w:eastAsia="zh-CN" w:bidi="ar-SA"/>
              </w:rPr>
            </w:pPr>
          </w:p>
        </w:tc>
        <w:tc>
          <w:tcPr>
            <w:tcW w:w="1727" w:type="pct"/>
            <w:gridSpan w:val="2"/>
            <w:noWrap w:val="0"/>
            <w:vAlign w:val="top"/>
          </w:tcPr>
          <w:p>
            <w:pPr>
              <w:keepNext w:val="0"/>
              <w:keepLines w:val="0"/>
              <w:pageBreakBefore w:val="0"/>
              <w:widowControl w:val="0"/>
              <w:kinsoku/>
              <w:wordWrap/>
              <w:bidi w:val="0"/>
              <w:adjustRightInd w:val="0"/>
              <w:snapToGrid w:val="0"/>
              <w:spacing w:line="240" w:lineRule="auto"/>
              <w:ind w:firstLine="0" w:firstLineChars="0"/>
              <w:jc w:val="center"/>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引燃温度（℃）：257</w:t>
            </w:r>
          </w:p>
        </w:tc>
        <w:tc>
          <w:tcPr>
            <w:tcW w:w="3017" w:type="pct"/>
            <w:gridSpan w:val="4"/>
            <w:noWrap w:val="0"/>
            <w:vAlign w:val="top"/>
          </w:tcPr>
          <w:p>
            <w:pPr>
              <w:keepNext w:val="0"/>
              <w:keepLines w:val="0"/>
              <w:pageBreakBefore w:val="0"/>
              <w:widowControl w:val="0"/>
              <w:kinsoku/>
              <w:wordWrap/>
              <w:bidi w:val="0"/>
              <w:adjustRightInd w:val="0"/>
              <w:snapToGrid w:val="0"/>
              <w:spacing w:line="240" w:lineRule="auto"/>
              <w:ind w:firstLine="0" w:firstLineChars="0"/>
              <w:jc w:val="center"/>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禁忌物： 强氧化剂、卤素。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7" w:hRule="atLeast"/>
          <w:jc w:val="center"/>
        </w:trPr>
        <w:tc>
          <w:tcPr>
            <w:tcW w:w="255" w:type="pct"/>
            <w:vMerge w:val="continue"/>
            <w:noWrap w:val="0"/>
            <w:vAlign w:val="center"/>
          </w:tcPr>
          <w:p>
            <w:pPr>
              <w:keepNext w:val="0"/>
              <w:keepLines w:val="0"/>
              <w:pageBreakBefore w:val="0"/>
              <w:widowControl w:val="0"/>
              <w:kinsoku/>
              <w:wordWrap/>
              <w:bidi w:val="0"/>
              <w:adjustRightInd w:val="0"/>
              <w:snapToGrid w:val="0"/>
              <w:spacing w:line="240" w:lineRule="auto"/>
              <w:ind w:firstLine="0" w:firstLineChars="0"/>
              <w:jc w:val="center"/>
              <w:rPr>
                <w:rFonts w:hint="eastAsia" w:ascii="宋体" w:hAnsi="宋体" w:eastAsia="宋体" w:cs="宋体"/>
                <w:b/>
                <w:bCs w:val="0"/>
                <w:kern w:val="2"/>
                <w:sz w:val="24"/>
                <w:szCs w:val="24"/>
                <w:lang w:val="en-US" w:eastAsia="zh-CN" w:bidi="ar-SA"/>
              </w:rPr>
            </w:pPr>
          </w:p>
        </w:tc>
        <w:tc>
          <w:tcPr>
            <w:tcW w:w="4744" w:type="pct"/>
            <w:gridSpan w:val="6"/>
            <w:noWrap w:val="0"/>
            <w:vAlign w:val="top"/>
          </w:tcPr>
          <w:p>
            <w:pPr>
              <w:keepNext w:val="0"/>
              <w:keepLines w:val="0"/>
              <w:pageBreakBefore w:val="0"/>
              <w:widowControl w:val="0"/>
              <w:kinsoku/>
              <w:wordWrap/>
              <w:bidi w:val="0"/>
              <w:adjustRightInd w:val="0"/>
              <w:snapToGrid w:val="0"/>
              <w:spacing w:line="240" w:lineRule="auto"/>
              <w:ind w:firstLine="0" w:firstLineChars="0"/>
              <w:jc w:val="left"/>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危险特性：遇明火、高热或与氧化剂接触，有引起燃烧爆炸的危险。若遇高热，容器内压增大，有开裂和爆炸的危险。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2" w:hRule="atLeast"/>
          <w:jc w:val="center"/>
        </w:trPr>
        <w:tc>
          <w:tcPr>
            <w:tcW w:w="255" w:type="pct"/>
            <w:vMerge w:val="continue"/>
            <w:noWrap w:val="0"/>
            <w:vAlign w:val="center"/>
          </w:tcPr>
          <w:p>
            <w:pPr>
              <w:keepNext w:val="0"/>
              <w:keepLines w:val="0"/>
              <w:pageBreakBefore w:val="0"/>
              <w:widowControl w:val="0"/>
              <w:kinsoku/>
              <w:wordWrap/>
              <w:bidi w:val="0"/>
              <w:adjustRightInd w:val="0"/>
              <w:snapToGrid w:val="0"/>
              <w:spacing w:line="240" w:lineRule="auto"/>
              <w:ind w:firstLine="0" w:firstLineChars="0"/>
              <w:jc w:val="center"/>
              <w:rPr>
                <w:rFonts w:hint="eastAsia" w:ascii="宋体" w:hAnsi="宋体" w:eastAsia="宋体" w:cs="宋体"/>
                <w:b/>
                <w:bCs w:val="0"/>
                <w:kern w:val="2"/>
                <w:sz w:val="24"/>
                <w:szCs w:val="24"/>
                <w:lang w:val="en-US" w:eastAsia="zh-CN" w:bidi="ar-SA"/>
              </w:rPr>
            </w:pPr>
          </w:p>
        </w:tc>
        <w:tc>
          <w:tcPr>
            <w:tcW w:w="4744" w:type="pct"/>
            <w:gridSpan w:val="6"/>
            <w:noWrap w:val="0"/>
            <w:vAlign w:val="top"/>
          </w:tcPr>
          <w:p>
            <w:pPr>
              <w:keepNext w:val="0"/>
              <w:keepLines w:val="0"/>
              <w:pageBreakBefore w:val="0"/>
              <w:widowControl w:val="0"/>
              <w:kinsoku/>
              <w:wordWrap/>
              <w:bidi w:val="0"/>
              <w:adjustRightInd w:val="0"/>
              <w:snapToGrid w:val="0"/>
              <w:spacing w:line="240" w:lineRule="auto"/>
              <w:ind w:firstLine="0" w:firstLineChars="0"/>
              <w:jc w:val="left"/>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灭火方法：消防人员必须佩戴防毒面具、穿全身消防服，在上风向灭火。尽可能将容器从火场移至空旷处。喷水保持火场容器冷却，直至灭火结束。在火场中的容器若已变色或从安全泄压装置中产生声音，必须马上撤离。灭火剂：雾状水、泡沫、干粉、二氧化碳、砂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atLeast"/>
          <w:jc w:val="center"/>
        </w:trPr>
        <w:tc>
          <w:tcPr>
            <w:tcW w:w="255" w:type="pct"/>
            <w:noWrap w:val="0"/>
            <w:vAlign w:val="center"/>
          </w:tcPr>
          <w:p>
            <w:pPr>
              <w:keepNext w:val="0"/>
              <w:keepLines w:val="0"/>
              <w:pageBreakBefore w:val="0"/>
              <w:widowControl w:val="0"/>
              <w:kinsoku/>
              <w:wordWrap/>
              <w:bidi w:val="0"/>
              <w:adjustRightInd w:val="0"/>
              <w:snapToGrid w:val="0"/>
              <w:spacing w:line="240" w:lineRule="auto"/>
              <w:ind w:firstLine="0" w:firstLineChars="0"/>
              <w:jc w:val="center"/>
              <w:rPr>
                <w:rFonts w:hint="eastAsia" w:ascii="宋体" w:hAnsi="宋体" w:eastAsia="宋体" w:cs="宋体"/>
                <w:b/>
                <w:bCs w:val="0"/>
                <w:kern w:val="2"/>
                <w:sz w:val="24"/>
                <w:szCs w:val="24"/>
                <w:lang w:val="en-US" w:eastAsia="zh-CN" w:bidi="ar-SA"/>
              </w:rPr>
            </w:pPr>
            <w:r>
              <w:rPr>
                <w:rFonts w:hint="eastAsia" w:ascii="宋体" w:hAnsi="宋体" w:eastAsia="宋体" w:cs="宋体"/>
                <w:b/>
                <w:bCs w:val="0"/>
                <w:kern w:val="2"/>
                <w:sz w:val="24"/>
                <w:szCs w:val="24"/>
                <w:lang w:val="en-US" w:eastAsia="zh-CN" w:bidi="ar-SA"/>
              </w:rPr>
              <w:t>对人体危害</w:t>
            </w:r>
          </w:p>
        </w:tc>
        <w:tc>
          <w:tcPr>
            <w:tcW w:w="4744" w:type="pct"/>
            <w:gridSpan w:val="6"/>
            <w:noWrap w:val="0"/>
            <w:vAlign w:val="top"/>
          </w:tcPr>
          <w:p>
            <w:pPr>
              <w:keepNext w:val="0"/>
              <w:keepLines w:val="0"/>
              <w:pageBreakBefore w:val="0"/>
              <w:widowControl w:val="0"/>
              <w:kinsoku/>
              <w:wordWrap/>
              <w:bidi w:val="0"/>
              <w:adjustRightInd w:val="0"/>
              <w:snapToGrid w:val="0"/>
              <w:spacing w:line="240" w:lineRule="auto"/>
              <w:ind w:firstLine="0" w:firstLineChars="0"/>
              <w:jc w:val="left"/>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侵入途径：吸入、食入、经皮肤吸收。</w:t>
            </w:r>
          </w:p>
          <w:p>
            <w:pPr>
              <w:keepNext w:val="0"/>
              <w:keepLines w:val="0"/>
              <w:pageBreakBefore w:val="0"/>
              <w:widowControl w:val="0"/>
              <w:kinsoku/>
              <w:wordWrap/>
              <w:bidi w:val="0"/>
              <w:adjustRightInd w:val="0"/>
              <w:snapToGrid w:val="0"/>
              <w:spacing w:line="240" w:lineRule="auto"/>
              <w:ind w:firstLine="0" w:firstLineChars="0"/>
              <w:jc w:val="left"/>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皮肤接触可为主要吸收途径，可致急性肾脏损害。柴油可引起接触性皮炎、油性痤疮。吸入其雾滴或液体呛入可引起吸入性肺炎。能经胎盘进入胎儿血中。柴油废气可引起眼、鼻刺激症状，头晕及头痛。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5" w:hRule="atLeast"/>
          <w:jc w:val="center"/>
        </w:trPr>
        <w:tc>
          <w:tcPr>
            <w:tcW w:w="255" w:type="pct"/>
            <w:noWrap w:val="0"/>
            <w:vAlign w:val="center"/>
          </w:tcPr>
          <w:p>
            <w:pPr>
              <w:keepNext w:val="0"/>
              <w:keepLines w:val="0"/>
              <w:pageBreakBefore w:val="0"/>
              <w:widowControl w:val="0"/>
              <w:kinsoku/>
              <w:wordWrap/>
              <w:bidi w:val="0"/>
              <w:adjustRightInd w:val="0"/>
              <w:snapToGrid w:val="0"/>
              <w:spacing w:line="240" w:lineRule="auto"/>
              <w:ind w:firstLine="0" w:firstLineChars="0"/>
              <w:jc w:val="center"/>
              <w:rPr>
                <w:rFonts w:hint="eastAsia" w:ascii="宋体" w:hAnsi="宋体" w:eastAsia="宋体" w:cs="宋体"/>
                <w:b/>
                <w:bCs w:val="0"/>
                <w:kern w:val="2"/>
                <w:sz w:val="24"/>
                <w:szCs w:val="24"/>
                <w:lang w:val="en-US" w:eastAsia="zh-CN" w:bidi="ar-SA"/>
              </w:rPr>
            </w:pPr>
            <w:r>
              <w:rPr>
                <w:rFonts w:hint="eastAsia" w:ascii="宋体" w:hAnsi="宋体" w:eastAsia="宋体" w:cs="宋体"/>
                <w:b/>
                <w:bCs w:val="0"/>
                <w:kern w:val="2"/>
                <w:sz w:val="24"/>
                <w:szCs w:val="24"/>
                <w:lang w:val="en-US" w:eastAsia="zh-CN" w:bidi="ar-SA"/>
              </w:rPr>
              <w:t>急救</w:t>
            </w:r>
          </w:p>
        </w:tc>
        <w:tc>
          <w:tcPr>
            <w:tcW w:w="4744" w:type="pct"/>
            <w:gridSpan w:val="6"/>
            <w:noWrap w:val="0"/>
            <w:vAlign w:val="top"/>
          </w:tcPr>
          <w:p>
            <w:pPr>
              <w:keepNext w:val="0"/>
              <w:keepLines w:val="0"/>
              <w:pageBreakBefore w:val="0"/>
              <w:widowControl w:val="0"/>
              <w:kinsoku/>
              <w:wordWrap/>
              <w:bidi w:val="0"/>
              <w:adjustRightInd w:val="0"/>
              <w:snapToGrid w:val="0"/>
              <w:spacing w:line="240" w:lineRule="auto"/>
              <w:ind w:firstLine="0" w:firstLineChars="0"/>
              <w:jc w:val="left"/>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皮肤接触：立即脱去污染的衣着，用肥皂水和清水彻底冲洗皮肤。就医。</w:t>
            </w:r>
          </w:p>
          <w:p>
            <w:pPr>
              <w:keepNext w:val="0"/>
              <w:keepLines w:val="0"/>
              <w:pageBreakBefore w:val="0"/>
              <w:widowControl w:val="0"/>
              <w:kinsoku/>
              <w:wordWrap/>
              <w:bidi w:val="0"/>
              <w:adjustRightInd w:val="0"/>
              <w:snapToGrid w:val="0"/>
              <w:spacing w:line="240" w:lineRule="auto"/>
              <w:ind w:firstLine="0" w:firstLineChars="0"/>
              <w:jc w:val="left"/>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眼睛接触：立即提起眼睑，用大量流动清水或生理盐水彻底冲洗。就医。</w:t>
            </w:r>
          </w:p>
          <w:p>
            <w:pPr>
              <w:keepNext w:val="0"/>
              <w:keepLines w:val="0"/>
              <w:pageBreakBefore w:val="0"/>
              <w:widowControl w:val="0"/>
              <w:kinsoku/>
              <w:wordWrap/>
              <w:bidi w:val="0"/>
              <w:adjustRightInd w:val="0"/>
              <w:snapToGrid w:val="0"/>
              <w:spacing w:line="240" w:lineRule="auto"/>
              <w:ind w:firstLine="0" w:firstLineChars="0"/>
              <w:jc w:val="left"/>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吸入：迅速脱离现场至空气新鲜处，保持呼吸道通畅。如呼吸困难，给输氧。如呼吸停止，立即进行人工呼吸。就医。</w:t>
            </w:r>
          </w:p>
          <w:p>
            <w:pPr>
              <w:keepNext w:val="0"/>
              <w:keepLines w:val="0"/>
              <w:pageBreakBefore w:val="0"/>
              <w:widowControl w:val="0"/>
              <w:kinsoku/>
              <w:wordWrap/>
              <w:bidi w:val="0"/>
              <w:adjustRightInd w:val="0"/>
              <w:snapToGrid w:val="0"/>
              <w:spacing w:line="240" w:lineRule="auto"/>
              <w:ind w:firstLine="0" w:firstLineChars="0"/>
              <w:jc w:val="left"/>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食入：尽快彻底洗胃。就医。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5" w:type="pct"/>
            <w:noWrap w:val="0"/>
            <w:vAlign w:val="center"/>
          </w:tcPr>
          <w:p>
            <w:pPr>
              <w:keepNext w:val="0"/>
              <w:keepLines w:val="0"/>
              <w:pageBreakBefore w:val="0"/>
              <w:widowControl w:val="0"/>
              <w:kinsoku/>
              <w:wordWrap/>
              <w:bidi w:val="0"/>
              <w:adjustRightInd w:val="0"/>
              <w:snapToGrid w:val="0"/>
              <w:spacing w:line="240" w:lineRule="auto"/>
              <w:ind w:firstLine="0" w:firstLineChars="0"/>
              <w:jc w:val="center"/>
              <w:rPr>
                <w:rFonts w:hint="eastAsia" w:ascii="宋体" w:hAnsi="宋体" w:eastAsia="宋体" w:cs="宋体"/>
                <w:b/>
                <w:bCs w:val="0"/>
                <w:kern w:val="2"/>
                <w:sz w:val="24"/>
                <w:szCs w:val="24"/>
                <w:lang w:val="en-US" w:eastAsia="zh-CN" w:bidi="ar-SA"/>
              </w:rPr>
            </w:pPr>
            <w:r>
              <w:rPr>
                <w:rFonts w:hint="eastAsia" w:ascii="宋体" w:hAnsi="宋体" w:eastAsia="宋体" w:cs="宋体"/>
                <w:b/>
                <w:bCs w:val="0"/>
                <w:kern w:val="2"/>
                <w:sz w:val="24"/>
                <w:szCs w:val="24"/>
                <w:lang w:val="en-US" w:eastAsia="zh-CN" w:bidi="ar-SA"/>
              </w:rPr>
              <w:t>防护</w:t>
            </w:r>
          </w:p>
        </w:tc>
        <w:tc>
          <w:tcPr>
            <w:tcW w:w="4744" w:type="pct"/>
            <w:gridSpan w:val="6"/>
            <w:noWrap w:val="0"/>
            <w:vAlign w:val="top"/>
          </w:tcPr>
          <w:p>
            <w:pPr>
              <w:keepNext w:val="0"/>
              <w:keepLines w:val="0"/>
              <w:pageBreakBefore w:val="0"/>
              <w:widowControl w:val="0"/>
              <w:kinsoku/>
              <w:wordWrap/>
              <w:bidi w:val="0"/>
              <w:adjustRightInd w:val="0"/>
              <w:snapToGrid w:val="0"/>
              <w:spacing w:line="240" w:lineRule="auto"/>
              <w:ind w:firstLine="0" w:firstLineChars="0"/>
              <w:jc w:val="left"/>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工程防护：密闭操作，注意通风。</w:t>
            </w:r>
          </w:p>
          <w:p>
            <w:pPr>
              <w:keepNext w:val="0"/>
              <w:keepLines w:val="0"/>
              <w:pageBreakBefore w:val="0"/>
              <w:widowControl w:val="0"/>
              <w:kinsoku/>
              <w:wordWrap/>
              <w:bidi w:val="0"/>
              <w:adjustRightInd w:val="0"/>
              <w:snapToGrid w:val="0"/>
              <w:spacing w:line="240" w:lineRule="auto"/>
              <w:ind w:firstLine="0" w:firstLineChars="0"/>
              <w:jc w:val="left"/>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个人防护：空气中浓度超标时，建议佩戴自吸过滤式防毒面具（半面罩）。紧急事态抢救或撤离时，必须佩戴空气呼吸器。戴化学安全防护眼镜。穿一般作业防护服。戴橡胶耐油手套。工作现场禁止吸烟。避免长期反复接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5" w:type="pct"/>
            <w:noWrap w:val="0"/>
            <w:vAlign w:val="center"/>
          </w:tcPr>
          <w:p>
            <w:pPr>
              <w:keepNext w:val="0"/>
              <w:keepLines w:val="0"/>
              <w:pageBreakBefore w:val="0"/>
              <w:widowControl w:val="0"/>
              <w:kinsoku/>
              <w:wordWrap/>
              <w:bidi w:val="0"/>
              <w:adjustRightInd w:val="0"/>
              <w:snapToGrid w:val="0"/>
              <w:spacing w:line="240" w:lineRule="auto"/>
              <w:ind w:firstLine="0" w:firstLineChars="0"/>
              <w:jc w:val="center"/>
              <w:rPr>
                <w:rFonts w:hint="eastAsia" w:ascii="宋体" w:hAnsi="宋体" w:eastAsia="宋体" w:cs="宋体"/>
                <w:b/>
                <w:bCs w:val="0"/>
                <w:kern w:val="2"/>
                <w:sz w:val="24"/>
                <w:szCs w:val="24"/>
                <w:lang w:val="en-US" w:eastAsia="zh-CN" w:bidi="ar-SA"/>
              </w:rPr>
            </w:pPr>
            <w:r>
              <w:rPr>
                <w:rFonts w:hint="eastAsia" w:ascii="宋体" w:hAnsi="宋体" w:eastAsia="宋体" w:cs="宋体"/>
                <w:b/>
                <w:bCs w:val="0"/>
                <w:kern w:val="2"/>
                <w:sz w:val="24"/>
                <w:szCs w:val="24"/>
                <w:lang w:val="en-US" w:eastAsia="zh-CN" w:bidi="ar-SA"/>
              </w:rPr>
              <w:t>泄漏处理</w:t>
            </w:r>
          </w:p>
        </w:tc>
        <w:tc>
          <w:tcPr>
            <w:tcW w:w="4744" w:type="pct"/>
            <w:gridSpan w:val="6"/>
            <w:noWrap w:val="0"/>
            <w:vAlign w:val="top"/>
          </w:tcPr>
          <w:p>
            <w:pPr>
              <w:keepNext w:val="0"/>
              <w:keepLines w:val="0"/>
              <w:pageBreakBefore w:val="0"/>
              <w:widowControl w:val="0"/>
              <w:kinsoku/>
              <w:wordWrap/>
              <w:bidi w:val="0"/>
              <w:adjustRightInd w:val="0"/>
              <w:snapToGrid w:val="0"/>
              <w:spacing w:line="240" w:lineRule="auto"/>
              <w:ind w:firstLine="0" w:firstLineChars="0"/>
              <w:jc w:val="left"/>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迅速撤离泄漏污染区人员至安全区，并进行隔离，严格限制出入。切断火源。建议应急处理人员戴自给正压式呼吸器，穿一般作业工作服。尽可能切断泄漏源。防止流入下水道、排洪沟等限制性空间。小量泄漏：用活性炭或其它惰性材料吸收。大量泄漏：构筑围堤或挖坑收容。用泵移至槽车或专用收集器内，回收或运至废物处理场所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jc w:val="center"/>
        </w:trPr>
        <w:tc>
          <w:tcPr>
            <w:tcW w:w="255" w:type="pct"/>
            <w:noWrap w:val="0"/>
            <w:vAlign w:val="center"/>
          </w:tcPr>
          <w:p>
            <w:pPr>
              <w:keepNext w:val="0"/>
              <w:keepLines w:val="0"/>
              <w:pageBreakBefore w:val="0"/>
              <w:widowControl w:val="0"/>
              <w:kinsoku/>
              <w:wordWrap/>
              <w:bidi w:val="0"/>
              <w:adjustRightInd w:val="0"/>
              <w:snapToGrid w:val="0"/>
              <w:spacing w:line="240" w:lineRule="auto"/>
              <w:ind w:firstLine="0" w:firstLineChars="0"/>
              <w:jc w:val="center"/>
              <w:rPr>
                <w:rFonts w:hint="eastAsia" w:ascii="宋体" w:hAnsi="宋体" w:eastAsia="宋体" w:cs="宋体"/>
                <w:b/>
                <w:bCs w:val="0"/>
                <w:kern w:val="2"/>
                <w:sz w:val="24"/>
                <w:szCs w:val="24"/>
                <w:lang w:val="en-US" w:eastAsia="zh-CN" w:bidi="ar-SA"/>
              </w:rPr>
            </w:pPr>
            <w:r>
              <w:rPr>
                <w:rFonts w:hint="eastAsia" w:ascii="宋体" w:hAnsi="宋体" w:eastAsia="宋体" w:cs="宋体"/>
                <w:b/>
                <w:bCs w:val="0"/>
                <w:kern w:val="2"/>
                <w:sz w:val="24"/>
                <w:szCs w:val="24"/>
                <w:lang w:val="en-US" w:eastAsia="zh-CN" w:bidi="ar-SA"/>
              </w:rPr>
              <w:t>贮运</w:t>
            </w:r>
          </w:p>
        </w:tc>
        <w:tc>
          <w:tcPr>
            <w:tcW w:w="4744" w:type="pct"/>
            <w:gridSpan w:val="6"/>
            <w:noWrap w:val="0"/>
            <w:vAlign w:val="top"/>
          </w:tcPr>
          <w:p>
            <w:pPr>
              <w:keepNext w:val="0"/>
              <w:keepLines w:val="0"/>
              <w:pageBreakBefore w:val="0"/>
              <w:widowControl w:val="0"/>
              <w:kinsoku/>
              <w:wordWrap/>
              <w:bidi w:val="0"/>
              <w:adjustRightInd w:val="0"/>
              <w:snapToGrid w:val="0"/>
              <w:spacing w:line="240" w:lineRule="auto"/>
              <w:ind w:firstLine="0" w:firstLineChars="0"/>
              <w:jc w:val="left"/>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储运条件：储存于阴凉、通风的库房内。远离火种、热源。应与氧化剂、卤素分开存放，切忌混储。采用防爆型照明、通风设施。禁止使用易产生火花的机械设备和工具。储区应备有泄漏应急处理设备工具和合适的收容材料。</w:t>
            </w:r>
          </w:p>
          <w:p>
            <w:pPr>
              <w:keepNext w:val="0"/>
              <w:keepLines w:val="0"/>
              <w:pageBreakBefore w:val="0"/>
              <w:widowControl w:val="0"/>
              <w:kinsoku/>
              <w:wordWrap/>
              <w:bidi w:val="0"/>
              <w:adjustRightInd w:val="0"/>
              <w:snapToGrid w:val="0"/>
              <w:spacing w:line="240" w:lineRule="auto"/>
              <w:ind w:firstLine="0" w:firstLineChars="0"/>
              <w:jc w:val="left"/>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 xml:space="preserve">运输前应先检查包装容器是否完整、密封，运输过程中要确保容器不泄漏、不倒塌、不坠落、不损坏。运输时运输车辆配备相应的品种和数量的消防器材及泄漏应急处理设备。夏季最好早晚运输。运输时所用的槽车应有接地链，槽内可设隔板以减少振荡产生静电。严禁与氧化剂、卤素、食用化学品等混装混运。运输途中应防暴晒、雨淋，防高温。中途停留时应远离火种、热源、高温区。装运该物品的车辆排气管必须配备阻火装置，禁止使用易产生火花的机械设备和工具装卸。运输车船必须彻底清洗、消毒，否则不得装运其它物品。船运时，配装位置应远离卧室、厨房，并与机舱、电源、火源等部位隔离。公路运输时要按规定路线行驶。  </w:t>
            </w:r>
          </w:p>
        </w:tc>
      </w:tr>
    </w:tbl>
    <w:p>
      <w:pPr>
        <w:pStyle w:val="7"/>
        <w:bidi w:val="0"/>
        <w:rPr>
          <w:rFonts w:hint="eastAsia" w:ascii="Cambria" w:hAnsi="Cambria" w:eastAsia="宋体" w:cstheme="minorBidi"/>
          <w:b/>
          <w:bCs/>
          <w:kern w:val="2"/>
          <w:sz w:val="28"/>
          <w:szCs w:val="28"/>
          <w:lang w:val="en-US" w:eastAsia="zh-CN" w:bidi="ar-SA"/>
        </w:rPr>
      </w:pPr>
      <w:r>
        <w:rPr>
          <w:rFonts w:hint="eastAsia" w:cstheme="minorBidi"/>
          <w:b/>
          <w:bCs/>
          <w:kern w:val="2"/>
          <w:sz w:val="28"/>
          <w:szCs w:val="28"/>
          <w:lang w:val="en-US" w:eastAsia="zh-CN" w:bidi="ar-SA"/>
        </w:rPr>
        <w:t>黑</w:t>
      </w:r>
      <w:r>
        <w:rPr>
          <w:rFonts w:hint="eastAsia" w:ascii="Cambria" w:hAnsi="Cambria" w:eastAsia="宋体" w:cstheme="minorBidi"/>
          <w:b/>
          <w:bCs/>
          <w:kern w:val="2"/>
          <w:sz w:val="28"/>
          <w:szCs w:val="28"/>
          <w:lang w:val="en-US" w:eastAsia="zh-CN" w:bidi="ar-SA"/>
        </w:rPr>
        <w:t>醇酸</w:t>
      </w:r>
      <w:r>
        <w:rPr>
          <w:rFonts w:hint="eastAsia" w:cstheme="minorBidi"/>
          <w:b/>
          <w:bCs/>
          <w:kern w:val="2"/>
          <w:sz w:val="28"/>
          <w:szCs w:val="28"/>
          <w:lang w:val="en-US" w:eastAsia="zh-CN" w:bidi="ar-SA"/>
        </w:rPr>
        <w:t>调和漆理化特性</w:t>
      </w:r>
    </w:p>
    <w:p>
      <w:pPr>
        <w:pStyle w:val="14"/>
        <w:bidi w:val="0"/>
        <w:rPr>
          <w:rFonts w:hint="eastAsia"/>
          <w:lang w:val="en-US" w:eastAsia="zh-CN"/>
        </w:rPr>
      </w:pPr>
      <w:bookmarkStart w:id="193" w:name="_Toc118559943"/>
      <w:r>
        <w:rPr>
          <w:rFonts w:hint="eastAsia"/>
          <w:lang w:val="en-US" w:eastAsia="zh-CN"/>
        </w:rPr>
        <w:t xml:space="preserve">表 </w:t>
      </w:r>
      <w:r>
        <w:rPr>
          <w:rFonts w:hint="eastAsia"/>
          <w:lang w:val="en-US" w:eastAsia="zh-CN"/>
        </w:rPr>
        <w:fldChar w:fldCharType="begin"/>
      </w:r>
      <w:r>
        <w:rPr>
          <w:rFonts w:hint="eastAsia"/>
          <w:lang w:val="en-US" w:eastAsia="zh-CN"/>
        </w:rPr>
        <w:instrText xml:space="preserve"> STYLEREF 1 \s </w:instrText>
      </w:r>
      <w:r>
        <w:rPr>
          <w:rFonts w:hint="eastAsia"/>
          <w:lang w:val="en-US" w:eastAsia="zh-CN"/>
        </w:rPr>
        <w:fldChar w:fldCharType="separate"/>
      </w:r>
      <w:r>
        <w:rPr>
          <w:rFonts w:hint="eastAsia"/>
          <w:lang w:val="en-US" w:eastAsia="zh-CN"/>
        </w:rPr>
        <w:t>3</w:t>
      </w:r>
      <w:r>
        <w:rPr>
          <w:rFonts w:hint="eastAsia"/>
          <w:lang w:val="en-US" w:eastAsia="zh-CN"/>
        </w:rPr>
        <w:fldChar w:fldCharType="end"/>
      </w:r>
      <w:r>
        <w:rPr>
          <w:rFonts w:hint="eastAsia"/>
          <w:lang w:val="en-US" w:eastAsia="zh-CN"/>
        </w:rPr>
        <w:t>-</w:t>
      </w:r>
      <w:r>
        <w:rPr>
          <w:rFonts w:hint="eastAsia"/>
          <w:lang w:val="en-US" w:eastAsia="zh-CN"/>
        </w:rPr>
        <w:fldChar w:fldCharType="begin"/>
      </w:r>
      <w:r>
        <w:rPr>
          <w:rFonts w:hint="eastAsia"/>
          <w:lang w:val="en-US" w:eastAsia="zh-CN"/>
        </w:rPr>
        <w:instrText xml:space="preserve"> SEQ 表 \* ARABIC \s 1 </w:instrText>
      </w:r>
      <w:r>
        <w:rPr>
          <w:rFonts w:hint="eastAsia"/>
          <w:lang w:val="en-US" w:eastAsia="zh-CN"/>
        </w:rPr>
        <w:fldChar w:fldCharType="separate"/>
      </w:r>
      <w:r>
        <w:rPr>
          <w:rFonts w:hint="eastAsia"/>
          <w:lang w:val="en-US" w:eastAsia="zh-CN"/>
        </w:rPr>
        <w:t>3</w:t>
      </w:r>
      <w:r>
        <w:rPr>
          <w:rFonts w:hint="eastAsia"/>
          <w:lang w:val="en-US" w:eastAsia="zh-CN"/>
        </w:rPr>
        <w:fldChar w:fldCharType="end"/>
      </w:r>
      <w:r>
        <w:rPr>
          <w:rFonts w:hint="eastAsia"/>
          <w:lang w:val="en-US" w:eastAsia="zh-CN"/>
        </w:rPr>
        <w:t>黑醇酸调和漆</w:t>
      </w:r>
      <w:bookmarkEnd w:id="193"/>
      <w:r>
        <w:rPr>
          <w:rFonts w:hint="eastAsia"/>
          <w:lang w:val="en-US" w:eastAsia="zh-CN"/>
        </w:rPr>
        <w:t>理化特性</w:t>
      </w:r>
    </w:p>
    <w:tbl>
      <w:tblPr>
        <w:tblStyle w:val="29"/>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7"/>
        <w:gridCol w:w="2418"/>
        <w:gridCol w:w="518"/>
        <w:gridCol w:w="985"/>
        <w:gridCol w:w="664"/>
        <w:gridCol w:w="975"/>
        <w:gridCol w:w="25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140" w:hRule="atLeast"/>
        </w:trPr>
        <w:tc>
          <w:tcPr>
            <w:tcW w:w="238" w:type="pct"/>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bidi w:val="0"/>
              <w:adjustRightInd w:val="0"/>
              <w:snapToGrid w:val="0"/>
              <w:spacing w:line="240" w:lineRule="auto"/>
              <w:ind w:firstLine="0" w:firstLineChars="0"/>
              <w:jc w:val="center"/>
              <w:rPr>
                <w:rFonts w:hint="eastAsia" w:ascii="宋体" w:hAnsi="宋体" w:eastAsia="宋体" w:cs="宋体"/>
                <w:b/>
                <w:bCs w:val="0"/>
                <w:kern w:val="2"/>
                <w:sz w:val="24"/>
                <w:szCs w:val="24"/>
                <w:lang w:val="en-US" w:eastAsia="zh-CN" w:bidi="ar-SA"/>
              </w:rPr>
            </w:pPr>
            <w:r>
              <w:rPr>
                <w:rFonts w:hint="eastAsia" w:ascii="宋体" w:hAnsi="宋体" w:eastAsia="宋体" w:cs="宋体"/>
                <w:b/>
                <w:bCs w:val="0"/>
                <w:kern w:val="2"/>
                <w:sz w:val="24"/>
                <w:szCs w:val="24"/>
                <w:lang w:val="en-US" w:eastAsia="zh-CN" w:bidi="ar-SA"/>
              </w:rPr>
              <w:t>标识</w:t>
            </w:r>
          </w:p>
        </w:tc>
        <w:tc>
          <w:tcPr>
            <w:tcW w:w="2316" w:type="pct"/>
            <w:gridSpan w:val="3"/>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bidi w:val="0"/>
              <w:adjustRightInd w:val="0"/>
              <w:snapToGrid w:val="0"/>
              <w:spacing w:line="240" w:lineRule="auto"/>
              <w:ind w:firstLine="0" w:firstLineChars="0"/>
              <w:jc w:val="left"/>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中文名：醇酸</w:t>
            </w:r>
            <w:r>
              <w:rPr>
                <w:rFonts w:hint="eastAsia" w:ascii="宋体" w:hAnsi="宋体" w:cs="宋体"/>
                <w:bCs/>
                <w:kern w:val="2"/>
                <w:sz w:val="24"/>
                <w:szCs w:val="24"/>
                <w:lang w:val="en-US" w:eastAsia="zh-CN" w:bidi="ar-SA"/>
              </w:rPr>
              <w:t>调和漆</w:t>
            </w:r>
          </w:p>
        </w:tc>
        <w:tc>
          <w:tcPr>
            <w:tcW w:w="2445" w:type="pct"/>
            <w:gridSpan w:val="3"/>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bidi w:val="0"/>
              <w:adjustRightInd w:val="0"/>
              <w:snapToGrid w:val="0"/>
              <w:spacing w:line="240" w:lineRule="auto"/>
              <w:ind w:firstLine="0" w:firstLineChars="0"/>
              <w:jc w:val="left"/>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英文名：Paint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238" w:type="pct"/>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bidi w:val="0"/>
              <w:adjustRightInd w:val="0"/>
              <w:snapToGrid w:val="0"/>
              <w:spacing w:line="240" w:lineRule="auto"/>
              <w:ind w:firstLine="0" w:firstLineChars="0"/>
              <w:jc w:val="center"/>
              <w:rPr>
                <w:rFonts w:hint="eastAsia" w:ascii="宋体" w:hAnsi="宋体" w:eastAsia="宋体" w:cs="宋体"/>
                <w:b/>
                <w:bCs w:val="0"/>
                <w:kern w:val="2"/>
                <w:sz w:val="24"/>
                <w:szCs w:val="24"/>
                <w:lang w:val="en-US" w:eastAsia="zh-CN" w:bidi="ar-SA"/>
              </w:rPr>
            </w:pPr>
          </w:p>
        </w:tc>
        <w:tc>
          <w:tcPr>
            <w:tcW w:w="1733" w:type="pct"/>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bidi w:val="0"/>
              <w:adjustRightInd w:val="0"/>
              <w:snapToGrid w:val="0"/>
              <w:spacing w:line="240" w:lineRule="auto"/>
              <w:ind w:firstLine="0" w:firstLineChars="0"/>
              <w:jc w:val="left"/>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分子式：</w:t>
            </w:r>
          </w:p>
        </w:tc>
        <w:tc>
          <w:tcPr>
            <w:tcW w:w="1555" w:type="pct"/>
            <w:gridSpan w:val="3"/>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bidi w:val="0"/>
              <w:adjustRightInd w:val="0"/>
              <w:snapToGrid w:val="0"/>
              <w:spacing w:line="240" w:lineRule="auto"/>
              <w:ind w:firstLine="0" w:firstLineChars="0"/>
              <w:jc w:val="left"/>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分子量：</w:t>
            </w:r>
          </w:p>
        </w:tc>
        <w:tc>
          <w:tcPr>
            <w:tcW w:w="1472" w:type="pct"/>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bidi w:val="0"/>
              <w:adjustRightInd w:val="0"/>
              <w:snapToGrid w:val="0"/>
              <w:spacing w:line="240" w:lineRule="auto"/>
              <w:ind w:firstLine="0" w:firstLineChars="0"/>
              <w:jc w:val="left"/>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CAS号：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238" w:type="pct"/>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bidi w:val="0"/>
              <w:adjustRightInd w:val="0"/>
              <w:snapToGrid w:val="0"/>
              <w:spacing w:line="240" w:lineRule="auto"/>
              <w:ind w:firstLine="0" w:firstLineChars="0"/>
              <w:jc w:val="center"/>
              <w:rPr>
                <w:rFonts w:hint="eastAsia" w:ascii="宋体" w:hAnsi="宋体" w:eastAsia="宋体" w:cs="宋体"/>
                <w:b/>
                <w:bCs w:val="0"/>
                <w:kern w:val="2"/>
                <w:sz w:val="24"/>
                <w:szCs w:val="24"/>
                <w:lang w:val="en-US" w:eastAsia="zh-CN" w:bidi="ar-SA"/>
              </w:rPr>
            </w:pPr>
          </w:p>
        </w:tc>
        <w:tc>
          <w:tcPr>
            <w:tcW w:w="4761" w:type="pct"/>
            <w:gridSpan w:val="6"/>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bidi w:val="0"/>
              <w:adjustRightInd w:val="0"/>
              <w:snapToGrid w:val="0"/>
              <w:spacing w:line="240" w:lineRule="auto"/>
              <w:ind w:firstLine="0" w:firstLineChars="0"/>
              <w:jc w:val="left"/>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危规号：33646（未列名）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6" w:hRule="atLeast"/>
        </w:trPr>
        <w:tc>
          <w:tcPr>
            <w:tcW w:w="238" w:type="pct"/>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bidi w:val="0"/>
              <w:adjustRightInd w:val="0"/>
              <w:snapToGrid w:val="0"/>
              <w:spacing w:line="240" w:lineRule="auto"/>
              <w:ind w:firstLine="0" w:firstLineChars="0"/>
              <w:jc w:val="center"/>
              <w:rPr>
                <w:rFonts w:hint="eastAsia" w:ascii="宋体" w:hAnsi="宋体" w:eastAsia="宋体" w:cs="宋体"/>
                <w:b/>
                <w:bCs w:val="0"/>
                <w:kern w:val="2"/>
                <w:sz w:val="24"/>
                <w:szCs w:val="24"/>
                <w:lang w:val="en-US" w:eastAsia="zh-CN" w:bidi="ar-SA"/>
              </w:rPr>
            </w:pPr>
            <w:r>
              <w:rPr>
                <w:rFonts w:hint="eastAsia" w:ascii="宋体" w:hAnsi="宋体" w:eastAsia="宋体" w:cs="宋体"/>
                <w:b/>
                <w:bCs w:val="0"/>
                <w:kern w:val="2"/>
                <w:sz w:val="24"/>
                <w:szCs w:val="24"/>
                <w:lang w:val="en-US" w:eastAsia="zh-CN" w:bidi="ar-SA"/>
              </w:rPr>
              <w:t>理化性质</w:t>
            </w:r>
          </w:p>
        </w:tc>
        <w:tc>
          <w:tcPr>
            <w:tcW w:w="4761" w:type="pct"/>
            <w:gridSpan w:val="6"/>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bidi w:val="0"/>
              <w:adjustRightInd w:val="0"/>
              <w:snapToGrid w:val="0"/>
              <w:spacing w:line="240" w:lineRule="auto"/>
              <w:ind w:firstLine="0" w:firstLineChars="0"/>
              <w:jc w:val="left"/>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性状：黑色粘稠液体，有特殊芳香味。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238" w:type="pct"/>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bidi w:val="0"/>
              <w:adjustRightInd w:val="0"/>
              <w:snapToGrid w:val="0"/>
              <w:spacing w:line="240" w:lineRule="auto"/>
              <w:ind w:firstLine="0" w:firstLineChars="0"/>
              <w:jc w:val="center"/>
              <w:rPr>
                <w:rFonts w:hint="eastAsia" w:ascii="宋体" w:hAnsi="宋体" w:eastAsia="宋体" w:cs="宋体"/>
                <w:b/>
                <w:bCs w:val="0"/>
                <w:kern w:val="2"/>
                <w:sz w:val="24"/>
                <w:szCs w:val="24"/>
                <w:lang w:val="en-US" w:eastAsia="zh-CN" w:bidi="ar-SA"/>
              </w:rPr>
            </w:pPr>
          </w:p>
        </w:tc>
        <w:tc>
          <w:tcPr>
            <w:tcW w:w="4761" w:type="pct"/>
            <w:gridSpan w:val="6"/>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bidi w:val="0"/>
              <w:adjustRightInd w:val="0"/>
              <w:snapToGrid w:val="0"/>
              <w:spacing w:line="240" w:lineRule="auto"/>
              <w:ind w:firstLine="0" w:firstLineChars="0"/>
              <w:jc w:val="left"/>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 xml:space="preserve">溶解性：可与二甲苯、醇酸漆稀释剂等混溶。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1" w:hRule="atLeast"/>
        </w:trPr>
        <w:tc>
          <w:tcPr>
            <w:tcW w:w="238" w:type="pct"/>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bidi w:val="0"/>
              <w:adjustRightInd w:val="0"/>
              <w:snapToGrid w:val="0"/>
              <w:spacing w:line="240" w:lineRule="auto"/>
              <w:ind w:firstLine="0" w:firstLineChars="0"/>
              <w:jc w:val="center"/>
              <w:rPr>
                <w:rFonts w:hint="eastAsia" w:ascii="宋体" w:hAnsi="宋体" w:eastAsia="宋体" w:cs="宋体"/>
                <w:b/>
                <w:bCs w:val="0"/>
                <w:kern w:val="2"/>
                <w:sz w:val="24"/>
                <w:szCs w:val="24"/>
                <w:lang w:val="en-US" w:eastAsia="zh-CN" w:bidi="ar-SA"/>
              </w:rPr>
            </w:pPr>
          </w:p>
        </w:tc>
        <w:tc>
          <w:tcPr>
            <w:tcW w:w="1424" w:type="pct"/>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bidi w:val="0"/>
              <w:adjustRightInd w:val="0"/>
              <w:snapToGrid w:val="0"/>
              <w:spacing w:line="240" w:lineRule="auto"/>
              <w:ind w:firstLine="0" w:firstLineChars="0"/>
              <w:jc w:val="left"/>
              <w:rPr>
                <w:rFonts w:hint="default"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熔点（℃）：无资料</w:t>
            </w:r>
          </w:p>
        </w:tc>
        <w:tc>
          <w:tcPr>
            <w:tcW w:w="1287" w:type="pct"/>
            <w:gridSpan w:val="3"/>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bidi w:val="0"/>
              <w:adjustRightInd w:val="0"/>
              <w:snapToGrid w:val="0"/>
              <w:spacing w:line="240" w:lineRule="auto"/>
              <w:ind w:firstLine="0" w:firstLineChars="0"/>
              <w:jc w:val="left"/>
              <w:rPr>
                <w:rFonts w:hint="default"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沸点（℃）：135</w:t>
            </w:r>
          </w:p>
        </w:tc>
        <w:tc>
          <w:tcPr>
            <w:tcW w:w="2049" w:type="pct"/>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bidi w:val="0"/>
              <w:adjustRightInd w:val="0"/>
              <w:snapToGrid w:val="0"/>
              <w:spacing w:line="240" w:lineRule="auto"/>
              <w:ind w:firstLine="0" w:firstLineChars="0"/>
              <w:jc w:val="left"/>
              <w:rPr>
                <w:rFonts w:hint="default"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相对密度（水＝1）：1.1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5" w:hRule="atLeast"/>
        </w:trPr>
        <w:tc>
          <w:tcPr>
            <w:tcW w:w="238" w:type="pct"/>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bidi w:val="0"/>
              <w:adjustRightInd w:val="0"/>
              <w:snapToGrid w:val="0"/>
              <w:spacing w:line="240" w:lineRule="auto"/>
              <w:ind w:firstLine="0" w:firstLineChars="0"/>
              <w:jc w:val="center"/>
              <w:rPr>
                <w:rFonts w:hint="eastAsia" w:ascii="宋体" w:hAnsi="宋体" w:eastAsia="宋体" w:cs="宋体"/>
                <w:b/>
                <w:bCs w:val="0"/>
                <w:kern w:val="2"/>
                <w:sz w:val="24"/>
                <w:szCs w:val="24"/>
                <w:lang w:val="en-US" w:eastAsia="zh-CN" w:bidi="ar-SA"/>
              </w:rPr>
            </w:pPr>
          </w:p>
        </w:tc>
        <w:tc>
          <w:tcPr>
            <w:tcW w:w="1424" w:type="pct"/>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bidi w:val="0"/>
              <w:adjustRightInd w:val="0"/>
              <w:snapToGrid w:val="0"/>
              <w:spacing w:line="240" w:lineRule="auto"/>
              <w:ind w:firstLine="0" w:firstLineChars="0"/>
              <w:jc w:val="left"/>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临界温度（℃）：无资料</w:t>
            </w:r>
          </w:p>
        </w:tc>
        <w:tc>
          <w:tcPr>
            <w:tcW w:w="1287" w:type="pct"/>
            <w:gridSpan w:val="3"/>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bidi w:val="0"/>
              <w:adjustRightInd w:val="0"/>
              <w:snapToGrid w:val="0"/>
              <w:spacing w:line="240" w:lineRule="auto"/>
              <w:ind w:firstLine="0" w:firstLineChars="0"/>
              <w:jc w:val="left"/>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临界压力（MPa）：无资料</w:t>
            </w:r>
          </w:p>
        </w:tc>
        <w:tc>
          <w:tcPr>
            <w:tcW w:w="2049" w:type="pct"/>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bidi w:val="0"/>
              <w:adjustRightInd w:val="0"/>
              <w:snapToGrid w:val="0"/>
              <w:spacing w:line="240" w:lineRule="auto"/>
              <w:ind w:firstLine="0" w:firstLineChars="0"/>
              <w:jc w:val="left"/>
              <w:rPr>
                <w:rFonts w:hint="default"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相对密度（空气＝1）：3.0-4.0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5" w:hRule="atLeast"/>
        </w:trPr>
        <w:tc>
          <w:tcPr>
            <w:tcW w:w="238" w:type="pct"/>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bidi w:val="0"/>
              <w:adjustRightInd w:val="0"/>
              <w:snapToGrid w:val="0"/>
              <w:spacing w:line="240" w:lineRule="auto"/>
              <w:ind w:firstLine="0" w:firstLineChars="0"/>
              <w:jc w:val="center"/>
              <w:rPr>
                <w:rFonts w:hint="eastAsia" w:ascii="宋体" w:hAnsi="宋体" w:eastAsia="宋体" w:cs="宋体"/>
                <w:b/>
                <w:bCs w:val="0"/>
                <w:kern w:val="2"/>
                <w:sz w:val="24"/>
                <w:szCs w:val="24"/>
                <w:lang w:val="en-US" w:eastAsia="zh-CN" w:bidi="ar-SA"/>
              </w:rPr>
            </w:pPr>
          </w:p>
        </w:tc>
        <w:tc>
          <w:tcPr>
            <w:tcW w:w="1424" w:type="pct"/>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bidi w:val="0"/>
              <w:adjustRightInd w:val="0"/>
              <w:snapToGrid w:val="0"/>
              <w:spacing w:line="240" w:lineRule="auto"/>
              <w:ind w:firstLine="0" w:firstLineChars="0"/>
              <w:jc w:val="left"/>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燃烧热（KJ/mol）：</w:t>
            </w:r>
          </w:p>
        </w:tc>
        <w:tc>
          <w:tcPr>
            <w:tcW w:w="1287" w:type="pct"/>
            <w:gridSpan w:val="3"/>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bidi w:val="0"/>
              <w:adjustRightInd w:val="0"/>
              <w:snapToGrid w:val="0"/>
              <w:spacing w:line="240" w:lineRule="auto"/>
              <w:ind w:firstLine="0" w:firstLineChars="0"/>
              <w:jc w:val="left"/>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最小点火能（mJ）：</w:t>
            </w:r>
          </w:p>
        </w:tc>
        <w:tc>
          <w:tcPr>
            <w:tcW w:w="2049" w:type="pct"/>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bidi w:val="0"/>
              <w:adjustRightInd w:val="0"/>
              <w:snapToGrid w:val="0"/>
              <w:spacing w:line="240" w:lineRule="auto"/>
              <w:ind w:firstLine="0" w:firstLineChars="0"/>
              <w:jc w:val="left"/>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饱和蒸汽压（kPa）：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2" w:hRule="atLeast"/>
        </w:trPr>
        <w:tc>
          <w:tcPr>
            <w:tcW w:w="238" w:type="pct"/>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bidi w:val="0"/>
              <w:adjustRightInd w:val="0"/>
              <w:snapToGrid w:val="0"/>
              <w:spacing w:line="240" w:lineRule="auto"/>
              <w:ind w:firstLine="0" w:firstLineChars="0"/>
              <w:jc w:val="center"/>
              <w:rPr>
                <w:rFonts w:hint="eastAsia" w:ascii="宋体" w:hAnsi="宋体" w:eastAsia="宋体" w:cs="宋体"/>
                <w:b/>
                <w:bCs w:val="0"/>
                <w:kern w:val="2"/>
                <w:sz w:val="24"/>
                <w:szCs w:val="24"/>
                <w:lang w:val="en-US" w:eastAsia="zh-CN" w:bidi="ar-SA"/>
              </w:rPr>
            </w:pPr>
            <w:r>
              <w:rPr>
                <w:rFonts w:hint="eastAsia" w:ascii="宋体" w:hAnsi="宋体" w:eastAsia="宋体" w:cs="宋体"/>
                <w:b/>
                <w:bCs w:val="0"/>
                <w:kern w:val="2"/>
                <w:sz w:val="24"/>
                <w:szCs w:val="24"/>
                <w:lang w:val="en-US" w:eastAsia="zh-CN" w:bidi="ar-SA"/>
              </w:rPr>
              <w:t>燃烧爆炸危险性</w:t>
            </w:r>
          </w:p>
        </w:tc>
        <w:tc>
          <w:tcPr>
            <w:tcW w:w="1733" w:type="pct"/>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bidi w:val="0"/>
              <w:adjustRightInd w:val="0"/>
              <w:snapToGrid w:val="0"/>
              <w:spacing w:line="240" w:lineRule="auto"/>
              <w:ind w:firstLine="0" w:firstLineChars="0"/>
              <w:jc w:val="left"/>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燃烧性：易燃</w:t>
            </w:r>
          </w:p>
        </w:tc>
        <w:tc>
          <w:tcPr>
            <w:tcW w:w="3027" w:type="pct"/>
            <w:gridSpan w:val="4"/>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bidi w:val="0"/>
              <w:adjustRightInd w:val="0"/>
              <w:snapToGrid w:val="0"/>
              <w:spacing w:line="240" w:lineRule="auto"/>
              <w:ind w:firstLine="0" w:firstLineChars="0"/>
              <w:jc w:val="left"/>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 xml:space="preserve">燃烧分解产物：一氧化碳、二氧化碳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5" w:hRule="atLeast"/>
        </w:trPr>
        <w:tc>
          <w:tcPr>
            <w:tcW w:w="238" w:type="pct"/>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bidi w:val="0"/>
              <w:adjustRightInd w:val="0"/>
              <w:snapToGrid w:val="0"/>
              <w:spacing w:line="240" w:lineRule="auto"/>
              <w:ind w:firstLine="0" w:firstLineChars="0"/>
              <w:jc w:val="center"/>
              <w:rPr>
                <w:rFonts w:hint="eastAsia" w:ascii="宋体" w:hAnsi="宋体" w:eastAsia="宋体" w:cs="宋体"/>
                <w:b/>
                <w:bCs w:val="0"/>
                <w:kern w:val="2"/>
                <w:sz w:val="24"/>
                <w:szCs w:val="24"/>
                <w:lang w:val="en-US" w:eastAsia="zh-CN" w:bidi="ar-SA"/>
              </w:rPr>
            </w:pPr>
          </w:p>
        </w:tc>
        <w:tc>
          <w:tcPr>
            <w:tcW w:w="1733" w:type="pct"/>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bidi w:val="0"/>
              <w:adjustRightInd w:val="0"/>
              <w:snapToGrid w:val="0"/>
              <w:spacing w:line="240" w:lineRule="auto"/>
              <w:ind w:firstLine="0" w:firstLineChars="0"/>
              <w:jc w:val="left"/>
              <w:rPr>
                <w:rFonts w:hint="default"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闪点（℃）33</w:t>
            </w:r>
          </w:p>
        </w:tc>
        <w:tc>
          <w:tcPr>
            <w:tcW w:w="3027" w:type="pct"/>
            <w:gridSpan w:val="4"/>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bidi w:val="0"/>
              <w:adjustRightInd w:val="0"/>
              <w:snapToGrid w:val="0"/>
              <w:spacing w:line="240" w:lineRule="auto"/>
              <w:ind w:firstLine="0" w:firstLineChars="0"/>
              <w:jc w:val="left"/>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聚合危害：不聚合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5" w:hRule="atLeast"/>
        </w:trPr>
        <w:tc>
          <w:tcPr>
            <w:tcW w:w="238" w:type="pct"/>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bidi w:val="0"/>
              <w:adjustRightInd w:val="0"/>
              <w:snapToGrid w:val="0"/>
              <w:spacing w:line="240" w:lineRule="auto"/>
              <w:ind w:firstLine="0" w:firstLineChars="0"/>
              <w:jc w:val="center"/>
              <w:rPr>
                <w:rFonts w:hint="eastAsia" w:ascii="宋体" w:hAnsi="宋体" w:eastAsia="宋体" w:cs="宋体"/>
                <w:b/>
                <w:bCs w:val="0"/>
                <w:kern w:val="2"/>
                <w:sz w:val="24"/>
                <w:szCs w:val="24"/>
                <w:lang w:val="en-US" w:eastAsia="zh-CN" w:bidi="ar-SA"/>
              </w:rPr>
            </w:pPr>
          </w:p>
        </w:tc>
        <w:tc>
          <w:tcPr>
            <w:tcW w:w="1733" w:type="pct"/>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bidi w:val="0"/>
              <w:adjustRightInd w:val="0"/>
              <w:snapToGrid w:val="0"/>
              <w:spacing w:line="240" w:lineRule="auto"/>
              <w:ind w:firstLine="0" w:firstLineChars="0"/>
              <w:jc w:val="left"/>
              <w:rPr>
                <w:rFonts w:hint="default"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爆炸下限（％）：1.3</w:t>
            </w:r>
          </w:p>
        </w:tc>
        <w:tc>
          <w:tcPr>
            <w:tcW w:w="3027" w:type="pct"/>
            <w:gridSpan w:val="4"/>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bidi w:val="0"/>
              <w:adjustRightInd w:val="0"/>
              <w:snapToGrid w:val="0"/>
              <w:spacing w:line="240" w:lineRule="auto"/>
              <w:ind w:firstLine="0" w:firstLineChars="0"/>
              <w:jc w:val="left"/>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稳定性：稳定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5" w:hRule="atLeast"/>
        </w:trPr>
        <w:tc>
          <w:tcPr>
            <w:tcW w:w="238" w:type="pct"/>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bidi w:val="0"/>
              <w:adjustRightInd w:val="0"/>
              <w:snapToGrid w:val="0"/>
              <w:spacing w:line="240" w:lineRule="auto"/>
              <w:ind w:firstLine="0" w:firstLineChars="0"/>
              <w:jc w:val="center"/>
              <w:rPr>
                <w:rFonts w:hint="eastAsia" w:ascii="宋体" w:hAnsi="宋体" w:eastAsia="宋体" w:cs="宋体"/>
                <w:b/>
                <w:bCs w:val="0"/>
                <w:kern w:val="2"/>
                <w:sz w:val="24"/>
                <w:szCs w:val="24"/>
                <w:lang w:val="en-US" w:eastAsia="zh-CN" w:bidi="ar-SA"/>
              </w:rPr>
            </w:pPr>
          </w:p>
        </w:tc>
        <w:tc>
          <w:tcPr>
            <w:tcW w:w="1733" w:type="pct"/>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bidi w:val="0"/>
              <w:adjustRightInd w:val="0"/>
              <w:snapToGrid w:val="0"/>
              <w:spacing w:line="240" w:lineRule="auto"/>
              <w:ind w:firstLine="0" w:firstLineChars="0"/>
              <w:jc w:val="left"/>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爆炸上限（％）：</w:t>
            </w:r>
          </w:p>
        </w:tc>
        <w:tc>
          <w:tcPr>
            <w:tcW w:w="3027" w:type="pct"/>
            <w:gridSpan w:val="4"/>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bidi w:val="0"/>
              <w:adjustRightInd w:val="0"/>
              <w:snapToGrid w:val="0"/>
              <w:spacing w:line="240" w:lineRule="auto"/>
              <w:ind w:firstLine="0" w:firstLineChars="0"/>
              <w:jc w:val="left"/>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最大爆炸压力（MPa）：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0" w:hRule="atLeast"/>
        </w:trPr>
        <w:tc>
          <w:tcPr>
            <w:tcW w:w="238" w:type="pct"/>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bidi w:val="0"/>
              <w:adjustRightInd w:val="0"/>
              <w:snapToGrid w:val="0"/>
              <w:spacing w:line="240" w:lineRule="auto"/>
              <w:ind w:firstLine="0" w:firstLineChars="0"/>
              <w:jc w:val="center"/>
              <w:rPr>
                <w:rFonts w:hint="eastAsia" w:ascii="宋体" w:hAnsi="宋体" w:eastAsia="宋体" w:cs="宋体"/>
                <w:b/>
                <w:bCs w:val="0"/>
                <w:kern w:val="2"/>
                <w:sz w:val="24"/>
                <w:szCs w:val="24"/>
                <w:lang w:val="en-US" w:eastAsia="zh-CN" w:bidi="ar-SA"/>
              </w:rPr>
            </w:pPr>
          </w:p>
        </w:tc>
        <w:tc>
          <w:tcPr>
            <w:tcW w:w="1733" w:type="pct"/>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bidi w:val="0"/>
              <w:adjustRightInd w:val="0"/>
              <w:snapToGrid w:val="0"/>
              <w:spacing w:line="240" w:lineRule="auto"/>
              <w:ind w:firstLine="0" w:firstLineChars="0"/>
              <w:jc w:val="left"/>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引燃温度（℃）：</w:t>
            </w:r>
          </w:p>
        </w:tc>
        <w:tc>
          <w:tcPr>
            <w:tcW w:w="3027" w:type="pct"/>
            <w:gridSpan w:val="4"/>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bidi w:val="0"/>
              <w:adjustRightInd w:val="0"/>
              <w:snapToGrid w:val="0"/>
              <w:spacing w:line="240" w:lineRule="auto"/>
              <w:ind w:firstLine="0" w:firstLineChars="0"/>
              <w:jc w:val="left"/>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禁忌物：非醇酸类油漆或非本厂生产的稀料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7" w:hRule="atLeast"/>
        </w:trPr>
        <w:tc>
          <w:tcPr>
            <w:tcW w:w="238" w:type="pct"/>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bidi w:val="0"/>
              <w:adjustRightInd w:val="0"/>
              <w:snapToGrid w:val="0"/>
              <w:spacing w:line="240" w:lineRule="auto"/>
              <w:ind w:firstLine="0" w:firstLineChars="0"/>
              <w:jc w:val="center"/>
              <w:rPr>
                <w:rFonts w:hint="eastAsia" w:ascii="宋体" w:hAnsi="宋体" w:eastAsia="宋体" w:cs="宋体"/>
                <w:b/>
                <w:bCs w:val="0"/>
                <w:kern w:val="2"/>
                <w:sz w:val="24"/>
                <w:szCs w:val="24"/>
                <w:lang w:val="en-US" w:eastAsia="zh-CN" w:bidi="ar-SA"/>
              </w:rPr>
            </w:pPr>
          </w:p>
        </w:tc>
        <w:tc>
          <w:tcPr>
            <w:tcW w:w="4761" w:type="pct"/>
            <w:gridSpan w:val="6"/>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bidi w:val="0"/>
              <w:adjustRightInd w:val="0"/>
              <w:snapToGrid w:val="0"/>
              <w:spacing w:line="240" w:lineRule="auto"/>
              <w:ind w:firstLine="0" w:firstLineChars="0"/>
              <w:jc w:val="left"/>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危险特性：蒸气能与空气形成爆炸性混合物，遇明火、高热、氧化剂极易燃烧。燃烧时放出有害气体。流速过快，容易产生和积聚静电。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 w:hRule="atLeast"/>
        </w:trPr>
        <w:tc>
          <w:tcPr>
            <w:tcW w:w="238" w:type="pct"/>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bidi w:val="0"/>
              <w:adjustRightInd w:val="0"/>
              <w:snapToGrid w:val="0"/>
              <w:spacing w:line="240" w:lineRule="auto"/>
              <w:ind w:firstLine="0" w:firstLineChars="0"/>
              <w:jc w:val="center"/>
              <w:rPr>
                <w:rFonts w:hint="eastAsia" w:ascii="宋体" w:hAnsi="宋体" w:eastAsia="宋体" w:cs="宋体"/>
                <w:b/>
                <w:bCs w:val="0"/>
                <w:kern w:val="2"/>
                <w:sz w:val="24"/>
                <w:szCs w:val="24"/>
                <w:lang w:val="en-US" w:eastAsia="zh-CN" w:bidi="ar-SA"/>
              </w:rPr>
            </w:pPr>
          </w:p>
        </w:tc>
        <w:tc>
          <w:tcPr>
            <w:tcW w:w="4761" w:type="pct"/>
            <w:gridSpan w:val="6"/>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bidi w:val="0"/>
              <w:adjustRightInd w:val="0"/>
              <w:snapToGrid w:val="0"/>
              <w:spacing w:line="240" w:lineRule="auto"/>
              <w:ind w:firstLine="0" w:firstLineChars="0"/>
              <w:jc w:val="left"/>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灭火方法：用泡沫、干粉、二氧化碳、砂土、1211灭火。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bidi w:val="0"/>
              <w:adjustRightInd w:val="0"/>
              <w:snapToGrid w:val="0"/>
              <w:spacing w:line="240" w:lineRule="auto"/>
              <w:ind w:firstLine="0" w:firstLineChars="0"/>
              <w:jc w:val="center"/>
              <w:rPr>
                <w:rFonts w:hint="eastAsia" w:ascii="宋体" w:hAnsi="宋体" w:eastAsia="宋体" w:cs="宋体"/>
                <w:b/>
                <w:bCs w:val="0"/>
                <w:kern w:val="2"/>
                <w:sz w:val="24"/>
                <w:szCs w:val="24"/>
                <w:lang w:val="en-US" w:eastAsia="zh-CN" w:bidi="ar-SA"/>
              </w:rPr>
            </w:pPr>
            <w:r>
              <w:rPr>
                <w:rFonts w:hint="eastAsia" w:ascii="宋体" w:hAnsi="宋体" w:eastAsia="宋体" w:cs="宋体"/>
                <w:b/>
                <w:bCs w:val="0"/>
                <w:kern w:val="2"/>
                <w:sz w:val="24"/>
                <w:szCs w:val="24"/>
                <w:lang w:val="en-US" w:eastAsia="zh-CN" w:bidi="ar-SA"/>
              </w:rPr>
              <w:t>毒性</w:t>
            </w:r>
          </w:p>
        </w:tc>
        <w:tc>
          <w:tcPr>
            <w:tcW w:w="4761" w:type="pct"/>
            <w:gridSpan w:val="6"/>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bidi w:val="0"/>
              <w:adjustRightInd w:val="0"/>
              <w:snapToGrid w:val="0"/>
              <w:spacing w:line="240" w:lineRule="auto"/>
              <w:ind w:firstLine="0" w:firstLineChars="0"/>
              <w:jc w:val="left"/>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急性毒性：吸入最低中毒浓度 TCL0900ppm/1 小时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2" w:hRule="atLeast"/>
        </w:trPr>
        <w:tc>
          <w:tcPr>
            <w:tcW w:w="23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bidi w:val="0"/>
              <w:adjustRightInd w:val="0"/>
              <w:snapToGrid w:val="0"/>
              <w:spacing w:line="240" w:lineRule="auto"/>
              <w:ind w:firstLine="0" w:firstLineChars="0"/>
              <w:jc w:val="center"/>
              <w:rPr>
                <w:rFonts w:hint="eastAsia" w:ascii="宋体" w:hAnsi="宋体" w:eastAsia="宋体" w:cs="宋体"/>
                <w:b/>
                <w:bCs w:val="0"/>
                <w:kern w:val="2"/>
                <w:sz w:val="24"/>
                <w:szCs w:val="24"/>
                <w:lang w:val="en-US" w:eastAsia="zh-CN" w:bidi="ar-SA"/>
              </w:rPr>
            </w:pPr>
            <w:r>
              <w:rPr>
                <w:rFonts w:hint="eastAsia" w:ascii="宋体" w:hAnsi="宋体" w:eastAsia="宋体" w:cs="宋体"/>
                <w:b/>
                <w:bCs w:val="0"/>
                <w:kern w:val="2"/>
                <w:sz w:val="24"/>
                <w:szCs w:val="24"/>
                <w:lang w:val="en-US" w:eastAsia="zh-CN" w:bidi="ar-SA"/>
              </w:rPr>
              <w:t>对人体危害</w:t>
            </w:r>
          </w:p>
        </w:tc>
        <w:tc>
          <w:tcPr>
            <w:tcW w:w="4761" w:type="pct"/>
            <w:gridSpan w:val="6"/>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bidi w:val="0"/>
              <w:adjustRightInd w:val="0"/>
              <w:snapToGrid w:val="0"/>
              <w:spacing w:line="240" w:lineRule="auto"/>
              <w:ind w:firstLine="0" w:firstLineChars="0"/>
              <w:jc w:val="left"/>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吸入、食入、经皮肤吸收。</w:t>
            </w:r>
          </w:p>
          <w:p>
            <w:pPr>
              <w:keepNext w:val="0"/>
              <w:keepLines w:val="0"/>
              <w:pageBreakBefore w:val="0"/>
              <w:widowControl w:val="0"/>
              <w:kinsoku/>
              <w:wordWrap/>
              <w:bidi w:val="0"/>
              <w:adjustRightInd w:val="0"/>
              <w:snapToGrid w:val="0"/>
              <w:spacing w:line="240" w:lineRule="auto"/>
              <w:ind w:firstLine="0" w:firstLineChars="0"/>
              <w:jc w:val="left"/>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蒸气能刺激眼睛和粘膜。吸入产生眩晕、头痛、兴奋等症状。吸入高浓度蒸气能造成急性中毒。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4" w:hRule="atLeast"/>
        </w:trPr>
        <w:tc>
          <w:tcPr>
            <w:tcW w:w="23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bidi w:val="0"/>
              <w:adjustRightInd w:val="0"/>
              <w:snapToGrid w:val="0"/>
              <w:spacing w:line="240" w:lineRule="auto"/>
              <w:ind w:firstLine="0" w:firstLineChars="0"/>
              <w:jc w:val="center"/>
              <w:rPr>
                <w:rFonts w:hint="eastAsia" w:ascii="宋体" w:hAnsi="宋体" w:eastAsia="宋体" w:cs="宋体"/>
                <w:b/>
                <w:bCs w:val="0"/>
                <w:kern w:val="2"/>
                <w:sz w:val="24"/>
                <w:szCs w:val="24"/>
                <w:lang w:val="en-US" w:eastAsia="zh-CN" w:bidi="ar-SA"/>
              </w:rPr>
            </w:pPr>
            <w:r>
              <w:rPr>
                <w:rFonts w:hint="eastAsia" w:ascii="宋体" w:hAnsi="宋体" w:eastAsia="宋体" w:cs="宋体"/>
                <w:b/>
                <w:bCs w:val="0"/>
                <w:kern w:val="2"/>
                <w:sz w:val="24"/>
                <w:szCs w:val="24"/>
                <w:lang w:val="en-US" w:eastAsia="zh-CN" w:bidi="ar-SA"/>
              </w:rPr>
              <w:t>急救</w:t>
            </w:r>
          </w:p>
        </w:tc>
        <w:tc>
          <w:tcPr>
            <w:tcW w:w="4761" w:type="pct"/>
            <w:gridSpan w:val="6"/>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bidi w:val="0"/>
              <w:adjustRightInd w:val="0"/>
              <w:snapToGrid w:val="0"/>
              <w:spacing w:line="240" w:lineRule="auto"/>
              <w:ind w:firstLine="0" w:firstLineChars="0"/>
              <w:jc w:val="left"/>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皮肤接触：脱去污染的衣着，用肥皂水和清水彻底冲洗皮肤。</w:t>
            </w:r>
          </w:p>
          <w:p>
            <w:pPr>
              <w:keepNext w:val="0"/>
              <w:keepLines w:val="0"/>
              <w:pageBreakBefore w:val="0"/>
              <w:widowControl w:val="0"/>
              <w:kinsoku/>
              <w:wordWrap/>
              <w:bidi w:val="0"/>
              <w:adjustRightInd w:val="0"/>
              <w:snapToGrid w:val="0"/>
              <w:spacing w:line="240" w:lineRule="auto"/>
              <w:ind w:firstLine="0" w:firstLineChars="0"/>
              <w:jc w:val="left"/>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眼睛接触：提起眼睑，用大量清水冲洗。</w:t>
            </w:r>
          </w:p>
          <w:p>
            <w:pPr>
              <w:keepNext w:val="0"/>
              <w:keepLines w:val="0"/>
              <w:pageBreakBefore w:val="0"/>
              <w:widowControl w:val="0"/>
              <w:kinsoku/>
              <w:wordWrap/>
              <w:bidi w:val="0"/>
              <w:adjustRightInd w:val="0"/>
              <w:snapToGrid w:val="0"/>
              <w:spacing w:line="240" w:lineRule="auto"/>
              <w:ind w:firstLine="0" w:firstLineChars="0"/>
              <w:jc w:val="left"/>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吸入：迅速脱离现场至空气新鲜处，保持呼吸道通畅。如呼吸困难，给输氧。必要时进行人工呼吸。如呼吸停止，立即进行人工呼吸。就医。</w:t>
            </w:r>
          </w:p>
          <w:p>
            <w:pPr>
              <w:keepNext w:val="0"/>
              <w:keepLines w:val="0"/>
              <w:pageBreakBefore w:val="0"/>
              <w:widowControl w:val="0"/>
              <w:kinsoku/>
              <w:wordWrap/>
              <w:bidi w:val="0"/>
              <w:adjustRightInd w:val="0"/>
              <w:snapToGrid w:val="0"/>
              <w:spacing w:line="240" w:lineRule="auto"/>
              <w:ind w:firstLine="0" w:firstLineChars="0"/>
              <w:jc w:val="left"/>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食入：误服者立即漱口、洗胃。就医。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atLeast"/>
        </w:trPr>
        <w:tc>
          <w:tcPr>
            <w:tcW w:w="23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bidi w:val="0"/>
              <w:adjustRightInd w:val="0"/>
              <w:snapToGrid w:val="0"/>
              <w:spacing w:line="240" w:lineRule="auto"/>
              <w:ind w:firstLine="0" w:firstLineChars="0"/>
              <w:jc w:val="center"/>
              <w:rPr>
                <w:rFonts w:hint="eastAsia" w:ascii="宋体" w:hAnsi="宋体" w:eastAsia="宋体" w:cs="宋体"/>
                <w:b/>
                <w:bCs w:val="0"/>
                <w:kern w:val="2"/>
                <w:sz w:val="24"/>
                <w:szCs w:val="24"/>
                <w:lang w:val="en-US" w:eastAsia="zh-CN" w:bidi="ar-SA"/>
              </w:rPr>
            </w:pPr>
            <w:r>
              <w:rPr>
                <w:rFonts w:hint="eastAsia" w:ascii="宋体" w:hAnsi="宋体" w:eastAsia="宋体" w:cs="宋体"/>
                <w:b/>
                <w:bCs w:val="0"/>
                <w:kern w:val="2"/>
                <w:sz w:val="24"/>
                <w:szCs w:val="24"/>
                <w:lang w:val="en-US" w:eastAsia="zh-CN" w:bidi="ar-SA"/>
              </w:rPr>
              <w:t>防护</w:t>
            </w:r>
          </w:p>
        </w:tc>
        <w:tc>
          <w:tcPr>
            <w:tcW w:w="4761" w:type="pct"/>
            <w:gridSpan w:val="6"/>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bidi w:val="0"/>
              <w:adjustRightInd w:val="0"/>
              <w:snapToGrid w:val="0"/>
              <w:spacing w:line="240" w:lineRule="auto"/>
              <w:ind w:firstLine="0" w:firstLineChars="0"/>
              <w:jc w:val="left"/>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工程防护：加强通风。</w:t>
            </w:r>
          </w:p>
          <w:p>
            <w:pPr>
              <w:keepNext w:val="0"/>
              <w:keepLines w:val="0"/>
              <w:pageBreakBefore w:val="0"/>
              <w:widowControl w:val="0"/>
              <w:kinsoku/>
              <w:wordWrap/>
              <w:bidi w:val="0"/>
              <w:adjustRightInd w:val="0"/>
              <w:snapToGrid w:val="0"/>
              <w:spacing w:line="240" w:lineRule="auto"/>
              <w:ind w:firstLine="0" w:firstLineChars="0"/>
              <w:jc w:val="left"/>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呼吸系统防护：戴防毒口罩，空气中浓度超标时，建议佩戴过滤式防毒面具（半面罩）。紧急事态抢救或撤离时，应该戴自给正压式呼吸器。</w:t>
            </w:r>
          </w:p>
          <w:p>
            <w:pPr>
              <w:keepNext w:val="0"/>
              <w:keepLines w:val="0"/>
              <w:pageBreakBefore w:val="0"/>
              <w:widowControl w:val="0"/>
              <w:kinsoku/>
              <w:wordWrap/>
              <w:bidi w:val="0"/>
              <w:adjustRightInd w:val="0"/>
              <w:snapToGrid w:val="0"/>
              <w:spacing w:line="240" w:lineRule="auto"/>
              <w:ind w:firstLine="0" w:firstLineChars="0"/>
              <w:jc w:val="left"/>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眼睛防护：戴化学安全</w:t>
            </w:r>
            <w:r>
              <w:rPr>
                <w:rFonts w:hint="eastAsia" w:ascii="宋体" w:hAnsi="宋体" w:cs="宋体"/>
                <w:bCs/>
                <w:kern w:val="2"/>
                <w:sz w:val="24"/>
                <w:szCs w:val="24"/>
                <w:lang w:val="en-US" w:eastAsia="zh-CN" w:bidi="ar-SA"/>
              </w:rPr>
              <w:t>防护眼镜</w:t>
            </w:r>
            <w:r>
              <w:rPr>
                <w:rFonts w:hint="eastAsia" w:ascii="宋体" w:hAnsi="宋体" w:eastAsia="宋体" w:cs="宋体"/>
                <w:bCs/>
                <w:kern w:val="2"/>
                <w:sz w:val="24"/>
                <w:szCs w:val="24"/>
                <w:lang w:val="en-US" w:eastAsia="zh-CN" w:bidi="ar-SA"/>
              </w:rPr>
              <w:t>。</w:t>
            </w:r>
          </w:p>
          <w:p>
            <w:pPr>
              <w:keepNext w:val="0"/>
              <w:keepLines w:val="0"/>
              <w:pageBreakBefore w:val="0"/>
              <w:widowControl w:val="0"/>
              <w:kinsoku/>
              <w:wordWrap/>
              <w:bidi w:val="0"/>
              <w:adjustRightInd w:val="0"/>
              <w:snapToGrid w:val="0"/>
              <w:spacing w:line="240" w:lineRule="auto"/>
              <w:ind w:firstLine="0" w:firstLineChars="0"/>
              <w:jc w:val="left"/>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身体防护：穿防静电工作服和防砸耐油工作鞋。</w:t>
            </w:r>
          </w:p>
          <w:p>
            <w:pPr>
              <w:keepNext w:val="0"/>
              <w:keepLines w:val="0"/>
              <w:pageBreakBefore w:val="0"/>
              <w:widowControl w:val="0"/>
              <w:kinsoku/>
              <w:wordWrap/>
              <w:bidi w:val="0"/>
              <w:adjustRightInd w:val="0"/>
              <w:snapToGrid w:val="0"/>
              <w:spacing w:line="240" w:lineRule="auto"/>
              <w:ind w:firstLine="0" w:firstLineChars="0"/>
              <w:jc w:val="left"/>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手防护：戴防化学品手套或皮肤保护膜。</w:t>
            </w:r>
          </w:p>
          <w:p>
            <w:pPr>
              <w:keepNext w:val="0"/>
              <w:keepLines w:val="0"/>
              <w:pageBreakBefore w:val="0"/>
              <w:widowControl w:val="0"/>
              <w:kinsoku/>
              <w:wordWrap/>
              <w:bidi w:val="0"/>
              <w:adjustRightInd w:val="0"/>
              <w:snapToGrid w:val="0"/>
              <w:spacing w:line="240" w:lineRule="auto"/>
              <w:ind w:firstLine="0" w:firstLineChars="0"/>
              <w:jc w:val="left"/>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其它：工作现场禁止吸烟、进食和饮水。工作前避免饮用酒精性饮料。工作毕，淋浴更衣。进行就业前和定期的体检。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3" w:hRule="atLeast"/>
        </w:trPr>
        <w:tc>
          <w:tcPr>
            <w:tcW w:w="23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bidi w:val="0"/>
              <w:adjustRightInd w:val="0"/>
              <w:snapToGrid w:val="0"/>
              <w:spacing w:line="240" w:lineRule="auto"/>
              <w:ind w:firstLine="0" w:firstLineChars="0"/>
              <w:jc w:val="center"/>
              <w:rPr>
                <w:rFonts w:hint="eastAsia" w:ascii="宋体" w:hAnsi="宋体" w:eastAsia="宋体" w:cs="宋体"/>
                <w:b/>
                <w:bCs w:val="0"/>
                <w:kern w:val="2"/>
                <w:sz w:val="24"/>
                <w:szCs w:val="24"/>
                <w:lang w:val="en-US" w:eastAsia="zh-CN" w:bidi="ar-SA"/>
              </w:rPr>
            </w:pPr>
            <w:r>
              <w:rPr>
                <w:rFonts w:hint="eastAsia" w:ascii="宋体" w:hAnsi="宋体" w:eastAsia="宋体" w:cs="宋体"/>
                <w:b/>
                <w:bCs w:val="0"/>
                <w:kern w:val="2"/>
                <w:sz w:val="24"/>
                <w:szCs w:val="24"/>
                <w:lang w:val="en-US" w:eastAsia="zh-CN" w:bidi="ar-SA"/>
              </w:rPr>
              <w:t>泄漏处理</w:t>
            </w:r>
          </w:p>
        </w:tc>
        <w:tc>
          <w:tcPr>
            <w:tcW w:w="4761" w:type="pct"/>
            <w:gridSpan w:val="6"/>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bidi w:val="0"/>
              <w:adjustRightInd w:val="0"/>
              <w:snapToGrid w:val="0"/>
              <w:spacing w:line="240" w:lineRule="auto"/>
              <w:ind w:firstLine="0" w:firstLineChars="0"/>
              <w:jc w:val="left"/>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一般泄漏：切断火源，并且及时进行通风。可用沙土吸附。吸附物必须送环卫部门指定的填埋场所或处理场所。对污染地面可用肥皂水或洗涤剂冲刷，稀释后污水必须排入污水处理系统。大量泄漏：切断火源，尽可能切断泄漏源，防止进入下水道等限制性空间。疏散污染区人员至安全区，禁止无关人员进入污染区。建议应急处理人员戴自给正压式呼吸器，穿消防服。在确保安全情况下堵漏，利用围堤收容，然后收集、转移、回收或无害处理后按规定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3" w:hRule="atLeast"/>
        </w:trPr>
        <w:tc>
          <w:tcPr>
            <w:tcW w:w="23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bidi w:val="0"/>
              <w:adjustRightInd w:val="0"/>
              <w:snapToGrid w:val="0"/>
              <w:spacing w:line="240" w:lineRule="auto"/>
              <w:ind w:firstLine="0" w:firstLineChars="0"/>
              <w:jc w:val="center"/>
              <w:rPr>
                <w:rFonts w:hint="eastAsia" w:ascii="宋体" w:hAnsi="宋体" w:eastAsia="宋体" w:cs="宋体"/>
                <w:b/>
                <w:bCs w:val="0"/>
                <w:kern w:val="2"/>
                <w:sz w:val="24"/>
                <w:szCs w:val="24"/>
                <w:lang w:val="en-US" w:eastAsia="zh-CN" w:bidi="ar-SA"/>
              </w:rPr>
            </w:pPr>
            <w:r>
              <w:rPr>
                <w:rFonts w:hint="eastAsia" w:ascii="宋体" w:hAnsi="宋体" w:eastAsia="宋体" w:cs="宋体"/>
                <w:b/>
                <w:bCs w:val="0"/>
                <w:kern w:val="2"/>
                <w:sz w:val="24"/>
                <w:szCs w:val="24"/>
                <w:lang w:val="en-US" w:eastAsia="zh-CN" w:bidi="ar-SA"/>
              </w:rPr>
              <w:t>贮运</w:t>
            </w:r>
          </w:p>
        </w:tc>
        <w:tc>
          <w:tcPr>
            <w:tcW w:w="4761" w:type="pct"/>
            <w:gridSpan w:val="6"/>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bidi w:val="0"/>
              <w:adjustRightInd w:val="0"/>
              <w:snapToGrid w:val="0"/>
              <w:spacing w:line="240" w:lineRule="auto"/>
              <w:ind w:firstLine="0" w:firstLineChars="0"/>
              <w:jc w:val="left"/>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 xml:space="preserve">包装标志：易燃液体      UN编号：1866       包装分类：Ⅱ </w:t>
            </w:r>
          </w:p>
          <w:p>
            <w:pPr>
              <w:keepNext w:val="0"/>
              <w:keepLines w:val="0"/>
              <w:pageBreakBefore w:val="0"/>
              <w:widowControl w:val="0"/>
              <w:kinsoku/>
              <w:wordWrap/>
              <w:bidi w:val="0"/>
              <w:adjustRightInd w:val="0"/>
              <w:snapToGrid w:val="0"/>
              <w:spacing w:line="240" w:lineRule="auto"/>
              <w:ind w:firstLine="0" w:firstLineChars="0"/>
              <w:jc w:val="left"/>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包装方法：钢桶、钢制提桶。</w:t>
            </w:r>
          </w:p>
          <w:p>
            <w:pPr>
              <w:keepNext w:val="0"/>
              <w:keepLines w:val="0"/>
              <w:pageBreakBefore w:val="0"/>
              <w:widowControl w:val="0"/>
              <w:kinsoku/>
              <w:wordWrap/>
              <w:bidi w:val="0"/>
              <w:adjustRightInd w:val="0"/>
              <w:snapToGrid w:val="0"/>
              <w:spacing w:line="240" w:lineRule="auto"/>
              <w:ind w:firstLine="0" w:firstLineChars="0"/>
              <w:jc w:val="left"/>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储运条件：储存在阴凉、通风的仓间内。远离火种、热源。仓内温度不宜超过35℃。防止阳光暴晒；包装应密封。与氧化剂、食用化学品、隔离储运。采用防爆型照明、通风设备。禁止使用产生火花的机械设备和工具。储区应配备合适的收容材料。仓库应有静电接地装置。搬运时轻装轻卸，防止包装破损。夏季早晚运输，运输按有关规定路线行驶。</w:t>
            </w:r>
          </w:p>
        </w:tc>
      </w:tr>
    </w:tbl>
    <w:p>
      <w:pPr>
        <w:rPr>
          <w:rFonts w:hint="eastAsia"/>
          <w:lang w:val="en-US" w:eastAsia="zh-CN"/>
        </w:rPr>
      </w:pPr>
    </w:p>
    <w:p>
      <w:pPr>
        <w:pStyle w:val="7"/>
        <w:bidi w:val="0"/>
        <w:rPr>
          <w:rFonts w:hint="eastAsia" w:ascii="Cambria" w:hAnsi="Cambria" w:eastAsia="宋体" w:cstheme="minorBidi"/>
          <w:b/>
          <w:bCs/>
          <w:kern w:val="2"/>
          <w:sz w:val="28"/>
          <w:szCs w:val="28"/>
          <w:lang w:val="en-US" w:eastAsia="zh-CN" w:bidi="ar-SA"/>
        </w:rPr>
      </w:pPr>
      <w:r>
        <w:rPr>
          <w:rFonts w:hint="eastAsia" w:cstheme="minorBidi"/>
          <w:b/>
          <w:bCs/>
          <w:kern w:val="2"/>
          <w:sz w:val="28"/>
          <w:szCs w:val="28"/>
          <w:lang w:val="en-US" w:eastAsia="zh-CN" w:bidi="ar-SA"/>
        </w:rPr>
        <w:t>铁红油性防锈漆理化特性</w:t>
      </w:r>
    </w:p>
    <w:tbl>
      <w:tblPr>
        <w:tblStyle w:val="29"/>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7"/>
        <w:gridCol w:w="2418"/>
        <w:gridCol w:w="518"/>
        <w:gridCol w:w="985"/>
        <w:gridCol w:w="664"/>
        <w:gridCol w:w="975"/>
        <w:gridCol w:w="25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 w:hRule="atLeast"/>
        </w:trPr>
        <w:tc>
          <w:tcPr>
            <w:tcW w:w="238" w:type="pct"/>
            <w:vMerge w:val="restart"/>
            <w:tcBorders>
              <w:top w:val="single" w:color="auto" w:sz="4" w:space="0"/>
              <w:left w:val="single" w:color="auto" w:sz="4" w:space="0"/>
              <w:bottom w:val="single" w:color="auto" w:sz="4" w:space="0"/>
              <w:right w:val="single" w:color="auto" w:sz="4" w:space="0"/>
            </w:tcBorders>
            <w:noWrap w:val="0"/>
            <w:vAlign w:val="center"/>
          </w:tcPr>
          <w:p>
            <w:pPr>
              <w:spacing w:line="280" w:lineRule="exact"/>
              <w:ind w:firstLine="0" w:firstLineChars="0"/>
              <w:jc w:val="left"/>
              <w:rPr>
                <w:rFonts w:hint="eastAsia" w:asciiTheme="minorEastAsia" w:hAnsiTheme="minorEastAsia" w:eastAsiaTheme="minorEastAsia" w:cstheme="minorEastAsia"/>
                <w:b/>
                <w:bCs/>
                <w:color w:val="000000"/>
                <w:sz w:val="24"/>
                <w:szCs w:val="24"/>
              </w:rPr>
            </w:pPr>
            <w:r>
              <w:rPr>
                <w:rFonts w:hint="eastAsia" w:asciiTheme="minorEastAsia" w:hAnsiTheme="minorEastAsia" w:eastAsiaTheme="minorEastAsia" w:cstheme="minorEastAsia"/>
                <w:b/>
                <w:bCs/>
                <w:color w:val="000000"/>
                <w:sz w:val="24"/>
                <w:szCs w:val="24"/>
              </w:rPr>
              <w:t>标识</w:t>
            </w:r>
          </w:p>
        </w:tc>
        <w:tc>
          <w:tcPr>
            <w:tcW w:w="2316" w:type="pct"/>
            <w:gridSpan w:val="3"/>
            <w:tcBorders>
              <w:top w:val="single" w:color="auto" w:sz="4" w:space="0"/>
              <w:left w:val="single" w:color="auto" w:sz="4" w:space="0"/>
              <w:bottom w:val="single" w:color="auto" w:sz="4" w:space="0"/>
              <w:right w:val="single" w:color="auto" w:sz="4" w:space="0"/>
            </w:tcBorders>
            <w:noWrap w:val="0"/>
            <w:vAlign w:val="center"/>
          </w:tcPr>
          <w:p>
            <w:pPr>
              <w:spacing w:line="240" w:lineRule="auto"/>
              <w:ind w:firstLine="0" w:firstLineChars="0"/>
              <w:jc w:val="lef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中文名：铁红油性防锈漆</w:t>
            </w:r>
          </w:p>
        </w:tc>
        <w:tc>
          <w:tcPr>
            <w:tcW w:w="2445" w:type="pct"/>
            <w:gridSpan w:val="3"/>
            <w:tcBorders>
              <w:top w:val="single" w:color="auto" w:sz="4" w:space="0"/>
              <w:left w:val="single" w:color="auto" w:sz="4" w:space="0"/>
              <w:bottom w:val="single" w:color="auto" w:sz="4" w:space="0"/>
              <w:right w:val="single" w:color="auto" w:sz="4" w:space="0"/>
            </w:tcBorders>
            <w:noWrap w:val="0"/>
            <w:vAlign w:val="center"/>
          </w:tcPr>
          <w:p>
            <w:pPr>
              <w:spacing w:line="280" w:lineRule="exact"/>
              <w:ind w:firstLine="0" w:firstLineChars="0"/>
              <w:jc w:val="lef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英文名：LRON RED OIL ANTI-RUST PAINT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238"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auto"/>
              <w:ind w:firstLine="0" w:firstLineChars="0"/>
              <w:jc w:val="left"/>
              <w:rPr>
                <w:rFonts w:hint="eastAsia" w:asciiTheme="minorEastAsia" w:hAnsiTheme="minorEastAsia" w:eastAsiaTheme="minorEastAsia" w:cstheme="minorEastAsia"/>
                <w:b/>
                <w:bCs/>
                <w:color w:val="000000"/>
                <w:sz w:val="24"/>
                <w:szCs w:val="24"/>
              </w:rPr>
            </w:pPr>
          </w:p>
        </w:tc>
        <w:tc>
          <w:tcPr>
            <w:tcW w:w="1733" w:type="pct"/>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ind w:firstLine="0" w:firstLineChars="0"/>
              <w:jc w:val="lef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分子式：</w:t>
            </w:r>
          </w:p>
        </w:tc>
        <w:tc>
          <w:tcPr>
            <w:tcW w:w="1555" w:type="pct"/>
            <w:gridSpan w:val="3"/>
            <w:tcBorders>
              <w:top w:val="single" w:color="auto" w:sz="4" w:space="0"/>
              <w:left w:val="single" w:color="auto" w:sz="4" w:space="0"/>
              <w:bottom w:val="single" w:color="auto" w:sz="4" w:space="0"/>
              <w:right w:val="single" w:color="auto" w:sz="4" w:space="0"/>
            </w:tcBorders>
            <w:noWrap w:val="0"/>
            <w:vAlign w:val="center"/>
          </w:tcPr>
          <w:p>
            <w:pPr>
              <w:spacing w:line="280" w:lineRule="exact"/>
              <w:ind w:firstLine="0" w:firstLineChars="0"/>
              <w:jc w:val="lef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分子量：</w:t>
            </w:r>
          </w:p>
        </w:tc>
        <w:tc>
          <w:tcPr>
            <w:tcW w:w="1472" w:type="pct"/>
            <w:tcBorders>
              <w:top w:val="single" w:color="auto" w:sz="4" w:space="0"/>
              <w:left w:val="single" w:color="auto" w:sz="4" w:space="0"/>
              <w:bottom w:val="single" w:color="auto" w:sz="4" w:space="0"/>
              <w:right w:val="single" w:color="auto" w:sz="4" w:space="0"/>
            </w:tcBorders>
            <w:noWrap w:val="0"/>
            <w:vAlign w:val="center"/>
          </w:tcPr>
          <w:p>
            <w:pPr>
              <w:spacing w:line="280" w:lineRule="exact"/>
              <w:ind w:firstLine="0" w:firstLineChars="0"/>
              <w:jc w:val="lef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CAS号：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238"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auto"/>
              <w:ind w:firstLine="0" w:firstLineChars="0"/>
              <w:jc w:val="left"/>
              <w:rPr>
                <w:rFonts w:hint="eastAsia" w:asciiTheme="minorEastAsia" w:hAnsiTheme="minorEastAsia" w:eastAsiaTheme="minorEastAsia" w:cstheme="minorEastAsia"/>
                <w:b/>
                <w:bCs/>
                <w:color w:val="000000"/>
                <w:sz w:val="24"/>
                <w:szCs w:val="24"/>
              </w:rPr>
            </w:pPr>
          </w:p>
        </w:tc>
        <w:tc>
          <w:tcPr>
            <w:tcW w:w="4761" w:type="pct"/>
            <w:gridSpan w:val="6"/>
            <w:tcBorders>
              <w:top w:val="single" w:color="auto" w:sz="4" w:space="0"/>
              <w:left w:val="single" w:color="auto" w:sz="4" w:space="0"/>
              <w:bottom w:val="single" w:color="auto" w:sz="4" w:space="0"/>
              <w:right w:val="single" w:color="auto" w:sz="4" w:space="0"/>
            </w:tcBorders>
            <w:noWrap w:val="0"/>
            <w:vAlign w:val="center"/>
          </w:tcPr>
          <w:p>
            <w:pPr>
              <w:spacing w:line="280" w:lineRule="exact"/>
              <w:ind w:firstLine="0" w:firstLineChars="0"/>
              <w:jc w:val="lef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危规号：33648（未列名）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6" w:hRule="atLeast"/>
        </w:trPr>
        <w:tc>
          <w:tcPr>
            <w:tcW w:w="238" w:type="pct"/>
            <w:vMerge w:val="restart"/>
            <w:tcBorders>
              <w:top w:val="single" w:color="auto" w:sz="4" w:space="0"/>
              <w:left w:val="single" w:color="auto" w:sz="4" w:space="0"/>
              <w:bottom w:val="single" w:color="auto" w:sz="4" w:space="0"/>
              <w:right w:val="single" w:color="auto" w:sz="4" w:space="0"/>
            </w:tcBorders>
            <w:noWrap w:val="0"/>
            <w:vAlign w:val="center"/>
          </w:tcPr>
          <w:p>
            <w:pPr>
              <w:spacing w:line="280" w:lineRule="exact"/>
              <w:ind w:firstLine="0" w:firstLineChars="0"/>
              <w:jc w:val="left"/>
              <w:rPr>
                <w:rFonts w:hint="eastAsia" w:asciiTheme="minorEastAsia" w:hAnsiTheme="minorEastAsia" w:eastAsiaTheme="minorEastAsia" w:cstheme="minorEastAsia"/>
                <w:b/>
                <w:bCs/>
                <w:color w:val="000000"/>
                <w:sz w:val="24"/>
                <w:szCs w:val="24"/>
              </w:rPr>
            </w:pPr>
            <w:r>
              <w:rPr>
                <w:rFonts w:hint="eastAsia" w:asciiTheme="minorEastAsia" w:hAnsiTheme="minorEastAsia" w:eastAsiaTheme="minorEastAsia" w:cstheme="minorEastAsia"/>
                <w:b/>
                <w:bCs/>
                <w:color w:val="000000"/>
                <w:sz w:val="24"/>
                <w:szCs w:val="24"/>
              </w:rPr>
              <w:t>理化性质</w:t>
            </w:r>
          </w:p>
        </w:tc>
        <w:tc>
          <w:tcPr>
            <w:tcW w:w="4761" w:type="pct"/>
            <w:gridSpan w:val="6"/>
            <w:tcBorders>
              <w:top w:val="single" w:color="auto" w:sz="4" w:space="0"/>
              <w:left w:val="single" w:color="auto" w:sz="4" w:space="0"/>
              <w:bottom w:val="single" w:color="auto" w:sz="4" w:space="0"/>
              <w:right w:val="single" w:color="auto" w:sz="4" w:space="0"/>
            </w:tcBorders>
            <w:noWrap w:val="0"/>
            <w:vAlign w:val="center"/>
          </w:tcPr>
          <w:p>
            <w:pPr>
              <w:spacing w:line="280" w:lineRule="exact"/>
              <w:ind w:firstLine="0" w:firstLineChars="0"/>
              <w:jc w:val="lef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性状：红色粘稠液体，有特殊芳香味。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238"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auto"/>
              <w:ind w:firstLine="0" w:firstLineChars="0"/>
              <w:jc w:val="left"/>
              <w:rPr>
                <w:rFonts w:hint="eastAsia" w:asciiTheme="minorEastAsia" w:hAnsiTheme="minorEastAsia" w:eastAsiaTheme="minorEastAsia" w:cstheme="minorEastAsia"/>
                <w:b/>
                <w:bCs/>
                <w:color w:val="000000"/>
                <w:sz w:val="24"/>
                <w:szCs w:val="24"/>
              </w:rPr>
            </w:pPr>
          </w:p>
        </w:tc>
        <w:tc>
          <w:tcPr>
            <w:tcW w:w="4761" w:type="pct"/>
            <w:gridSpan w:val="6"/>
            <w:tcBorders>
              <w:top w:val="single" w:color="auto" w:sz="4" w:space="0"/>
              <w:left w:val="single" w:color="auto" w:sz="4" w:space="0"/>
              <w:bottom w:val="single" w:color="auto" w:sz="4" w:space="0"/>
              <w:right w:val="single" w:color="auto" w:sz="4" w:space="0"/>
            </w:tcBorders>
            <w:noWrap w:val="0"/>
            <w:vAlign w:val="center"/>
          </w:tcPr>
          <w:p>
            <w:pPr>
              <w:spacing w:line="280" w:lineRule="exact"/>
              <w:ind w:firstLine="0" w:firstLineChars="0"/>
              <w:jc w:val="lef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 xml:space="preserve">溶解性：可与二甲苯、醇酸漆稀释剂等混溶。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1" w:hRule="atLeast"/>
        </w:trPr>
        <w:tc>
          <w:tcPr>
            <w:tcW w:w="238"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auto"/>
              <w:ind w:firstLine="0" w:firstLineChars="0"/>
              <w:jc w:val="left"/>
              <w:rPr>
                <w:rFonts w:hint="eastAsia" w:asciiTheme="minorEastAsia" w:hAnsiTheme="minorEastAsia" w:eastAsiaTheme="minorEastAsia" w:cstheme="minorEastAsia"/>
                <w:b/>
                <w:bCs/>
                <w:color w:val="000000"/>
                <w:sz w:val="24"/>
                <w:szCs w:val="24"/>
              </w:rPr>
            </w:pPr>
          </w:p>
        </w:tc>
        <w:tc>
          <w:tcPr>
            <w:tcW w:w="1424" w:type="pct"/>
            <w:tcBorders>
              <w:top w:val="single" w:color="auto" w:sz="4" w:space="0"/>
              <w:left w:val="single" w:color="auto" w:sz="4" w:space="0"/>
              <w:bottom w:val="single" w:color="auto" w:sz="4" w:space="0"/>
              <w:right w:val="single" w:color="auto" w:sz="4" w:space="0"/>
            </w:tcBorders>
            <w:noWrap w:val="0"/>
            <w:vAlign w:val="center"/>
          </w:tcPr>
          <w:p>
            <w:pPr>
              <w:spacing w:line="280" w:lineRule="exact"/>
              <w:ind w:firstLine="0" w:firstLineChars="0"/>
              <w:jc w:val="lef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熔点（℃）：</w:t>
            </w:r>
          </w:p>
        </w:tc>
        <w:tc>
          <w:tcPr>
            <w:tcW w:w="1287" w:type="pct"/>
            <w:gridSpan w:val="3"/>
            <w:tcBorders>
              <w:top w:val="single" w:color="auto" w:sz="4" w:space="0"/>
              <w:left w:val="single" w:color="auto" w:sz="4" w:space="0"/>
              <w:bottom w:val="single" w:color="auto" w:sz="4" w:space="0"/>
              <w:right w:val="single" w:color="auto" w:sz="4" w:space="0"/>
            </w:tcBorders>
            <w:noWrap w:val="0"/>
            <w:vAlign w:val="center"/>
          </w:tcPr>
          <w:p>
            <w:pPr>
              <w:spacing w:line="280" w:lineRule="exact"/>
              <w:ind w:firstLine="0" w:firstLineChars="0"/>
              <w:jc w:val="lef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沸点（℃）：</w:t>
            </w:r>
          </w:p>
        </w:tc>
        <w:tc>
          <w:tcPr>
            <w:tcW w:w="2049" w:type="pct"/>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ind w:firstLine="0" w:firstLineChars="0"/>
              <w:jc w:val="lef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相对密度（水＝1）：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5" w:hRule="atLeast"/>
        </w:trPr>
        <w:tc>
          <w:tcPr>
            <w:tcW w:w="238"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auto"/>
              <w:ind w:firstLine="0" w:firstLineChars="0"/>
              <w:jc w:val="left"/>
              <w:rPr>
                <w:rFonts w:hint="eastAsia" w:asciiTheme="minorEastAsia" w:hAnsiTheme="minorEastAsia" w:eastAsiaTheme="minorEastAsia" w:cstheme="minorEastAsia"/>
                <w:b/>
                <w:bCs/>
                <w:color w:val="000000"/>
                <w:sz w:val="24"/>
                <w:szCs w:val="24"/>
              </w:rPr>
            </w:pPr>
          </w:p>
        </w:tc>
        <w:tc>
          <w:tcPr>
            <w:tcW w:w="1424" w:type="pct"/>
            <w:tcBorders>
              <w:top w:val="single" w:color="auto" w:sz="4" w:space="0"/>
              <w:left w:val="single" w:color="auto" w:sz="4" w:space="0"/>
              <w:bottom w:val="single" w:color="auto" w:sz="4" w:space="0"/>
              <w:right w:val="single" w:color="auto" w:sz="4" w:space="0"/>
            </w:tcBorders>
            <w:noWrap w:val="0"/>
            <w:vAlign w:val="center"/>
          </w:tcPr>
          <w:p>
            <w:pPr>
              <w:spacing w:line="280" w:lineRule="exact"/>
              <w:ind w:firstLine="0" w:firstLineChars="0"/>
              <w:jc w:val="lef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临界温度（℃）：</w:t>
            </w:r>
          </w:p>
        </w:tc>
        <w:tc>
          <w:tcPr>
            <w:tcW w:w="1287" w:type="pct"/>
            <w:gridSpan w:val="3"/>
            <w:tcBorders>
              <w:top w:val="single" w:color="auto" w:sz="4" w:space="0"/>
              <w:left w:val="single" w:color="auto" w:sz="4" w:space="0"/>
              <w:bottom w:val="single" w:color="auto" w:sz="4" w:space="0"/>
              <w:right w:val="single" w:color="auto" w:sz="4" w:space="0"/>
            </w:tcBorders>
            <w:noWrap w:val="0"/>
            <w:vAlign w:val="center"/>
          </w:tcPr>
          <w:p>
            <w:pPr>
              <w:spacing w:line="280" w:lineRule="exact"/>
              <w:ind w:firstLine="0" w:firstLineChars="0"/>
              <w:jc w:val="lef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临界压力（MPa）：</w:t>
            </w:r>
          </w:p>
        </w:tc>
        <w:tc>
          <w:tcPr>
            <w:tcW w:w="2049" w:type="pct"/>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ind w:firstLine="0" w:firstLineChars="0"/>
              <w:jc w:val="lef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相对密度（空气＝1）：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5" w:hRule="atLeast"/>
        </w:trPr>
        <w:tc>
          <w:tcPr>
            <w:tcW w:w="238"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auto"/>
              <w:ind w:firstLine="0" w:firstLineChars="0"/>
              <w:jc w:val="left"/>
              <w:rPr>
                <w:rFonts w:hint="eastAsia" w:asciiTheme="minorEastAsia" w:hAnsiTheme="minorEastAsia" w:eastAsiaTheme="minorEastAsia" w:cstheme="minorEastAsia"/>
                <w:b/>
                <w:bCs/>
                <w:color w:val="000000"/>
                <w:sz w:val="24"/>
                <w:szCs w:val="24"/>
              </w:rPr>
            </w:pPr>
          </w:p>
        </w:tc>
        <w:tc>
          <w:tcPr>
            <w:tcW w:w="1424" w:type="pct"/>
            <w:tcBorders>
              <w:top w:val="single" w:color="auto" w:sz="4" w:space="0"/>
              <w:left w:val="single" w:color="auto" w:sz="4" w:space="0"/>
              <w:bottom w:val="single" w:color="auto" w:sz="4" w:space="0"/>
              <w:right w:val="single" w:color="auto" w:sz="4" w:space="0"/>
            </w:tcBorders>
            <w:noWrap w:val="0"/>
            <w:vAlign w:val="center"/>
          </w:tcPr>
          <w:p>
            <w:pPr>
              <w:spacing w:line="280" w:lineRule="exact"/>
              <w:ind w:firstLine="0" w:firstLineChars="0"/>
              <w:jc w:val="lef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燃烧热（KJ/mol）：</w:t>
            </w:r>
          </w:p>
        </w:tc>
        <w:tc>
          <w:tcPr>
            <w:tcW w:w="1287" w:type="pct"/>
            <w:gridSpan w:val="3"/>
            <w:tcBorders>
              <w:top w:val="single" w:color="auto" w:sz="4" w:space="0"/>
              <w:left w:val="single" w:color="auto" w:sz="4" w:space="0"/>
              <w:bottom w:val="single" w:color="auto" w:sz="4" w:space="0"/>
              <w:right w:val="single" w:color="auto" w:sz="4" w:space="0"/>
            </w:tcBorders>
            <w:noWrap w:val="0"/>
            <w:vAlign w:val="center"/>
          </w:tcPr>
          <w:p>
            <w:pPr>
              <w:spacing w:line="280" w:lineRule="exact"/>
              <w:ind w:firstLine="0" w:firstLineChars="0"/>
              <w:jc w:val="lef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最小点火能（mJ）：</w:t>
            </w:r>
          </w:p>
        </w:tc>
        <w:tc>
          <w:tcPr>
            <w:tcW w:w="2049" w:type="pct"/>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ind w:firstLine="0" w:firstLineChars="0"/>
              <w:jc w:val="lef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饱和蒸汽压（kPa）：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2" w:hRule="atLeast"/>
        </w:trPr>
        <w:tc>
          <w:tcPr>
            <w:tcW w:w="238" w:type="pct"/>
            <w:vMerge w:val="restart"/>
            <w:tcBorders>
              <w:top w:val="single" w:color="auto" w:sz="4" w:space="0"/>
              <w:left w:val="single" w:color="auto" w:sz="4" w:space="0"/>
              <w:bottom w:val="single" w:color="auto" w:sz="4" w:space="0"/>
              <w:right w:val="single" w:color="auto" w:sz="4" w:space="0"/>
            </w:tcBorders>
            <w:noWrap w:val="0"/>
            <w:vAlign w:val="center"/>
          </w:tcPr>
          <w:p>
            <w:pPr>
              <w:spacing w:line="280" w:lineRule="exact"/>
              <w:ind w:firstLine="0" w:firstLineChars="0"/>
              <w:jc w:val="left"/>
              <w:rPr>
                <w:rFonts w:hint="eastAsia" w:asciiTheme="minorEastAsia" w:hAnsiTheme="minorEastAsia" w:eastAsiaTheme="minorEastAsia" w:cstheme="minorEastAsia"/>
                <w:b/>
                <w:bCs/>
                <w:color w:val="000000"/>
                <w:sz w:val="24"/>
                <w:szCs w:val="24"/>
              </w:rPr>
            </w:pPr>
            <w:r>
              <w:rPr>
                <w:rFonts w:hint="eastAsia" w:asciiTheme="minorEastAsia" w:hAnsiTheme="minorEastAsia" w:eastAsiaTheme="minorEastAsia" w:cstheme="minorEastAsia"/>
                <w:b/>
                <w:bCs/>
                <w:color w:val="000000"/>
                <w:sz w:val="24"/>
                <w:szCs w:val="24"/>
              </w:rPr>
              <w:t>燃烧爆炸危险性</w:t>
            </w:r>
          </w:p>
        </w:tc>
        <w:tc>
          <w:tcPr>
            <w:tcW w:w="1733" w:type="pct"/>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ind w:firstLine="0" w:firstLineChars="0"/>
              <w:jc w:val="lef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燃烧性：易燃</w:t>
            </w:r>
          </w:p>
        </w:tc>
        <w:tc>
          <w:tcPr>
            <w:tcW w:w="3027" w:type="pct"/>
            <w:gridSpan w:val="4"/>
            <w:tcBorders>
              <w:top w:val="single" w:color="auto" w:sz="4" w:space="0"/>
              <w:left w:val="single" w:color="auto" w:sz="4" w:space="0"/>
              <w:bottom w:val="single" w:color="auto" w:sz="4" w:space="0"/>
              <w:right w:val="single" w:color="auto" w:sz="4" w:space="0"/>
            </w:tcBorders>
            <w:noWrap w:val="0"/>
            <w:vAlign w:val="center"/>
          </w:tcPr>
          <w:p>
            <w:pPr>
              <w:spacing w:line="280" w:lineRule="exact"/>
              <w:ind w:firstLine="0" w:firstLineChars="0"/>
              <w:jc w:val="lef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 xml:space="preserve">燃烧分解产物：一氧化碳、二氧化碳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5" w:hRule="atLeast"/>
        </w:trPr>
        <w:tc>
          <w:tcPr>
            <w:tcW w:w="238"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auto"/>
              <w:ind w:firstLine="0" w:firstLineChars="0"/>
              <w:jc w:val="left"/>
              <w:rPr>
                <w:rFonts w:hint="eastAsia" w:asciiTheme="minorEastAsia" w:hAnsiTheme="minorEastAsia" w:eastAsiaTheme="minorEastAsia" w:cstheme="minorEastAsia"/>
                <w:b/>
                <w:bCs/>
                <w:color w:val="000000"/>
                <w:sz w:val="24"/>
                <w:szCs w:val="24"/>
              </w:rPr>
            </w:pPr>
          </w:p>
        </w:tc>
        <w:tc>
          <w:tcPr>
            <w:tcW w:w="1733" w:type="pct"/>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ind w:firstLine="0" w:firstLineChars="0"/>
              <w:jc w:val="lef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闪点（℃）23－61</w:t>
            </w:r>
          </w:p>
        </w:tc>
        <w:tc>
          <w:tcPr>
            <w:tcW w:w="3027" w:type="pct"/>
            <w:gridSpan w:val="4"/>
            <w:tcBorders>
              <w:top w:val="single" w:color="auto" w:sz="4" w:space="0"/>
              <w:left w:val="single" w:color="auto" w:sz="4" w:space="0"/>
              <w:bottom w:val="single" w:color="auto" w:sz="4" w:space="0"/>
              <w:right w:val="single" w:color="auto" w:sz="4" w:space="0"/>
            </w:tcBorders>
            <w:noWrap w:val="0"/>
            <w:vAlign w:val="center"/>
          </w:tcPr>
          <w:p>
            <w:pPr>
              <w:spacing w:line="280" w:lineRule="exact"/>
              <w:ind w:firstLine="0" w:firstLineChars="0"/>
              <w:jc w:val="lef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聚合危害：不聚合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5" w:hRule="atLeast"/>
        </w:trPr>
        <w:tc>
          <w:tcPr>
            <w:tcW w:w="238"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auto"/>
              <w:ind w:firstLine="0" w:firstLineChars="0"/>
              <w:jc w:val="left"/>
              <w:rPr>
                <w:rFonts w:hint="eastAsia" w:asciiTheme="minorEastAsia" w:hAnsiTheme="minorEastAsia" w:eastAsiaTheme="minorEastAsia" w:cstheme="minorEastAsia"/>
                <w:b/>
                <w:bCs/>
                <w:color w:val="000000"/>
                <w:sz w:val="24"/>
                <w:szCs w:val="24"/>
              </w:rPr>
            </w:pPr>
          </w:p>
        </w:tc>
        <w:tc>
          <w:tcPr>
            <w:tcW w:w="1733" w:type="pct"/>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ind w:firstLine="0" w:firstLineChars="0"/>
              <w:jc w:val="lef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爆炸下限（％）：</w:t>
            </w:r>
          </w:p>
        </w:tc>
        <w:tc>
          <w:tcPr>
            <w:tcW w:w="3027" w:type="pct"/>
            <w:gridSpan w:val="4"/>
            <w:tcBorders>
              <w:top w:val="single" w:color="auto" w:sz="4" w:space="0"/>
              <w:left w:val="single" w:color="auto" w:sz="4" w:space="0"/>
              <w:bottom w:val="single" w:color="auto" w:sz="4" w:space="0"/>
              <w:right w:val="single" w:color="auto" w:sz="4" w:space="0"/>
            </w:tcBorders>
            <w:noWrap w:val="0"/>
            <w:vAlign w:val="center"/>
          </w:tcPr>
          <w:p>
            <w:pPr>
              <w:spacing w:line="280" w:lineRule="exact"/>
              <w:ind w:firstLine="0" w:firstLineChars="0"/>
              <w:jc w:val="lef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稳定性：稳定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5" w:hRule="atLeast"/>
        </w:trPr>
        <w:tc>
          <w:tcPr>
            <w:tcW w:w="238"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auto"/>
              <w:ind w:firstLine="0" w:firstLineChars="0"/>
              <w:jc w:val="left"/>
              <w:rPr>
                <w:rFonts w:hint="eastAsia" w:asciiTheme="minorEastAsia" w:hAnsiTheme="minorEastAsia" w:eastAsiaTheme="minorEastAsia" w:cstheme="minorEastAsia"/>
                <w:b/>
                <w:bCs/>
                <w:color w:val="000000"/>
                <w:sz w:val="24"/>
                <w:szCs w:val="24"/>
              </w:rPr>
            </w:pPr>
          </w:p>
        </w:tc>
        <w:tc>
          <w:tcPr>
            <w:tcW w:w="1733" w:type="pct"/>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ind w:firstLine="0" w:firstLineChars="0"/>
              <w:jc w:val="lef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爆炸上限（％）：</w:t>
            </w:r>
          </w:p>
        </w:tc>
        <w:tc>
          <w:tcPr>
            <w:tcW w:w="3027" w:type="pct"/>
            <w:gridSpan w:val="4"/>
            <w:tcBorders>
              <w:top w:val="single" w:color="auto" w:sz="4" w:space="0"/>
              <w:left w:val="single" w:color="auto" w:sz="4" w:space="0"/>
              <w:bottom w:val="single" w:color="auto" w:sz="4" w:space="0"/>
              <w:right w:val="single" w:color="auto" w:sz="4" w:space="0"/>
            </w:tcBorders>
            <w:noWrap w:val="0"/>
            <w:vAlign w:val="center"/>
          </w:tcPr>
          <w:p>
            <w:pPr>
              <w:spacing w:line="280" w:lineRule="exact"/>
              <w:ind w:firstLine="0" w:firstLineChars="0"/>
              <w:jc w:val="lef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最大爆炸压力（MPa）：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40" w:hRule="atLeast"/>
        </w:trPr>
        <w:tc>
          <w:tcPr>
            <w:tcW w:w="238"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auto"/>
              <w:ind w:firstLine="0" w:firstLineChars="0"/>
              <w:jc w:val="left"/>
              <w:rPr>
                <w:rFonts w:hint="eastAsia" w:asciiTheme="minorEastAsia" w:hAnsiTheme="minorEastAsia" w:eastAsiaTheme="minorEastAsia" w:cstheme="minorEastAsia"/>
                <w:b/>
                <w:bCs/>
                <w:color w:val="000000"/>
                <w:sz w:val="24"/>
                <w:szCs w:val="24"/>
              </w:rPr>
            </w:pPr>
          </w:p>
        </w:tc>
        <w:tc>
          <w:tcPr>
            <w:tcW w:w="1733" w:type="pct"/>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ind w:firstLine="0" w:firstLineChars="0"/>
              <w:jc w:val="lef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引燃温度（℃）：</w:t>
            </w:r>
          </w:p>
        </w:tc>
        <w:tc>
          <w:tcPr>
            <w:tcW w:w="3027" w:type="pct"/>
            <w:gridSpan w:val="4"/>
            <w:tcBorders>
              <w:top w:val="single" w:color="auto" w:sz="4" w:space="0"/>
              <w:left w:val="single" w:color="auto" w:sz="4" w:space="0"/>
              <w:bottom w:val="single" w:color="auto" w:sz="4" w:space="0"/>
              <w:right w:val="single" w:color="auto" w:sz="4" w:space="0"/>
            </w:tcBorders>
            <w:noWrap w:val="0"/>
            <w:vAlign w:val="center"/>
          </w:tcPr>
          <w:p>
            <w:pPr>
              <w:spacing w:line="280" w:lineRule="exact"/>
              <w:ind w:firstLine="0" w:firstLineChars="0"/>
              <w:jc w:val="lef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禁忌物： 氧化剂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7" w:hRule="atLeast"/>
        </w:trPr>
        <w:tc>
          <w:tcPr>
            <w:tcW w:w="238"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auto"/>
              <w:ind w:firstLine="0" w:firstLineChars="0"/>
              <w:jc w:val="left"/>
              <w:rPr>
                <w:rFonts w:hint="eastAsia" w:asciiTheme="minorEastAsia" w:hAnsiTheme="minorEastAsia" w:eastAsiaTheme="minorEastAsia" w:cstheme="minorEastAsia"/>
                <w:b/>
                <w:bCs/>
                <w:color w:val="000000"/>
                <w:sz w:val="24"/>
                <w:szCs w:val="24"/>
              </w:rPr>
            </w:pPr>
          </w:p>
        </w:tc>
        <w:tc>
          <w:tcPr>
            <w:tcW w:w="4761" w:type="pct"/>
            <w:gridSpan w:val="6"/>
            <w:tcBorders>
              <w:top w:val="single" w:color="auto" w:sz="4" w:space="0"/>
              <w:left w:val="single" w:color="auto" w:sz="4" w:space="0"/>
              <w:bottom w:val="single" w:color="auto" w:sz="4" w:space="0"/>
              <w:right w:val="single" w:color="auto" w:sz="4" w:space="0"/>
            </w:tcBorders>
            <w:noWrap w:val="0"/>
            <w:vAlign w:val="center"/>
          </w:tcPr>
          <w:p>
            <w:pPr>
              <w:spacing w:line="280" w:lineRule="exact"/>
              <w:ind w:firstLine="0" w:firstLineChars="0"/>
              <w:jc w:val="lef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危险特性：蒸气能与空气形成爆炸性混合物，遇明火、高热、氧化剂极易燃烧。燃烧时放出有害气体。流速过快，容易产生和积聚静电。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 w:hRule="atLeast"/>
        </w:trPr>
        <w:tc>
          <w:tcPr>
            <w:tcW w:w="238"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auto"/>
              <w:ind w:firstLine="0" w:firstLineChars="0"/>
              <w:jc w:val="left"/>
              <w:rPr>
                <w:rFonts w:hint="eastAsia" w:asciiTheme="minorEastAsia" w:hAnsiTheme="minorEastAsia" w:eastAsiaTheme="minorEastAsia" w:cstheme="minorEastAsia"/>
                <w:b/>
                <w:bCs/>
                <w:color w:val="000000"/>
                <w:sz w:val="24"/>
                <w:szCs w:val="24"/>
              </w:rPr>
            </w:pPr>
          </w:p>
        </w:tc>
        <w:tc>
          <w:tcPr>
            <w:tcW w:w="4761" w:type="pct"/>
            <w:gridSpan w:val="6"/>
            <w:tcBorders>
              <w:top w:val="single" w:color="auto" w:sz="4" w:space="0"/>
              <w:left w:val="single" w:color="auto" w:sz="4" w:space="0"/>
              <w:bottom w:val="single" w:color="auto" w:sz="4" w:space="0"/>
              <w:right w:val="single" w:color="auto" w:sz="4" w:space="0"/>
            </w:tcBorders>
            <w:noWrap w:val="0"/>
            <w:vAlign w:val="center"/>
          </w:tcPr>
          <w:p>
            <w:pPr>
              <w:spacing w:line="280" w:lineRule="exact"/>
              <w:ind w:firstLine="0" w:firstLineChars="0"/>
              <w:jc w:val="lef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灭火方法：用泡沫、干粉、二氧化碳、砂土、1211灭火。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8" w:type="pct"/>
            <w:tcBorders>
              <w:top w:val="single" w:color="auto" w:sz="4" w:space="0"/>
              <w:left w:val="single" w:color="auto" w:sz="4" w:space="0"/>
              <w:bottom w:val="single" w:color="auto" w:sz="4" w:space="0"/>
              <w:right w:val="single" w:color="auto" w:sz="4" w:space="0"/>
            </w:tcBorders>
            <w:noWrap w:val="0"/>
            <w:vAlign w:val="center"/>
          </w:tcPr>
          <w:p>
            <w:pPr>
              <w:spacing w:line="240" w:lineRule="exact"/>
              <w:ind w:firstLine="0" w:firstLineChars="0"/>
              <w:jc w:val="left"/>
              <w:rPr>
                <w:rFonts w:hint="eastAsia" w:asciiTheme="minorEastAsia" w:hAnsiTheme="minorEastAsia" w:eastAsiaTheme="minorEastAsia" w:cstheme="minorEastAsia"/>
                <w:b/>
                <w:bCs/>
                <w:color w:val="000000"/>
                <w:sz w:val="24"/>
                <w:szCs w:val="24"/>
              </w:rPr>
            </w:pPr>
            <w:r>
              <w:rPr>
                <w:rFonts w:hint="eastAsia" w:asciiTheme="minorEastAsia" w:hAnsiTheme="minorEastAsia" w:eastAsiaTheme="minorEastAsia" w:cstheme="minorEastAsia"/>
                <w:b/>
                <w:bCs/>
                <w:color w:val="000000"/>
                <w:sz w:val="24"/>
                <w:szCs w:val="24"/>
              </w:rPr>
              <w:t>毒性</w:t>
            </w:r>
          </w:p>
        </w:tc>
        <w:tc>
          <w:tcPr>
            <w:tcW w:w="4761" w:type="pct"/>
            <w:gridSpan w:val="6"/>
            <w:tcBorders>
              <w:top w:val="single" w:color="auto" w:sz="4" w:space="0"/>
              <w:left w:val="single" w:color="auto" w:sz="4" w:space="0"/>
              <w:bottom w:val="single" w:color="auto" w:sz="4" w:space="0"/>
              <w:right w:val="single" w:color="auto" w:sz="4" w:space="0"/>
            </w:tcBorders>
            <w:noWrap w:val="0"/>
            <w:vAlign w:val="center"/>
          </w:tcPr>
          <w:p>
            <w:pPr>
              <w:spacing w:line="280" w:lineRule="exact"/>
              <w:ind w:firstLine="0" w:firstLineChars="0"/>
              <w:jc w:val="left"/>
              <w:rPr>
                <w:rFonts w:hint="eastAsia" w:asciiTheme="minorEastAsia" w:hAnsiTheme="minorEastAsia" w:eastAsiaTheme="minorEastAsia" w:cstheme="minorEastAsia"/>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atLeast"/>
        </w:trPr>
        <w:tc>
          <w:tcPr>
            <w:tcW w:w="238" w:type="pct"/>
            <w:tcBorders>
              <w:top w:val="single" w:color="auto" w:sz="4" w:space="0"/>
              <w:left w:val="single" w:color="auto" w:sz="4" w:space="0"/>
              <w:bottom w:val="single" w:color="auto" w:sz="4" w:space="0"/>
              <w:right w:val="single" w:color="auto" w:sz="4" w:space="0"/>
            </w:tcBorders>
            <w:noWrap w:val="0"/>
            <w:vAlign w:val="center"/>
          </w:tcPr>
          <w:p>
            <w:pPr>
              <w:spacing w:line="240" w:lineRule="exact"/>
              <w:ind w:firstLine="0" w:firstLineChars="0"/>
              <w:jc w:val="left"/>
              <w:rPr>
                <w:rFonts w:hint="eastAsia" w:asciiTheme="minorEastAsia" w:hAnsiTheme="minorEastAsia" w:eastAsiaTheme="minorEastAsia" w:cstheme="minorEastAsia"/>
                <w:b/>
                <w:bCs/>
                <w:color w:val="000000"/>
                <w:sz w:val="24"/>
                <w:szCs w:val="24"/>
              </w:rPr>
            </w:pPr>
            <w:r>
              <w:rPr>
                <w:rFonts w:hint="eastAsia" w:asciiTheme="minorEastAsia" w:hAnsiTheme="minorEastAsia" w:eastAsiaTheme="minorEastAsia" w:cstheme="minorEastAsia"/>
                <w:b/>
                <w:bCs/>
                <w:color w:val="000000"/>
                <w:sz w:val="24"/>
                <w:szCs w:val="24"/>
              </w:rPr>
              <w:t>对人体危害</w:t>
            </w:r>
          </w:p>
        </w:tc>
        <w:tc>
          <w:tcPr>
            <w:tcW w:w="4761" w:type="pct"/>
            <w:gridSpan w:val="6"/>
            <w:tcBorders>
              <w:top w:val="single" w:color="auto" w:sz="4" w:space="0"/>
              <w:left w:val="single" w:color="auto" w:sz="4" w:space="0"/>
              <w:bottom w:val="single" w:color="auto" w:sz="4" w:space="0"/>
              <w:right w:val="single" w:color="auto" w:sz="4" w:space="0"/>
            </w:tcBorders>
            <w:noWrap w:val="0"/>
            <w:vAlign w:val="center"/>
          </w:tcPr>
          <w:p>
            <w:pPr>
              <w:spacing w:line="280" w:lineRule="exact"/>
              <w:ind w:firstLine="0" w:firstLineChars="0"/>
              <w:jc w:val="lef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吸入、食入、经皮肤吸收。</w:t>
            </w:r>
          </w:p>
          <w:p>
            <w:pPr>
              <w:spacing w:line="280" w:lineRule="exact"/>
              <w:ind w:firstLine="0" w:firstLineChars="0"/>
              <w:jc w:val="lef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蒸气能刺激眼睛和粘膜。吸入产生眩晕、头痛、兴奋等症状。吸入高浓度蒸气能造成急性中毒。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4" w:hRule="atLeast"/>
        </w:trPr>
        <w:tc>
          <w:tcPr>
            <w:tcW w:w="238" w:type="pct"/>
            <w:tcBorders>
              <w:top w:val="single" w:color="auto" w:sz="4" w:space="0"/>
              <w:left w:val="single" w:color="auto" w:sz="4" w:space="0"/>
              <w:bottom w:val="single" w:color="auto" w:sz="4" w:space="0"/>
              <w:right w:val="single" w:color="auto" w:sz="4" w:space="0"/>
            </w:tcBorders>
            <w:noWrap w:val="0"/>
            <w:vAlign w:val="center"/>
          </w:tcPr>
          <w:p>
            <w:pPr>
              <w:spacing w:line="280" w:lineRule="exact"/>
              <w:ind w:firstLine="0" w:firstLineChars="0"/>
              <w:jc w:val="left"/>
              <w:rPr>
                <w:rFonts w:hint="eastAsia" w:asciiTheme="minorEastAsia" w:hAnsiTheme="minorEastAsia" w:eastAsiaTheme="minorEastAsia" w:cstheme="minorEastAsia"/>
                <w:b/>
                <w:bCs/>
                <w:color w:val="000000"/>
                <w:sz w:val="24"/>
                <w:szCs w:val="24"/>
              </w:rPr>
            </w:pPr>
            <w:r>
              <w:rPr>
                <w:rFonts w:hint="eastAsia" w:asciiTheme="minorEastAsia" w:hAnsiTheme="minorEastAsia" w:eastAsiaTheme="minorEastAsia" w:cstheme="minorEastAsia"/>
                <w:b/>
                <w:bCs/>
                <w:color w:val="000000"/>
                <w:sz w:val="24"/>
                <w:szCs w:val="24"/>
              </w:rPr>
              <w:t>组成部分</w:t>
            </w:r>
          </w:p>
        </w:tc>
        <w:tc>
          <w:tcPr>
            <w:tcW w:w="4761" w:type="pct"/>
            <w:gridSpan w:val="6"/>
            <w:tcBorders>
              <w:top w:val="single" w:color="auto" w:sz="4" w:space="0"/>
              <w:left w:val="single" w:color="auto" w:sz="4" w:space="0"/>
              <w:bottom w:val="single" w:color="auto" w:sz="4" w:space="0"/>
              <w:right w:val="single" w:color="auto" w:sz="4" w:space="0"/>
            </w:tcBorders>
            <w:noWrap w:val="0"/>
            <w:vAlign w:val="center"/>
          </w:tcPr>
          <w:p>
            <w:pPr>
              <w:spacing w:line="280" w:lineRule="exact"/>
              <w:ind w:firstLine="0" w:firstLineChars="0"/>
              <w:jc w:val="lef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主要成分                             CAS RN                            含量%</w:t>
            </w:r>
          </w:p>
          <w:p>
            <w:pPr>
              <w:spacing w:line="280" w:lineRule="exact"/>
              <w:ind w:firstLine="0" w:firstLineChars="0"/>
              <w:jc w:val="lef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石粉                                  ------                              10~15</w:t>
            </w:r>
          </w:p>
          <w:p>
            <w:pPr>
              <w:spacing w:line="280" w:lineRule="exact"/>
              <w:ind w:firstLine="0" w:firstLineChars="0"/>
              <w:jc w:val="lef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铁红                                  ------                              10~20</w:t>
            </w:r>
          </w:p>
          <w:p>
            <w:pPr>
              <w:spacing w:line="280" w:lineRule="exact"/>
              <w:ind w:firstLine="0" w:firstLineChars="0"/>
              <w:jc w:val="lef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（松香水）200号容积油                8006-61-9                           5~10</w:t>
            </w:r>
          </w:p>
          <w:p>
            <w:pPr>
              <w:spacing w:line="280" w:lineRule="exact"/>
              <w:ind w:firstLine="0" w:firstLineChars="0"/>
              <w:jc w:val="lef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碳酸钙                                ------                               20~30</w:t>
            </w:r>
          </w:p>
          <w:p>
            <w:pPr>
              <w:spacing w:line="280" w:lineRule="exact"/>
              <w:ind w:firstLine="0" w:firstLineChars="0"/>
              <w:jc w:val="left"/>
              <w:rPr>
                <w:rFonts w:hint="eastAsia" w:asciiTheme="minorEastAsia" w:hAnsiTheme="minorEastAsia" w:eastAsiaTheme="minorEastAsia" w:cstheme="minorEastAsia"/>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atLeast"/>
        </w:trPr>
        <w:tc>
          <w:tcPr>
            <w:tcW w:w="238" w:type="pct"/>
            <w:tcBorders>
              <w:top w:val="single" w:color="auto" w:sz="4" w:space="0"/>
              <w:left w:val="single" w:color="auto" w:sz="4" w:space="0"/>
              <w:bottom w:val="single" w:color="auto" w:sz="4" w:space="0"/>
              <w:right w:val="single" w:color="auto" w:sz="4" w:space="0"/>
            </w:tcBorders>
            <w:noWrap w:val="0"/>
            <w:vAlign w:val="center"/>
          </w:tcPr>
          <w:p>
            <w:pPr>
              <w:spacing w:line="280" w:lineRule="exact"/>
              <w:ind w:firstLine="0" w:firstLineChars="0"/>
              <w:jc w:val="left"/>
              <w:rPr>
                <w:rFonts w:hint="eastAsia" w:asciiTheme="minorEastAsia" w:hAnsiTheme="minorEastAsia" w:eastAsiaTheme="minorEastAsia" w:cstheme="minorEastAsia"/>
                <w:b/>
                <w:bCs/>
                <w:color w:val="000000"/>
                <w:sz w:val="24"/>
                <w:szCs w:val="24"/>
              </w:rPr>
            </w:pPr>
            <w:r>
              <w:rPr>
                <w:rFonts w:hint="eastAsia" w:asciiTheme="minorEastAsia" w:hAnsiTheme="minorEastAsia" w:eastAsiaTheme="minorEastAsia" w:cstheme="minorEastAsia"/>
                <w:b/>
                <w:bCs/>
                <w:color w:val="000000"/>
                <w:sz w:val="24"/>
                <w:szCs w:val="24"/>
              </w:rPr>
              <w:t>急救</w:t>
            </w:r>
          </w:p>
        </w:tc>
        <w:tc>
          <w:tcPr>
            <w:tcW w:w="4761" w:type="pct"/>
            <w:gridSpan w:val="6"/>
            <w:tcBorders>
              <w:top w:val="single" w:color="auto" w:sz="4" w:space="0"/>
              <w:left w:val="single" w:color="auto" w:sz="4" w:space="0"/>
              <w:bottom w:val="single" w:color="auto" w:sz="4" w:space="0"/>
              <w:right w:val="single" w:color="auto" w:sz="4" w:space="0"/>
            </w:tcBorders>
            <w:noWrap w:val="0"/>
            <w:vAlign w:val="center"/>
          </w:tcPr>
          <w:p>
            <w:pPr>
              <w:spacing w:line="280" w:lineRule="exact"/>
              <w:ind w:firstLine="0" w:firstLineChars="0"/>
              <w:jc w:val="lef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皮肤接触：脱去污染的衣着，用肥皂水和清水彻底冲洗皮肤。</w:t>
            </w:r>
          </w:p>
          <w:p>
            <w:pPr>
              <w:spacing w:line="280" w:lineRule="exact"/>
              <w:ind w:firstLine="0" w:firstLineChars="0"/>
              <w:jc w:val="lef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眼睛接触：提起眼睑，用大量清水冲洗。</w:t>
            </w:r>
          </w:p>
          <w:p>
            <w:pPr>
              <w:spacing w:line="280" w:lineRule="exact"/>
              <w:ind w:firstLine="0" w:firstLineChars="0"/>
              <w:jc w:val="lef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吸入：迅速脱离现场至空气新鲜处，保持呼吸道通畅。如呼吸困难，给输氧。必要时进行人工呼吸。如呼吸停止，立即进行人工呼吸。就医。</w:t>
            </w:r>
          </w:p>
          <w:p>
            <w:pPr>
              <w:spacing w:line="280" w:lineRule="exact"/>
              <w:ind w:firstLine="0" w:firstLineChars="0"/>
              <w:jc w:val="lef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食入：误服者立即漱口、洗胃。就医。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3" w:hRule="atLeast"/>
        </w:trPr>
        <w:tc>
          <w:tcPr>
            <w:tcW w:w="238" w:type="pct"/>
            <w:tcBorders>
              <w:top w:val="single" w:color="auto" w:sz="4" w:space="0"/>
              <w:left w:val="single" w:color="auto" w:sz="4" w:space="0"/>
              <w:bottom w:val="single" w:color="auto" w:sz="4" w:space="0"/>
              <w:right w:val="single" w:color="auto" w:sz="4" w:space="0"/>
            </w:tcBorders>
            <w:noWrap w:val="0"/>
            <w:vAlign w:val="center"/>
          </w:tcPr>
          <w:p>
            <w:pPr>
              <w:spacing w:line="280" w:lineRule="exact"/>
              <w:ind w:firstLine="0" w:firstLineChars="0"/>
              <w:jc w:val="left"/>
              <w:rPr>
                <w:rFonts w:hint="eastAsia" w:asciiTheme="minorEastAsia" w:hAnsiTheme="minorEastAsia" w:eastAsiaTheme="minorEastAsia" w:cstheme="minorEastAsia"/>
                <w:b/>
                <w:bCs/>
                <w:color w:val="000000"/>
                <w:sz w:val="24"/>
                <w:szCs w:val="24"/>
              </w:rPr>
            </w:pPr>
            <w:r>
              <w:rPr>
                <w:rFonts w:hint="eastAsia" w:asciiTheme="minorEastAsia" w:hAnsiTheme="minorEastAsia" w:eastAsiaTheme="minorEastAsia" w:cstheme="minorEastAsia"/>
                <w:b/>
                <w:bCs/>
                <w:color w:val="000000"/>
                <w:sz w:val="24"/>
                <w:szCs w:val="24"/>
              </w:rPr>
              <w:t>防护</w:t>
            </w:r>
          </w:p>
        </w:tc>
        <w:tc>
          <w:tcPr>
            <w:tcW w:w="4761" w:type="pct"/>
            <w:gridSpan w:val="6"/>
            <w:tcBorders>
              <w:top w:val="single" w:color="auto" w:sz="4" w:space="0"/>
              <w:left w:val="single" w:color="auto" w:sz="4" w:space="0"/>
              <w:bottom w:val="single" w:color="auto" w:sz="4" w:space="0"/>
              <w:right w:val="single" w:color="auto" w:sz="4" w:space="0"/>
            </w:tcBorders>
            <w:noWrap w:val="0"/>
            <w:vAlign w:val="center"/>
          </w:tcPr>
          <w:p>
            <w:pPr>
              <w:spacing w:line="280" w:lineRule="exact"/>
              <w:ind w:firstLine="0" w:firstLineChars="0"/>
              <w:jc w:val="left"/>
              <w:rPr>
                <w:rFonts w:hint="eastAsia" w:asciiTheme="minorEastAsia" w:hAnsiTheme="minorEastAsia" w:eastAsiaTheme="minorEastAsia" w:cstheme="minorEastAsia"/>
                <w:color w:val="000000"/>
                <w:spacing w:val="-4"/>
                <w:sz w:val="24"/>
                <w:szCs w:val="24"/>
              </w:rPr>
            </w:pPr>
            <w:r>
              <w:rPr>
                <w:rFonts w:hint="eastAsia" w:asciiTheme="minorEastAsia" w:hAnsiTheme="minorEastAsia" w:eastAsiaTheme="minorEastAsia" w:cstheme="minorEastAsia"/>
                <w:color w:val="000000"/>
                <w:spacing w:val="-4"/>
                <w:sz w:val="24"/>
                <w:szCs w:val="24"/>
              </w:rPr>
              <w:t>工程防护：加强通风。</w:t>
            </w:r>
          </w:p>
          <w:p>
            <w:pPr>
              <w:spacing w:line="280" w:lineRule="exact"/>
              <w:ind w:firstLine="0" w:firstLineChars="0"/>
              <w:jc w:val="lef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呼吸系统防护：戴防毒口罩，空气中浓度超标时，建议佩戴过滤式防毒面具（半面罩）。紧急事态抢救或撤离时，应该戴自给正压式呼吸器。</w:t>
            </w:r>
          </w:p>
          <w:p>
            <w:pPr>
              <w:spacing w:line="280" w:lineRule="exact"/>
              <w:ind w:firstLine="0" w:firstLineChars="0"/>
              <w:jc w:val="lef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眼睛防护：戴化学安全</w:t>
            </w:r>
            <w:r>
              <w:rPr>
                <w:rFonts w:hint="eastAsia" w:asciiTheme="minorEastAsia" w:hAnsiTheme="minorEastAsia" w:eastAsiaTheme="minorEastAsia" w:cstheme="minorEastAsia"/>
                <w:color w:val="000000"/>
                <w:sz w:val="24"/>
                <w:szCs w:val="24"/>
                <w:lang w:eastAsia="zh-CN"/>
              </w:rPr>
              <w:t>防护眼镜</w:t>
            </w:r>
            <w:r>
              <w:rPr>
                <w:rFonts w:hint="eastAsia" w:asciiTheme="minorEastAsia" w:hAnsiTheme="minorEastAsia" w:eastAsiaTheme="minorEastAsia" w:cstheme="minorEastAsia"/>
                <w:color w:val="000000"/>
                <w:sz w:val="24"/>
                <w:szCs w:val="24"/>
              </w:rPr>
              <w:t>。</w:t>
            </w:r>
          </w:p>
          <w:p>
            <w:pPr>
              <w:spacing w:line="280" w:lineRule="exact"/>
              <w:ind w:firstLine="0" w:firstLineChars="0"/>
              <w:jc w:val="lef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身体防护：穿防静电工作服和防砸耐油工作鞋。</w:t>
            </w:r>
          </w:p>
          <w:p>
            <w:pPr>
              <w:spacing w:line="280" w:lineRule="exact"/>
              <w:ind w:firstLine="0" w:firstLineChars="0"/>
              <w:jc w:val="lef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手防护：戴防化学品手套或皮肤保护膜。</w:t>
            </w:r>
          </w:p>
          <w:p>
            <w:pPr>
              <w:spacing w:line="280" w:lineRule="exact"/>
              <w:ind w:firstLine="0" w:firstLineChars="0"/>
              <w:jc w:val="lef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其它：工作现场禁止吸烟、进食和饮水。工作前避免饮用酒精性饮料。工作毕，淋浴更衣。进行就业前和定期的体检。</w:t>
            </w:r>
          </w:p>
        </w:tc>
      </w:tr>
    </w:tbl>
    <w:p>
      <w:pPr>
        <w:pStyle w:val="5"/>
        <w:spacing w:before="156" w:after="156"/>
      </w:pPr>
      <w:bookmarkStart w:id="194" w:name="_Toc28383"/>
      <w:r>
        <w:rPr>
          <w:rFonts w:hint="eastAsia"/>
        </w:rPr>
        <w:t>总平面布置危险性分析</w:t>
      </w:r>
      <w:bookmarkEnd w:id="177"/>
      <w:bookmarkEnd w:id="178"/>
      <w:bookmarkEnd w:id="194"/>
    </w:p>
    <w:p>
      <w:pPr>
        <w:ind w:firstLine="560"/>
      </w:pPr>
      <w:r>
        <w:rPr>
          <w:rFonts w:hint="eastAsia"/>
        </w:rPr>
        <w:t>项目建设在云南省楚雄州大姚县金碧镇工业园区南山坝工业片区，总平面布置造成的有：火灾、物体打击、机械伤害、车辆伤害、触电等危险因素和粉尘危害因素。引发事故的原因主要有：</w:t>
      </w:r>
    </w:p>
    <w:p>
      <w:pPr>
        <w:ind w:firstLine="560"/>
      </w:pPr>
      <w:r>
        <w:rPr>
          <w:rFonts w:hint="eastAsia"/>
        </w:rPr>
        <w:t>（1）项目与建构筑物最小防火间距为12.0m，满足《建筑设计防火规范（2018年版）》（GB50016-2014）和《工业企业总平面设计规范》（GB50187-2012）的要求。但在作业过程中进行动火作业或动火作业周围存在易燃、可燃物质而引发火灾。</w:t>
      </w:r>
    </w:p>
    <w:p>
      <w:pPr>
        <w:ind w:firstLine="560"/>
      </w:pPr>
      <w:r>
        <w:rPr>
          <w:rFonts w:hint="eastAsia"/>
        </w:rPr>
        <w:t>（2）项目在运行过程中的机具、材料堆放等导致厂区道路不顺畅或路面宽度不够，如果运输车辆制动、方向、音响、灯光等出现故障或道路转弯半径不足，无交通安全警示标志、标识等可能发生车辆伤害事故。</w:t>
      </w:r>
    </w:p>
    <w:p>
      <w:pPr>
        <w:ind w:firstLine="560"/>
      </w:pPr>
      <w:r>
        <w:rPr>
          <w:rFonts w:hint="eastAsia"/>
        </w:rPr>
        <w:t>（3）项目消防通道、安全出口等堵塞，可能使得事故发生后，人员逃生不畅通，使事故的后果扩大化。</w:t>
      </w:r>
    </w:p>
    <w:p>
      <w:pPr>
        <w:ind w:firstLine="560"/>
      </w:pPr>
      <w:r>
        <w:rPr>
          <w:rFonts w:hint="eastAsia"/>
        </w:rPr>
        <w:t>（4）项目供用电线路不按规范敷设，线路凌乱等原因导致触电事故。</w:t>
      </w:r>
    </w:p>
    <w:p>
      <w:pPr>
        <w:ind w:firstLine="560"/>
      </w:pPr>
      <w:r>
        <w:rPr>
          <w:rFonts w:hint="eastAsia"/>
        </w:rPr>
        <w:t>（5）项目机械布局不合理，相互间安全间距不足等导致机械伤害事故发生。</w:t>
      </w:r>
    </w:p>
    <w:p>
      <w:pPr>
        <w:ind w:firstLine="560"/>
      </w:pPr>
      <w:r>
        <w:rPr>
          <w:rFonts w:hint="eastAsia"/>
        </w:rPr>
        <w:t>（6）项目建设过程中，若坑、孔及走台、平台无防护围栏或盖板，直梯、斜梯设计、制作不符合有关规定要求或临边作业无安全防护措施等，都可引发碰、磕、摔伤和高处坠落事故。</w:t>
      </w:r>
    </w:p>
    <w:p>
      <w:pPr>
        <w:pStyle w:val="5"/>
        <w:spacing w:before="156" w:after="156"/>
      </w:pPr>
      <w:bookmarkStart w:id="195" w:name="_Toc76119864"/>
      <w:bookmarkStart w:id="196" w:name="_Toc29720"/>
      <w:bookmarkStart w:id="197" w:name="_Toc76119890"/>
      <w:r>
        <w:rPr>
          <w:rFonts w:hint="eastAsia"/>
        </w:rPr>
        <w:t>周边环境危险有害因素分析</w:t>
      </w:r>
      <w:bookmarkEnd w:id="195"/>
      <w:bookmarkEnd w:id="196"/>
    </w:p>
    <w:p>
      <w:pPr>
        <w:ind w:firstLine="560"/>
      </w:pPr>
      <w:bookmarkStart w:id="198" w:name="_Hlk8399883"/>
      <w:r>
        <w:rPr>
          <w:rFonts w:hint="eastAsia"/>
        </w:rPr>
        <w:t>项目位于</w:t>
      </w:r>
      <w:bookmarkStart w:id="199" w:name="_Hlk8400168"/>
      <w:r>
        <w:rPr>
          <w:rFonts w:hint="eastAsia"/>
        </w:rPr>
        <w:t>云南省楚雄州大姚县金碧镇工业园区南山坝工业片区。</w:t>
      </w:r>
      <w:bookmarkEnd w:id="198"/>
      <w:bookmarkEnd w:id="199"/>
      <w:r>
        <w:rPr>
          <w:rFonts w:hint="eastAsia"/>
        </w:rPr>
        <w:t>项目区西北面320米处为大姚县南山坝35kV变电站，东面70米处为大姚县内引燃料有限责任公司，西南面60米为楚姚高速公路指挥部。项目距离周边村庄较远，无其他重要建（构）筑物，厂区外围主要是其他厂房及道路，项目内各建构筑物与厂外有一定安全防护距离，周边对该项目的影响较小。</w:t>
      </w:r>
    </w:p>
    <w:p>
      <w:pPr>
        <w:ind w:firstLine="560"/>
      </w:pPr>
      <w:r>
        <w:rPr>
          <w:rFonts w:hint="eastAsia" w:ascii="宋体" w:hAnsi="宋体" w:cs="宋体"/>
          <w:szCs w:val="28"/>
        </w:rPr>
        <w:t>本项目周边无</w:t>
      </w:r>
      <w:r>
        <w:rPr>
          <w:rFonts w:hint="eastAsia" w:ascii="宋体" w:hAnsi="宋体" w:cs="宋体"/>
        </w:rPr>
        <w:t>《危险化学品安全管理条例》（国务院令第541号（2013年645号修正））</w:t>
      </w:r>
      <w:r>
        <w:rPr>
          <w:rFonts w:hint="eastAsia" w:ascii="宋体" w:hAnsi="宋体" w:cs="宋体"/>
          <w:szCs w:val="28"/>
        </w:rPr>
        <w:t>第十条规定的民用居住区、</w:t>
      </w:r>
      <w:r>
        <w:rPr>
          <w:rFonts w:hint="eastAsia" w:ascii="宋体" w:hAnsi="宋体" w:cs="宋体"/>
          <w:szCs w:val="28"/>
          <w:lang w:eastAsia="zh-CN"/>
        </w:rPr>
        <w:t>商业</w:t>
      </w:r>
      <w:r>
        <w:rPr>
          <w:rFonts w:hint="eastAsia" w:ascii="宋体" w:hAnsi="宋体" w:cs="宋体"/>
          <w:szCs w:val="28"/>
        </w:rPr>
        <w:t>区、重要公共建筑等，也无珍稀保护物种和名胜古迹等。项目选址周围无自然保护区、水源保护区、爆炸危险区、采矿陷落区、泥石流、滑坡、流沙、溶洞等直接危害区。</w:t>
      </w:r>
    </w:p>
    <w:p>
      <w:pPr>
        <w:pStyle w:val="6"/>
        <w:spacing w:before="156" w:after="156"/>
      </w:pPr>
      <w:bookmarkStart w:id="200" w:name="_Toc76119865"/>
      <w:bookmarkStart w:id="201" w:name="_Toc16560"/>
      <w:r>
        <w:rPr>
          <w:rFonts w:hint="eastAsia"/>
        </w:rPr>
        <w:t>雷电</w:t>
      </w:r>
      <w:bookmarkEnd w:id="200"/>
      <w:bookmarkEnd w:id="201"/>
    </w:p>
    <w:p>
      <w:pPr>
        <w:ind w:firstLine="560"/>
      </w:pPr>
      <w:r>
        <w:rPr>
          <w:rFonts w:hint="eastAsia"/>
        </w:rPr>
        <w:t>若厂区未设置有效的避雷装置，避雷装置安装设计不合理，或检测维修不及时，在雷雨季节，厂房、设备等均有遭受雷击的可能。雷雨天气进行生产也易遭受雷电危害。</w:t>
      </w:r>
    </w:p>
    <w:p>
      <w:pPr>
        <w:ind w:firstLine="560"/>
      </w:pPr>
      <w:r>
        <w:rPr>
          <w:rFonts w:hint="eastAsia"/>
        </w:rPr>
        <w:t>当可燃物被雷击产生的雷电火花引燃可发生火灾、爆炸等严重事故。当建筑物被直击雷击中时，强大的冲击电压和雷电流会毁坏各种电气设备；强烈的机械振动会造成建筑物和设备、设施损坏；热效应会引起火灾或爆炸，雷电感应、球形雷和雷电侵入波都可能导致电气设备损坏，可导致大规模停电事故，</w:t>
      </w:r>
      <w:r>
        <w:rPr>
          <w:rFonts w:hint="eastAsia"/>
          <w:lang w:eastAsia="zh-CN"/>
        </w:rPr>
        <w:t>并可</w:t>
      </w:r>
      <w:r>
        <w:rPr>
          <w:rFonts w:hint="eastAsia"/>
        </w:rPr>
        <w:t>能造成生产环节的二次事故。雷击危害可导致火灾、爆炸、设备损坏、人员触电伤亡，甚至重大事故的发生。</w:t>
      </w:r>
    </w:p>
    <w:p>
      <w:pPr>
        <w:ind w:firstLine="560"/>
      </w:pPr>
      <w:r>
        <w:rPr>
          <w:rFonts w:hint="eastAsia"/>
        </w:rPr>
        <w:t>厂区各建构筑物均有可能遭受雷击而引起火灾、爆炸、设备损坏等伤害事故。根据《建筑物防雷设计规范》（GB50057-2010）要求，厂区内的各建筑物设计采用避雷带（网）保护，以防止直击雷。</w:t>
      </w:r>
    </w:p>
    <w:p>
      <w:pPr>
        <w:ind w:firstLine="560"/>
      </w:pPr>
      <w:r>
        <w:rPr>
          <w:rFonts w:hint="eastAsia"/>
        </w:rPr>
        <w:t>本项目有关的生产及公用工程装置中设备、建筑物有相当的高度，容易遭受雷电袭击。此外，配电房也有雷击危害的可能。雷击危害可能导致火灾、爆炸、设备损坏、人员触电伤害事故。</w:t>
      </w:r>
    </w:p>
    <w:p>
      <w:pPr>
        <w:ind w:firstLine="560"/>
      </w:pPr>
      <w:r>
        <w:rPr>
          <w:rFonts w:hint="eastAsia"/>
        </w:rPr>
        <w:t>跨步电压常出现在电气设备故障接地点附近和输配电线路断线落地处。此外，雷击时避雷针接地极附近也存在着跨步电压。通常，这些故障点20米范围内都存在跨步电压触电的危险。</w:t>
      </w:r>
    </w:p>
    <w:p>
      <w:pPr>
        <w:ind w:firstLine="560"/>
      </w:pPr>
      <w:r>
        <w:rPr>
          <w:rFonts w:hint="eastAsia"/>
        </w:rPr>
        <w:t>出现跨步电压触电伤亡事故的主要原因是：在上述故障点附近活动的人员未掌握离开危险区域的正确方法。因此，为预防跨步电压触电，必须注意以下几点：</w:t>
      </w:r>
    </w:p>
    <w:p>
      <w:pPr>
        <w:numPr>
          <w:ilvl w:val="0"/>
          <w:numId w:val="46"/>
        </w:numPr>
        <w:ind w:left="0" w:firstLine="560"/>
      </w:pPr>
      <w:r>
        <w:rPr>
          <w:rFonts w:hint="eastAsia"/>
        </w:rPr>
        <w:t>不得随意接近故障地点、导线断落接地点或在雷雨天靠近避雷针接地极埋设地点。</w:t>
      </w:r>
    </w:p>
    <w:p>
      <w:pPr>
        <w:numPr>
          <w:ilvl w:val="0"/>
          <w:numId w:val="46"/>
        </w:numPr>
        <w:ind w:left="0" w:firstLine="560"/>
      </w:pPr>
      <w:r>
        <w:rPr>
          <w:rFonts w:hint="eastAsia"/>
        </w:rPr>
        <w:t>必须进入或接近上述地点时，应穿绝缘靴，并采取其他防护措施。</w:t>
      </w:r>
    </w:p>
    <w:p>
      <w:pPr>
        <w:numPr>
          <w:ilvl w:val="0"/>
          <w:numId w:val="46"/>
        </w:numPr>
        <w:ind w:left="0" w:firstLine="560"/>
        <w:rPr>
          <w:rFonts w:ascii="宋体" w:hAnsi="宋体" w:cs="宋体"/>
          <w:kern w:val="0"/>
        </w:rPr>
      </w:pPr>
      <w:r>
        <w:rPr>
          <w:rFonts w:hint="eastAsia"/>
        </w:rPr>
        <w:t>当误入上述区域时，应单脚着地朝故障点反方向跳出危险区或站在原地不动，等待救援，切不可迈步走近故障点，以防跨步电压伤害。</w:t>
      </w:r>
    </w:p>
    <w:p>
      <w:pPr>
        <w:pStyle w:val="6"/>
        <w:spacing w:before="156" w:after="156"/>
      </w:pPr>
      <w:bookmarkStart w:id="202" w:name="_Toc76119866"/>
      <w:bookmarkStart w:id="203" w:name="_Toc28689"/>
      <w:r>
        <w:rPr>
          <w:rFonts w:hint="eastAsia"/>
        </w:rPr>
        <w:t>地震</w:t>
      </w:r>
      <w:bookmarkEnd w:id="202"/>
      <w:bookmarkEnd w:id="203"/>
    </w:p>
    <w:p>
      <w:pPr>
        <w:ind w:firstLine="560"/>
      </w:pPr>
      <w:r>
        <w:rPr>
          <w:rFonts w:hint="eastAsia"/>
        </w:rPr>
        <w:t>根据《中国地震动参数区划图》(GB18306-2015)，云南大姚县金碧镇区域地震动峰值加速度为0.15g，地震动反应谱特征周期为0.45s，对照《建筑与市政工程抗震通用规范》(GB55002-2021)，抗震设防烈度7度。</w:t>
      </w:r>
    </w:p>
    <w:p>
      <w:pPr>
        <w:ind w:firstLine="560"/>
      </w:pPr>
      <w:r>
        <w:rPr>
          <w:rFonts w:hint="eastAsia"/>
        </w:rPr>
        <w:t>当地震发生时，可能使建筑物倒塌，设备被破坏，严重时造成人员伤亡。本项目在地震中可能造成的最大危险是建（构）筑物倒塌、电气火灾和人员伤亡事故。</w:t>
      </w:r>
    </w:p>
    <w:p>
      <w:pPr>
        <w:ind w:firstLine="560"/>
      </w:pPr>
      <w:r>
        <w:rPr>
          <w:rFonts w:hint="eastAsia"/>
        </w:rPr>
        <w:t>本项目建（构）筑物的抗震等级按基本设防烈度7度设防。</w:t>
      </w:r>
    </w:p>
    <w:p>
      <w:pPr>
        <w:pStyle w:val="6"/>
        <w:spacing w:before="156" w:after="156"/>
      </w:pPr>
      <w:bookmarkStart w:id="204" w:name="_Toc25759"/>
      <w:bookmarkStart w:id="205" w:name="_Toc76119868"/>
      <w:r>
        <w:rPr>
          <w:rFonts w:hint="eastAsia"/>
          <w:lang w:val="en-US" w:eastAsia="zh-CN"/>
        </w:rPr>
        <w:t>暴雨</w:t>
      </w:r>
      <w:bookmarkEnd w:id="204"/>
    </w:p>
    <w:p>
      <w:pPr>
        <w:rPr>
          <w:rFonts w:hint="eastAsia" w:eastAsia="宋体"/>
          <w:lang w:val="en-US" w:eastAsia="zh-CN"/>
        </w:rPr>
      </w:pPr>
      <w:r>
        <w:rPr>
          <w:rFonts w:hint="eastAsia"/>
          <w:lang w:val="en-US" w:eastAsia="zh-CN"/>
        </w:rPr>
        <w:t>项目所在区域</w:t>
      </w:r>
      <w:r>
        <w:rPr>
          <w:rFonts w:hint="eastAsia"/>
        </w:rPr>
        <w:t>极端降水年最大雨量1078毫米，极端年最小雨量520毫米，日最大雨量164毫米。暴雨可能导致地势低洼的区域积水，</w:t>
      </w:r>
      <w:r>
        <w:rPr>
          <w:rFonts w:hint="eastAsia"/>
          <w:lang w:val="en-US" w:eastAsia="zh-CN"/>
        </w:rPr>
        <w:t>排水设施堵塞</w:t>
      </w:r>
      <w:r>
        <w:rPr>
          <w:rFonts w:hint="eastAsia"/>
        </w:rPr>
        <w:t>。暴雨可能引发</w:t>
      </w:r>
      <w:r>
        <w:rPr>
          <w:rFonts w:hint="eastAsia"/>
          <w:lang w:eastAsia="zh-CN"/>
        </w:rPr>
        <w:t>山洪暴发</w:t>
      </w:r>
      <w:r>
        <w:rPr>
          <w:rFonts w:hint="eastAsia"/>
        </w:rPr>
        <w:t>，进而导致厂房周围的道路被冲毁或封闭</w:t>
      </w:r>
      <w:r>
        <w:rPr>
          <w:rFonts w:hint="eastAsia"/>
          <w:lang w:eastAsia="zh-CN"/>
        </w:rPr>
        <w:t>，</w:t>
      </w:r>
      <w:r>
        <w:rPr>
          <w:rFonts w:hint="eastAsia"/>
        </w:rPr>
        <w:t>这将影响原材料的供应、产品的运输和员工的通勤，进而</w:t>
      </w:r>
      <w:r>
        <w:rPr>
          <w:rFonts w:hint="eastAsia"/>
          <w:lang w:eastAsia="zh-CN"/>
        </w:rPr>
        <w:t>影响</w:t>
      </w:r>
      <w:r>
        <w:rPr>
          <w:rFonts w:hint="eastAsia"/>
        </w:rPr>
        <w:t>生产和交付</w:t>
      </w:r>
      <w:r>
        <w:rPr>
          <w:rFonts w:hint="eastAsia"/>
          <w:lang w:eastAsia="zh-CN"/>
        </w:rPr>
        <w:t>。</w:t>
      </w:r>
      <w:r>
        <w:rPr>
          <w:rFonts w:hint="eastAsia"/>
          <w:lang w:val="en-US" w:eastAsia="zh-CN"/>
        </w:rPr>
        <w:t>连续暴雨还可能导致所在区域出现滑坡、塌方严重时</w:t>
      </w:r>
      <w:r>
        <w:rPr>
          <w:rFonts w:hint="eastAsia"/>
        </w:rPr>
        <w:t>甚至</w:t>
      </w:r>
      <w:r>
        <w:rPr>
          <w:rFonts w:hint="eastAsia"/>
          <w:lang w:val="en-US" w:eastAsia="zh-CN"/>
        </w:rPr>
        <w:t>可能</w:t>
      </w:r>
      <w:r>
        <w:rPr>
          <w:rFonts w:hint="eastAsia"/>
        </w:rPr>
        <w:t>导致厂房倒塌。暴雨</w:t>
      </w:r>
      <w:r>
        <w:rPr>
          <w:rFonts w:hint="eastAsia"/>
          <w:lang w:val="en-US" w:eastAsia="zh-CN"/>
        </w:rPr>
        <w:t>还</w:t>
      </w:r>
      <w:r>
        <w:rPr>
          <w:rFonts w:hint="eastAsia"/>
        </w:rPr>
        <w:t>可能导致电力中断，进而影响到厂房的运作。</w:t>
      </w:r>
    </w:p>
    <w:p>
      <w:pPr>
        <w:pStyle w:val="6"/>
        <w:spacing w:before="156" w:after="156"/>
      </w:pPr>
      <w:bookmarkStart w:id="206" w:name="_Toc30805"/>
      <w:r>
        <w:rPr>
          <w:rFonts w:hint="eastAsia"/>
          <w:lang w:val="en-US" w:eastAsia="zh-CN"/>
        </w:rPr>
        <w:t>滑坡</w:t>
      </w:r>
      <w:bookmarkEnd w:id="206"/>
    </w:p>
    <w:p>
      <w:pPr>
        <w:rPr>
          <w:rFonts w:hint="default" w:eastAsia="宋体"/>
          <w:lang w:val="en-US" w:eastAsia="zh-CN"/>
        </w:rPr>
      </w:pPr>
      <w:r>
        <w:rPr>
          <w:rFonts w:hint="eastAsia"/>
          <w:lang w:val="en-US" w:eastAsia="zh-CN"/>
        </w:rPr>
        <w:t>项目建设在山顶部位，山体出现滑坡、位移会引起厂区场地下沉，导致设备设施基础不稳固，严重时可能导致厂房坍塌。</w:t>
      </w:r>
    </w:p>
    <w:p>
      <w:pPr>
        <w:pStyle w:val="6"/>
        <w:spacing w:before="156" w:after="156"/>
      </w:pPr>
      <w:bookmarkStart w:id="207" w:name="_Toc15554"/>
      <w:r>
        <w:rPr>
          <w:rFonts w:hint="eastAsia"/>
        </w:rPr>
        <w:t>大风</w:t>
      </w:r>
      <w:bookmarkEnd w:id="205"/>
      <w:bookmarkEnd w:id="207"/>
    </w:p>
    <w:p>
      <w:pPr>
        <w:ind w:firstLine="560"/>
      </w:pPr>
      <w:r>
        <w:rPr>
          <w:rFonts w:hint="eastAsia"/>
        </w:rPr>
        <w:t>大风可造成设备倒塌、损坏，易燃物品泄漏，污染环境，供电线路中断，威胁设备设施和操作人员的安全。</w:t>
      </w:r>
    </w:p>
    <w:p>
      <w:pPr>
        <w:pStyle w:val="6"/>
        <w:spacing w:before="156" w:after="156"/>
      </w:pPr>
      <w:bookmarkStart w:id="208" w:name="_Toc76119869"/>
      <w:bookmarkStart w:id="209" w:name="_Toc13765"/>
      <w:r>
        <w:rPr>
          <w:rFonts w:hint="eastAsia"/>
        </w:rPr>
        <w:t>高低温</w:t>
      </w:r>
      <w:bookmarkEnd w:id="208"/>
      <w:bookmarkEnd w:id="209"/>
    </w:p>
    <w:p>
      <w:pPr>
        <w:ind w:firstLine="560"/>
      </w:pPr>
      <w:r>
        <w:rPr>
          <w:rFonts w:hint="eastAsia"/>
        </w:rPr>
        <w:t>高温环境可影响劳动者的体温调节，水盐代谢及循环系统、消化系统、泌尿系统等。当劳动者的热调节发生障碍时，轻者影响劳动能力，重者可引起别的病变，如中暑。劳动者水盐代谢的失衡，可导致血液浓缩、尿液浓缩、尿量减少，增加心脏和肾脏的负担，严重时引起循环衰竭和热痉挛。在比较分析中发现，高温作业工人的高血压发病率较高，而且随着工龄的增加而增加。高温还可以抑制人的中枢神经系统，使工人在操作过程中注意力分散，工作能力降低，有导致工伤事故的危险。</w:t>
      </w:r>
    </w:p>
    <w:p>
      <w:pPr>
        <w:ind w:firstLine="560"/>
      </w:pPr>
      <w:r>
        <w:rPr>
          <w:rFonts w:hint="eastAsia"/>
        </w:rPr>
        <w:t>低温引起冻伤。温度急剧变化时，因热胀冷缩，造成材料变形或热应力增大，会导致材料破坏，在低温下金属会发生晶型转变，甚至引起破裂而引发事故。</w:t>
      </w:r>
    </w:p>
    <w:p>
      <w:pPr>
        <w:ind w:firstLine="560"/>
      </w:pPr>
      <w:r>
        <w:rPr>
          <w:rFonts w:hint="eastAsia"/>
        </w:rPr>
        <w:t>同时，高温、高湿环境会加速材料腐蚀。</w:t>
      </w:r>
    </w:p>
    <w:p>
      <w:pPr>
        <w:pStyle w:val="5"/>
        <w:spacing w:before="156" w:after="156"/>
      </w:pPr>
      <w:bookmarkStart w:id="210" w:name="_Toc46412628"/>
      <w:bookmarkStart w:id="211" w:name="_Toc76119889"/>
      <w:bookmarkStart w:id="212" w:name="_Toc26891"/>
      <w:r>
        <w:rPr>
          <w:rFonts w:hint="eastAsia"/>
        </w:rPr>
        <w:t>检维修过程危险、有害因素辨识</w:t>
      </w:r>
      <w:bookmarkEnd w:id="210"/>
      <w:bookmarkEnd w:id="211"/>
      <w:bookmarkEnd w:id="212"/>
    </w:p>
    <w:p>
      <w:pPr>
        <w:ind w:firstLine="560"/>
      </w:pPr>
      <w:r>
        <w:rPr>
          <w:rFonts w:hint="eastAsia"/>
        </w:rPr>
        <w:t>该项目在正常生产、运行或停产检修等情况下由于设备系统性和自动化程度比较高，相对来说，在进行设备检修过程中，发生的事故类型较多；再有生产线检维修过程设计了多类的特殊作业，作业危险性较大。</w:t>
      </w:r>
    </w:p>
    <w:p>
      <w:pPr>
        <w:numPr>
          <w:ilvl w:val="0"/>
          <w:numId w:val="47"/>
        </w:numPr>
        <w:ind w:firstLine="560"/>
      </w:pPr>
      <w:bookmarkStart w:id="213" w:name="_Toc46412629"/>
      <w:r>
        <w:rPr>
          <w:rFonts w:hint="eastAsia"/>
        </w:rPr>
        <w:t>一般检维修作业危险、有害因素辨识</w:t>
      </w:r>
      <w:bookmarkEnd w:id="213"/>
    </w:p>
    <w:p>
      <w:pPr>
        <w:ind w:firstLine="560"/>
      </w:pPr>
      <w:r>
        <w:rPr>
          <w:rFonts w:hint="eastAsia"/>
        </w:rPr>
        <w:t>（1）在较大型设备的检维修过程中，设备的拆装导致吊起设备（物体）坠落，发生人员伤亡或设备损坏事故；</w:t>
      </w:r>
    </w:p>
    <w:p>
      <w:pPr>
        <w:ind w:firstLine="560"/>
      </w:pPr>
      <w:r>
        <w:rPr>
          <w:rFonts w:hint="eastAsia"/>
        </w:rPr>
        <w:t>（2）在电气设备或供电设施发生故障进行检修或试机时，发生触电及机械伤害事故；</w:t>
      </w:r>
    </w:p>
    <w:p>
      <w:pPr>
        <w:ind w:firstLine="560"/>
      </w:pPr>
      <w:r>
        <w:rPr>
          <w:rFonts w:hint="eastAsia"/>
        </w:rPr>
        <w:t>（3）进入有限空间作业，发生中毒、窒息事故；如作业人员带入明火，进入存在有甲烷等易燃气体的有限空间作业还出现燃烧、爆炸事故；</w:t>
      </w:r>
    </w:p>
    <w:p>
      <w:pPr>
        <w:ind w:firstLine="560"/>
      </w:pPr>
      <w:r>
        <w:rPr>
          <w:rFonts w:hint="eastAsia"/>
        </w:rPr>
        <w:t>（4）进入2m以上高处维修作业，维修人员未正确穿戴和使用个体防护用品，有发生高处坠落伤害。</w:t>
      </w:r>
    </w:p>
    <w:p>
      <w:pPr>
        <w:numPr>
          <w:ilvl w:val="0"/>
          <w:numId w:val="47"/>
        </w:numPr>
        <w:ind w:firstLine="560"/>
      </w:pPr>
      <w:bookmarkStart w:id="214" w:name="_Toc46412630"/>
      <w:r>
        <w:rPr>
          <w:rFonts w:hint="eastAsia"/>
        </w:rPr>
        <w:t>特殊作业危险、有害因素辨识</w:t>
      </w:r>
      <w:bookmarkEnd w:id="214"/>
    </w:p>
    <w:p>
      <w:pPr>
        <w:ind w:firstLine="560"/>
      </w:pPr>
      <w:r>
        <w:rPr>
          <w:rFonts w:hint="eastAsia"/>
        </w:rPr>
        <w:t>（1）动火作业</w:t>
      </w:r>
    </w:p>
    <w:p>
      <w:pPr>
        <w:ind w:firstLine="560"/>
      </w:pPr>
      <w:r>
        <w:rPr>
          <w:rFonts w:hint="eastAsia"/>
        </w:rPr>
        <w:t>焊接作业是常见的动火作业，且在生产过程中，为了保障正常生产，常会涉及不停产动火作业，由此产生的危险情况颇多，动火作业危险性：</w:t>
      </w:r>
    </w:p>
    <w:p>
      <w:pPr>
        <w:ind w:firstLine="560"/>
      </w:pPr>
      <w:r>
        <w:rPr>
          <w:rFonts w:hint="eastAsia"/>
        </w:rPr>
        <w:t>火灾、爆炸危险：动火作业场所比较多样性，如果作业场所存在易燃、易爆物或易</w:t>
      </w:r>
      <w:r>
        <w:rPr>
          <w:rFonts w:hint="eastAsia"/>
          <w:lang w:eastAsia="zh-CN"/>
        </w:rPr>
        <w:t>积聚</w:t>
      </w:r>
      <w:r>
        <w:rPr>
          <w:rFonts w:hint="eastAsia"/>
        </w:rPr>
        <w:t>易燃、易爆物（管道内、地坑等），引发火灾、爆炸的事故。再有动火作业（比如氧炔焊作业）涉及易燃（助燃）物质，在作业过程中，如未按要求进行操作或设备本质安全性差，也可发生火灾、爆炸事故。</w:t>
      </w:r>
    </w:p>
    <w:p>
      <w:pPr>
        <w:ind w:firstLine="560"/>
      </w:pPr>
      <w:r>
        <w:rPr>
          <w:rFonts w:hint="eastAsia"/>
        </w:rPr>
        <w:t>触电：在动火作业过程中，特别是夜晚作业，需要使用临时照明，如临时照明不采用安全电压，发生触电事故。</w:t>
      </w:r>
      <w:r>
        <w:rPr>
          <w:rFonts w:hint="eastAsia"/>
          <w:lang w:eastAsia="zh-CN"/>
        </w:rPr>
        <w:t>在</w:t>
      </w:r>
      <w:r>
        <w:rPr>
          <w:rFonts w:hint="eastAsia"/>
        </w:rPr>
        <w:t>电焊作业中，若工作环境情况复杂（如湿度高、空间狭小），也可发生触电事故。</w:t>
      </w:r>
    </w:p>
    <w:p>
      <w:pPr>
        <w:ind w:firstLine="560"/>
      </w:pPr>
      <w:r>
        <w:rPr>
          <w:rFonts w:hint="eastAsia"/>
        </w:rPr>
        <w:t>高处坠落：部分动火作业需要到达设备顶部及其它建构筑物顶部等进行作业，此类作业大多属于高处作业，有发生高处坠落事故。</w:t>
      </w:r>
    </w:p>
    <w:p>
      <w:pPr>
        <w:ind w:firstLine="560"/>
      </w:pPr>
      <w:r>
        <w:rPr>
          <w:rFonts w:hint="eastAsia"/>
        </w:rPr>
        <w:t>（2）进入有限空间作业</w:t>
      </w:r>
    </w:p>
    <w:p>
      <w:pPr>
        <w:numPr>
          <w:ilvl w:val="0"/>
          <w:numId w:val="48"/>
        </w:numPr>
        <w:ind w:firstLine="560"/>
      </w:pPr>
      <w:r>
        <w:rPr>
          <w:rFonts w:hint="eastAsia"/>
        </w:rPr>
        <w:t>进入之前未对有限空间的气体进行置换或是置换不完全，则会发生中毒、窒息等事故；</w:t>
      </w:r>
    </w:p>
    <w:p>
      <w:pPr>
        <w:numPr>
          <w:ilvl w:val="0"/>
          <w:numId w:val="48"/>
        </w:numPr>
        <w:ind w:firstLine="560"/>
      </w:pPr>
      <w:r>
        <w:rPr>
          <w:rFonts w:hint="eastAsia"/>
        </w:rPr>
        <w:t>未对作业危险性进行充分分析，未制定相应应急救援预案，未配备应急救援物资，未经过办证审批；</w:t>
      </w:r>
    </w:p>
    <w:p>
      <w:pPr>
        <w:numPr>
          <w:ilvl w:val="0"/>
          <w:numId w:val="48"/>
        </w:numPr>
        <w:ind w:firstLine="560"/>
      </w:pPr>
      <w:r>
        <w:rPr>
          <w:rFonts w:hint="eastAsia"/>
        </w:rPr>
        <w:t>进入有限空间前未打开人孔等进行通风，或通风时间不足；</w:t>
      </w:r>
    </w:p>
    <w:p>
      <w:pPr>
        <w:numPr>
          <w:ilvl w:val="0"/>
          <w:numId w:val="48"/>
        </w:numPr>
        <w:ind w:firstLine="560"/>
      </w:pPr>
      <w:r>
        <w:rPr>
          <w:rFonts w:hint="eastAsia"/>
        </w:rPr>
        <w:t>未对有限空间内气体采样分析或分析时间超过规定分析间隔时间；</w:t>
      </w:r>
    </w:p>
    <w:p>
      <w:pPr>
        <w:numPr>
          <w:ilvl w:val="0"/>
          <w:numId w:val="48"/>
        </w:numPr>
        <w:ind w:firstLine="560"/>
      </w:pPr>
      <w:r>
        <w:rPr>
          <w:rFonts w:hint="eastAsia"/>
        </w:rPr>
        <w:t>进入人员未佩戴空气呼吸器等劳动保护用品；</w:t>
      </w:r>
    </w:p>
    <w:p>
      <w:pPr>
        <w:numPr>
          <w:ilvl w:val="0"/>
          <w:numId w:val="48"/>
        </w:numPr>
        <w:ind w:firstLine="560"/>
      </w:pPr>
      <w:r>
        <w:rPr>
          <w:rFonts w:hint="eastAsia"/>
        </w:rPr>
        <w:t>有限空间照明电压过高，未使用安全电压，引起人员触电；</w:t>
      </w:r>
    </w:p>
    <w:p>
      <w:pPr>
        <w:numPr>
          <w:ilvl w:val="0"/>
          <w:numId w:val="48"/>
        </w:numPr>
        <w:ind w:firstLine="560"/>
      </w:pPr>
      <w:r>
        <w:rPr>
          <w:rFonts w:hint="eastAsia"/>
        </w:rPr>
        <w:t>使用手持电动工具或进行电焊作业时，未设漏电保护装置；</w:t>
      </w:r>
    </w:p>
    <w:p>
      <w:pPr>
        <w:numPr>
          <w:ilvl w:val="0"/>
          <w:numId w:val="48"/>
        </w:numPr>
        <w:ind w:firstLine="560"/>
      </w:pPr>
      <w:r>
        <w:rPr>
          <w:rFonts w:hint="eastAsia"/>
        </w:rPr>
        <w:t>人员站在潮湿环境内进行手持电动工具作业或电焊作业；</w:t>
      </w:r>
    </w:p>
    <w:p>
      <w:pPr>
        <w:numPr>
          <w:ilvl w:val="0"/>
          <w:numId w:val="48"/>
        </w:numPr>
        <w:ind w:firstLine="560"/>
      </w:pPr>
      <w:r>
        <w:rPr>
          <w:rFonts w:hint="eastAsia"/>
        </w:rPr>
        <w:t>未设监护人员或监护人员脱岗，监护人员未配备与作业人员联络工具；</w:t>
      </w:r>
    </w:p>
    <w:p>
      <w:pPr>
        <w:numPr>
          <w:ilvl w:val="0"/>
          <w:numId w:val="48"/>
        </w:numPr>
        <w:ind w:firstLine="560"/>
      </w:pPr>
      <w:r>
        <w:rPr>
          <w:rFonts w:hint="eastAsia"/>
        </w:rPr>
        <w:t>进入有限空间作业时，未遵循先通风、后检测（尽量做到持续监测）、再作业的原则；</w:t>
      </w:r>
    </w:p>
    <w:p>
      <w:pPr>
        <w:numPr>
          <w:ilvl w:val="0"/>
          <w:numId w:val="48"/>
        </w:numPr>
        <w:ind w:firstLine="560"/>
      </w:pPr>
      <w:r>
        <w:rPr>
          <w:rFonts w:hint="eastAsia"/>
        </w:rPr>
        <w:t>人员违章作业；</w:t>
      </w:r>
    </w:p>
    <w:p>
      <w:pPr>
        <w:numPr>
          <w:ilvl w:val="0"/>
          <w:numId w:val="48"/>
        </w:numPr>
        <w:ind w:firstLine="560"/>
      </w:pPr>
      <w:r>
        <w:rPr>
          <w:rFonts w:hint="eastAsia"/>
        </w:rPr>
        <w:t>未设置有限空间安全告知牌，或者设置不规范，有限空间辨识不全、有限空间未实施安全风险分级管控、未对有限空间区域加强安全管理，定期进行专项应急演练。</w:t>
      </w:r>
    </w:p>
    <w:p>
      <w:pPr>
        <w:ind w:firstLine="560"/>
      </w:pPr>
      <w:r>
        <w:rPr>
          <w:rFonts w:hint="eastAsia"/>
        </w:rPr>
        <w:t>（3）高处作业</w:t>
      </w:r>
    </w:p>
    <w:p>
      <w:pPr>
        <w:ind w:firstLine="560"/>
      </w:pPr>
      <w:r>
        <w:rPr>
          <w:rFonts w:hint="eastAsia"/>
        </w:rPr>
        <w:t>在生产运营过程中，常见的高处作业类型有：各设备上部进行检维修作业；设备设施上部或设备操作平台上进行操作或检维修作业；屋顶修补作业；建构筑物各操作平台作业；高处平台作业等。</w:t>
      </w:r>
    </w:p>
    <w:p>
      <w:pPr>
        <w:ind w:firstLine="560"/>
      </w:pPr>
      <w:r>
        <w:rPr>
          <w:rFonts w:hint="eastAsia"/>
        </w:rPr>
        <w:t>（4）临时用电</w:t>
      </w:r>
    </w:p>
    <w:p>
      <w:pPr>
        <w:ind w:firstLine="560"/>
      </w:pPr>
      <w:r>
        <w:rPr>
          <w:rFonts w:hint="eastAsia"/>
        </w:rPr>
        <w:t>在正常生产或检修过程中，由于要使用移动用电设备、临时照明灯情况时，出现临时用电。临时用电由于用电线路为临时搭接，出现乱接乱用的情况</w:t>
      </w:r>
      <w:r>
        <w:rPr>
          <w:rFonts w:hint="eastAsia"/>
          <w:lang w:eastAsia="zh-CN"/>
        </w:rPr>
        <w:t>，</w:t>
      </w:r>
      <w:r>
        <w:rPr>
          <w:rFonts w:hint="eastAsia"/>
        </w:rPr>
        <w:t>导致触电事故，在爆炸危险区域，甚至会导致火灾、爆炸事故的发生。再有临时照明用电，未采用安全电压，将发生触电或电气火灾事故。</w:t>
      </w:r>
    </w:p>
    <w:bookmarkEnd w:id="117"/>
    <w:bookmarkEnd w:id="197"/>
    <w:p>
      <w:pPr>
        <w:pStyle w:val="5"/>
        <w:spacing w:before="156" w:after="156"/>
      </w:pPr>
      <w:bookmarkStart w:id="215" w:name="_Toc76119896"/>
      <w:bookmarkStart w:id="216" w:name="_Toc24759"/>
      <w:r>
        <w:rPr>
          <w:rFonts w:hint="eastAsia"/>
        </w:rPr>
        <w:t>重大危险源分析</w:t>
      </w:r>
      <w:bookmarkEnd w:id="215"/>
      <w:bookmarkEnd w:id="216"/>
    </w:p>
    <w:p>
      <w:pPr>
        <w:ind w:firstLine="560"/>
        <w:rPr>
          <w:lang w:val="en-GB"/>
        </w:rPr>
      </w:pPr>
      <w:bookmarkStart w:id="217" w:name="_Toc324324181"/>
      <w:bookmarkStart w:id="218" w:name="_Toc326830600"/>
      <w:bookmarkStart w:id="219" w:name="_Toc259547951"/>
      <w:bookmarkStart w:id="220" w:name="_Toc273967172"/>
      <w:bookmarkStart w:id="221" w:name="_Toc282006878"/>
      <w:bookmarkStart w:id="222" w:name="_Toc324323817"/>
      <w:bookmarkStart w:id="223" w:name="_Toc388278086"/>
      <w:r>
        <w:rPr>
          <w:rFonts w:hint="eastAsia"/>
          <w:lang w:val="en-GB"/>
        </w:rPr>
        <w:t>根据</w:t>
      </w:r>
      <w:r>
        <w:rPr>
          <w:lang w:val="en-GB"/>
        </w:rPr>
        <w:t>《危险化学品重大危险源辨识》（GB</w:t>
      </w:r>
      <w:r>
        <w:rPr>
          <w:rFonts w:hint="eastAsia"/>
          <w:lang w:val="en-GB"/>
        </w:rPr>
        <w:t xml:space="preserve"> </w:t>
      </w:r>
      <w:r>
        <w:rPr>
          <w:lang w:val="en-GB"/>
        </w:rPr>
        <w:t>18218-20</w:t>
      </w:r>
      <w:r>
        <w:rPr>
          <w:rFonts w:hint="eastAsia"/>
          <w:lang w:val="en-GB"/>
        </w:rPr>
        <w:t>18</w:t>
      </w:r>
      <w:r>
        <w:rPr>
          <w:lang w:val="en-GB"/>
        </w:rPr>
        <w:t>）</w:t>
      </w:r>
      <w:r>
        <w:rPr>
          <w:rFonts w:hint="eastAsia"/>
          <w:lang w:val="en-GB"/>
        </w:rPr>
        <w:t>，危险化学品</w:t>
      </w:r>
      <w:r>
        <w:rPr>
          <w:lang w:val="en-GB"/>
        </w:rPr>
        <w:t>重大危险源是指长期地或临时地生产、</w:t>
      </w:r>
      <w:r>
        <w:rPr>
          <w:rFonts w:hint="eastAsia"/>
          <w:lang w:val="en-GB"/>
        </w:rPr>
        <w:t>储存、使用和经营</w:t>
      </w:r>
      <w:r>
        <w:rPr>
          <w:lang w:val="en-GB"/>
        </w:rPr>
        <w:t>危险化学品，且危险化学品的数量等于或超过临界量的单元。</w:t>
      </w:r>
    </w:p>
    <w:p>
      <w:pPr>
        <w:ind w:firstLine="560"/>
        <w:rPr>
          <w:lang w:val="en-GB"/>
        </w:rPr>
      </w:pPr>
      <w:r>
        <w:rPr>
          <w:rFonts w:hint="eastAsia"/>
          <w:lang w:val="en-GB"/>
        </w:rPr>
        <w:t>单元是指涉及危险化学品的生产、储存装置、设施或场所，分为生产单元和储存单元。</w:t>
      </w:r>
    </w:p>
    <w:p>
      <w:pPr>
        <w:ind w:firstLine="560"/>
        <w:rPr>
          <w:lang w:val="en-GB"/>
        </w:rPr>
      </w:pPr>
      <w:r>
        <w:rPr>
          <w:rFonts w:hint="eastAsia"/>
          <w:lang w:val="en-GB"/>
        </w:rPr>
        <w:t>生产单元是指危险化学品的生产、加工及使用等的装置及设施，当装置及设施之间有切断阀时，以切断阀作为分隔界限划分为独立的单元。</w:t>
      </w:r>
    </w:p>
    <w:p>
      <w:pPr>
        <w:ind w:firstLine="560"/>
        <w:rPr>
          <w:lang w:val="en-GB"/>
        </w:rPr>
      </w:pPr>
      <w:r>
        <w:rPr>
          <w:rFonts w:hint="eastAsia"/>
          <w:lang w:val="en-GB"/>
        </w:rPr>
        <w:t>储存单元是指用于储存危险化学品的储罐或仓库组成的相对独立的区域，储罐区以罐区防火堤为界限划分为独立的单元，仓库以独立库房（独立建筑物）为界限划分为独立的单元。</w:t>
      </w:r>
    </w:p>
    <w:p>
      <w:pPr>
        <w:ind w:firstLine="560"/>
        <w:rPr>
          <w:lang w:val="en-GB"/>
        </w:rPr>
      </w:pPr>
      <w:r>
        <w:rPr>
          <w:rFonts w:hint="eastAsia"/>
          <w:lang w:val="en-GB"/>
        </w:rPr>
        <w:t>生产单元、储存单元内存在危险化学品的数量等于或超过</w:t>
      </w:r>
      <w:r>
        <w:rPr>
          <w:lang w:val="en-GB"/>
        </w:rPr>
        <w:t>《危险化学品重大危险源辨识》（GB</w:t>
      </w:r>
      <w:r>
        <w:rPr>
          <w:rFonts w:hint="eastAsia"/>
          <w:lang w:val="en-GB"/>
        </w:rPr>
        <w:t xml:space="preserve"> </w:t>
      </w:r>
      <w:r>
        <w:rPr>
          <w:lang w:val="en-GB"/>
        </w:rPr>
        <w:t>18218-20</w:t>
      </w:r>
      <w:r>
        <w:rPr>
          <w:rFonts w:hint="eastAsia"/>
          <w:lang w:val="en-GB"/>
        </w:rPr>
        <w:t>18</w:t>
      </w:r>
      <w:r>
        <w:rPr>
          <w:lang w:val="en-GB"/>
        </w:rPr>
        <w:t>）</w:t>
      </w:r>
      <w:r>
        <w:rPr>
          <w:rFonts w:hint="eastAsia"/>
          <w:lang w:val="en-GB"/>
        </w:rPr>
        <w:t>中表1和表2规定的临界量，即被定为重大危险源。单元内存在的危险化学品的数量依据危险化学品种类的多少区分为以下两种情况：</w:t>
      </w:r>
    </w:p>
    <w:p>
      <w:pPr>
        <w:ind w:firstLine="560"/>
        <w:rPr>
          <w:lang w:val="en-GB"/>
        </w:rPr>
      </w:pPr>
      <w:r>
        <w:rPr>
          <w:rFonts w:hint="eastAsia"/>
          <w:lang w:val="en-GB"/>
        </w:rPr>
        <w:t>a）生产单元、储存单元内存在的危险化学品为单一品种时，该危险化学品的数量即为单元内危险化学品的总量，若等于或超过相应的临界量，则定为重大危险源。</w:t>
      </w:r>
    </w:p>
    <w:p>
      <w:pPr>
        <w:ind w:firstLine="560"/>
        <w:rPr>
          <w:lang w:val="en-GB"/>
        </w:rPr>
      </w:pPr>
      <w:r>
        <w:rPr>
          <w:rFonts w:hint="eastAsia"/>
          <w:lang w:val="en-GB"/>
        </w:rPr>
        <w:t>b）生产单元、储存单元内存在的危险化学品为多品种时，按式（1）计算，若满足式（1），则定为重大危险源：</w:t>
      </w:r>
    </w:p>
    <w:p>
      <w:pPr>
        <w:ind w:firstLine="560"/>
        <w:rPr>
          <w:lang w:val="en-GB"/>
        </w:rPr>
      </w:pPr>
      <w:r>
        <w:rPr>
          <w:rFonts w:hint="eastAsia"/>
          <w:lang w:val="en-GB"/>
        </w:rPr>
        <w:t>S=q1/Q1+ q2/Q2</w:t>
      </w:r>
      <w:r>
        <w:rPr>
          <w:lang w:val="en-GB"/>
        </w:rPr>
        <w:t>…</w:t>
      </w:r>
      <w:r>
        <w:rPr>
          <w:rFonts w:hint="eastAsia"/>
          <w:lang w:val="en-GB"/>
        </w:rPr>
        <w:t>+qn/Qn≥1</w:t>
      </w:r>
      <w:r>
        <w:rPr>
          <w:lang w:val="en-GB"/>
        </w:rPr>
        <w:t>…………………………………</w:t>
      </w:r>
      <w:r>
        <w:rPr>
          <w:rFonts w:hint="eastAsia"/>
          <w:lang w:val="en-GB"/>
        </w:rPr>
        <w:t>（1）</w:t>
      </w:r>
    </w:p>
    <w:p>
      <w:pPr>
        <w:ind w:firstLine="560"/>
        <w:rPr>
          <w:lang w:val="en-GB"/>
        </w:rPr>
      </w:pPr>
      <w:r>
        <w:rPr>
          <w:rFonts w:hint="eastAsia"/>
          <w:lang w:val="en-GB"/>
        </w:rPr>
        <w:t>式中：S    ——辨识指标；</w:t>
      </w:r>
    </w:p>
    <w:p>
      <w:pPr>
        <w:ind w:firstLine="0" w:firstLineChars="0"/>
        <w:rPr>
          <w:lang w:val="en-GB"/>
        </w:rPr>
      </w:pPr>
      <w:r>
        <w:rPr>
          <w:rFonts w:hint="eastAsia"/>
          <w:lang w:val="en-GB"/>
        </w:rPr>
        <w:t>q1，q2，</w:t>
      </w:r>
      <w:r>
        <w:rPr>
          <w:lang w:val="en-GB"/>
        </w:rPr>
        <w:t>…</w:t>
      </w:r>
      <w:r>
        <w:rPr>
          <w:rFonts w:hint="eastAsia"/>
          <w:lang w:val="en-GB"/>
        </w:rPr>
        <w:t>，qn ——每种危险化学品的实际存在量，单位为吨（t）；</w:t>
      </w:r>
    </w:p>
    <w:p>
      <w:pPr>
        <w:ind w:firstLine="0" w:firstLineChars="0"/>
        <w:rPr>
          <w:lang w:val="en-GB"/>
        </w:rPr>
      </w:pPr>
      <w:r>
        <w:rPr>
          <w:rFonts w:hint="eastAsia"/>
          <w:lang w:val="en-GB"/>
        </w:rPr>
        <w:t>Q1，Q2，</w:t>
      </w:r>
      <w:r>
        <w:rPr>
          <w:lang w:val="en-GB"/>
        </w:rPr>
        <w:t>…</w:t>
      </w:r>
      <w:r>
        <w:rPr>
          <w:rFonts w:hint="eastAsia"/>
          <w:lang w:val="en-GB"/>
        </w:rPr>
        <w:t>，Qn ——与每种危险化学品相对应的临界量，单位为吨（t）。</w:t>
      </w:r>
    </w:p>
    <w:p>
      <w:pPr>
        <w:ind w:firstLine="560"/>
      </w:pPr>
      <w:r>
        <w:rPr>
          <w:rFonts w:hint="eastAsia"/>
          <w:lang w:val="zh-TW"/>
        </w:rPr>
        <w:t>本企业不储存乙炔气瓶和氧气气瓶，本企业现场维修点使用乙炔气瓶</w:t>
      </w:r>
      <w:r>
        <w:rPr>
          <w:rFonts w:hint="eastAsia"/>
        </w:rPr>
        <w:t>4</w:t>
      </w:r>
      <w:r>
        <w:rPr>
          <w:rFonts w:hint="eastAsia"/>
          <w:lang w:val="zh-TW"/>
        </w:rPr>
        <w:t>瓶和氧气气瓶</w:t>
      </w:r>
      <w:r>
        <w:rPr>
          <w:rFonts w:hint="eastAsia"/>
        </w:rPr>
        <w:t>4</w:t>
      </w:r>
      <w:r>
        <w:rPr>
          <w:rFonts w:hint="eastAsia"/>
          <w:lang w:val="zh-TW"/>
        </w:rPr>
        <w:t>瓶，故将生产车间视为1个生产单元</w:t>
      </w:r>
      <w:r>
        <w:rPr>
          <w:rFonts w:hint="eastAsia"/>
        </w:rPr>
        <w:t>。</w:t>
      </w:r>
    </w:p>
    <w:p>
      <w:pPr>
        <w:snapToGrid w:val="0"/>
        <w:ind w:firstLine="482"/>
        <w:jc w:val="center"/>
        <w:rPr>
          <w:b/>
          <w:color w:val="000000"/>
          <w:sz w:val="24"/>
          <w:szCs w:val="28"/>
        </w:rPr>
      </w:pPr>
      <w:r>
        <w:rPr>
          <w:b/>
          <w:sz w:val="24"/>
          <w:szCs w:val="28"/>
        </w:rPr>
        <w:t>表3</w:t>
      </w:r>
      <w:r>
        <w:rPr>
          <w:rFonts w:hint="eastAsia"/>
          <w:b/>
          <w:sz w:val="24"/>
          <w:szCs w:val="28"/>
        </w:rPr>
        <w:t>.7-1</w:t>
      </w:r>
      <w:r>
        <w:rPr>
          <w:b/>
          <w:sz w:val="24"/>
          <w:szCs w:val="28"/>
        </w:rPr>
        <w:t xml:space="preserve"> </w:t>
      </w:r>
      <w:r>
        <w:rPr>
          <w:rFonts w:hint="eastAsia"/>
          <w:b/>
          <w:sz w:val="24"/>
          <w:szCs w:val="28"/>
        </w:rPr>
        <w:t>重</w:t>
      </w:r>
      <w:r>
        <w:rPr>
          <w:b/>
          <w:color w:val="000000"/>
          <w:sz w:val="24"/>
          <w:szCs w:val="28"/>
        </w:rPr>
        <w:t>大危险源辨识指标表</w:t>
      </w:r>
    </w:p>
    <w:tbl>
      <w:tblPr>
        <w:tblStyle w:val="29"/>
        <w:tblW w:w="4998"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526"/>
        <w:gridCol w:w="1051"/>
        <w:gridCol w:w="1378"/>
        <w:gridCol w:w="763"/>
        <w:gridCol w:w="3455"/>
        <w:gridCol w:w="134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8" w:type="pct"/>
            <w:vAlign w:val="center"/>
          </w:tcPr>
          <w:p>
            <w:pPr>
              <w:spacing w:line="240" w:lineRule="auto"/>
              <w:ind w:firstLine="0" w:firstLineChars="0"/>
              <w:jc w:val="center"/>
              <w:rPr>
                <w:rFonts w:ascii="宋体" w:hAnsi="宋体"/>
                <w:sz w:val="24"/>
                <w:szCs w:val="21"/>
              </w:rPr>
            </w:pPr>
            <w:r>
              <w:rPr>
                <w:rFonts w:hint="eastAsia" w:ascii="宋体" w:hAnsi="宋体"/>
                <w:sz w:val="24"/>
                <w:szCs w:val="21"/>
              </w:rPr>
              <w:t>序号</w:t>
            </w:r>
          </w:p>
        </w:tc>
        <w:tc>
          <w:tcPr>
            <w:tcW w:w="616" w:type="pct"/>
            <w:vAlign w:val="center"/>
          </w:tcPr>
          <w:p>
            <w:pPr>
              <w:spacing w:line="240" w:lineRule="auto"/>
              <w:ind w:firstLine="0" w:firstLineChars="0"/>
              <w:jc w:val="center"/>
              <w:rPr>
                <w:rFonts w:ascii="宋体" w:hAnsi="宋体"/>
                <w:sz w:val="24"/>
                <w:szCs w:val="21"/>
              </w:rPr>
            </w:pPr>
            <w:r>
              <w:rPr>
                <w:rFonts w:ascii="宋体" w:hAnsi="宋体"/>
                <w:sz w:val="24"/>
                <w:szCs w:val="21"/>
              </w:rPr>
              <w:t>物质名称</w:t>
            </w:r>
          </w:p>
        </w:tc>
        <w:tc>
          <w:tcPr>
            <w:tcW w:w="808" w:type="pct"/>
            <w:vAlign w:val="center"/>
          </w:tcPr>
          <w:p>
            <w:pPr>
              <w:spacing w:line="240" w:lineRule="auto"/>
              <w:ind w:firstLine="0" w:firstLineChars="0"/>
              <w:jc w:val="center"/>
              <w:rPr>
                <w:rFonts w:ascii="宋体" w:hAnsi="宋体"/>
                <w:sz w:val="24"/>
                <w:szCs w:val="21"/>
              </w:rPr>
            </w:pPr>
            <w:r>
              <w:rPr>
                <w:rFonts w:hint="eastAsia" w:ascii="宋体" w:hAnsi="宋体"/>
                <w:sz w:val="24"/>
                <w:szCs w:val="21"/>
              </w:rPr>
              <w:t>一次最大存量（t）</w:t>
            </w:r>
          </w:p>
        </w:tc>
        <w:tc>
          <w:tcPr>
            <w:tcW w:w="447" w:type="pct"/>
            <w:vAlign w:val="center"/>
          </w:tcPr>
          <w:p>
            <w:pPr>
              <w:spacing w:line="240" w:lineRule="auto"/>
              <w:ind w:firstLine="0" w:firstLineChars="0"/>
              <w:jc w:val="center"/>
              <w:rPr>
                <w:rFonts w:ascii="宋体" w:hAnsi="宋体"/>
                <w:sz w:val="24"/>
                <w:szCs w:val="21"/>
              </w:rPr>
            </w:pPr>
            <w:r>
              <w:rPr>
                <w:rFonts w:hint="eastAsia" w:ascii="宋体" w:hAnsi="宋体"/>
                <w:sz w:val="24"/>
                <w:szCs w:val="21"/>
              </w:rPr>
              <w:t>临界量（t）</w:t>
            </w:r>
          </w:p>
        </w:tc>
        <w:tc>
          <w:tcPr>
            <w:tcW w:w="2027" w:type="pct"/>
            <w:vAlign w:val="center"/>
          </w:tcPr>
          <w:p>
            <w:pPr>
              <w:spacing w:line="240" w:lineRule="auto"/>
              <w:ind w:firstLine="0" w:firstLineChars="0"/>
              <w:jc w:val="center"/>
              <w:rPr>
                <w:rFonts w:ascii="宋体" w:hAnsi="宋体"/>
                <w:sz w:val="24"/>
                <w:szCs w:val="21"/>
              </w:rPr>
            </w:pPr>
            <w:r>
              <w:rPr>
                <w:rFonts w:hint="eastAsia" w:ascii="宋体" w:hAnsi="宋体"/>
                <w:sz w:val="24"/>
                <w:szCs w:val="21"/>
              </w:rPr>
              <w:t>最大存量与临界量比值</w:t>
            </w:r>
          </w:p>
        </w:tc>
        <w:tc>
          <w:tcPr>
            <w:tcW w:w="789" w:type="pct"/>
            <w:vAlign w:val="center"/>
          </w:tcPr>
          <w:p>
            <w:pPr>
              <w:widowControl/>
              <w:spacing w:line="240" w:lineRule="auto"/>
              <w:ind w:firstLine="0" w:firstLineChars="0"/>
              <w:jc w:val="center"/>
              <w:rPr>
                <w:rFonts w:ascii="宋体" w:hAnsi="宋体"/>
                <w:sz w:val="24"/>
                <w:szCs w:val="21"/>
              </w:rPr>
            </w:pPr>
            <w:r>
              <w:rPr>
                <w:rFonts w:hint="eastAsia" w:ascii="宋体" w:hAnsi="宋体"/>
                <w:sz w:val="24"/>
                <w:szCs w:val="21"/>
              </w:rPr>
              <w:t>辨识结果</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8" w:type="pct"/>
            <w:vMerge w:val="restart"/>
            <w:vAlign w:val="center"/>
          </w:tcPr>
          <w:p>
            <w:pPr>
              <w:spacing w:line="240" w:lineRule="auto"/>
              <w:ind w:firstLine="0" w:firstLineChars="0"/>
              <w:jc w:val="center"/>
              <w:rPr>
                <w:rFonts w:ascii="宋体" w:hAnsi="宋体"/>
                <w:sz w:val="24"/>
                <w:szCs w:val="21"/>
              </w:rPr>
            </w:pPr>
            <w:r>
              <w:rPr>
                <w:rFonts w:hint="eastAsia" w:ascii="宋体" w:hAnsi="宋体"/>
                <w:sz w:val="24"/>
                <w:szCs w:val="21"/>
              </w:rPr>
              <w:t>1</w:t>
            </w:r>
          </w:p>
        </w:tc>
        <w:tc>
          <w:tcPr>
            <w:tcW w:w="4691" w:type="pct"/>
            <w:gridSpan w:val="5"/>
            <w:vAlign w:val="center"/>
          </w:tcPr>
          <w:p>
            <w:pPr>
              <w:widowControl/>
              <w:spacing w:line="240" w:lineRule="auto"/>
              <w:ind w:firstLine="0" w:firstLineChars="0"/>
              <w:jc w:val="center"/>
              <w:rPr>
                <w:rFonts w:ascii="宋体" w:hAnsi="宋体"/>
                <w:sz w:val="24"/>
                <w:szCs w:val="21"/>
              </w:rPr>
            </w:pPr>
            <w:r>
              <w:rPr>
                <w:rFonts w:hint="eastAsia" w:ascii="宋体" w:hAnsi="宋体" w:cs="宋体"/>
                <w:kern w:val="0"/>
                <w:sz w:val="24"/>
                <w:szCs w:val="32"/>
                <w:lang w:bidi="ar"/>
              </w:rPr>
              <w:t>生产单元（厂房）</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8" w:type="pct"/>
            <w:vMerge w:val="continue"/>
            <w:vAlign w:val="center"/>
          </w:tcPr>
          <w:p>
            <w:pPr>
              <w:spacing w:line="240" w:lineRule="auto"/>
              <w:ind w:firstLine="0" w:firstLineChars="0"/>
              <w:jc w:val="center"/>
              <w:rPr>
                <w:rFonts w:ascii="宋体" w:hAnsi="宋体"/>
                <w:sz w:val="24"/>
                <w:szCs w:val="21"/>
              </w:rPr>
            </w:pPr>
          </w:p>
        </w:tc>
        <w:tc>
          <w:tcPr>
            <w:tcW w:w="616" w:type="pct"/>
            <w:vAlign w:val="center"/>
          </w:tcPr>
          <w:p>
            <w:pPr>
              <w:tabs>
                <w:tab w:val="left" w:pos="1276"/>
              </w:tabs>
              <w:snapToGrid w:val="0"/>
              <w:spacing w:line="240" w:lineRule="auto"/>
              <w:ind w:firstLine="0" w:firstLineChars="0"/>
              <w:jc w:val="center"/>
              <w:rPr>
                <w:rFonts w:ascii="宋体" w:hAnsi="宋体"/>
                <w:sz w:val="24"/>
                <w:szCs w:val="21"/>
              </w:rPr>
            </w:pPr>
            <w:r>
              <w:rPr>
                <w:rFonts w:hint="eastAsia" w:ascii="宋体" w:hAnsi="宋体"/>
                <w:sz w:val="24"/>
                <w:szCs w:val="20"/>
              </w:rPr>
              <w:t>乙炔</w:t>
            </w:r>
          </w:p>
        </w:tc>
        <w:tc>
          <w:tcPr>
            <w:tcW w:w="808" w:type="pct"/>
            <w:vAlign w:val="center"/>
          </w:tcPr>
          <w:p>
            <w:pPr>
              <w:tabs>
                <w:tab w:val="left" w:pos="1276"/>
              </w:tabs>
              <w:snapToGrid w:val="0"/>
              <w:spacing w:line="240" w:lineRule="auto"/>
              <w:ind w:firstLine="0" w:firstLineChars="0"/>
              <w:jc w:val="center"/>
              <w:rPr>
                <w:rFonts w:ascii="宋体" w:hAnsi="宋体"/>
                <w:sz w:val="24"/>
                <w:szCs w:val="21"/>
              </w:rPr>
            </w:pPr>
            <w:r>
              <w:rPr>
                <w:rFonts w:hint="eastAsia" w:ascii="宋体" w:hAnsi="宋体"/>
                <w:sz w:val="24"/>
                <w:szCs w:val="20"/>
              </w:rPr>
              <w:t>2.88×10</w:t>
            </w:r>
            <w:r>
              <w:rPr>
                <w:rFonts w:hint="eastAsia" w:ascii="宋体" w:hAnsi="宋体"/>
                <w:sz w:val="24"/>
                <w:szCs w:val="20"/>
                <w:vertAlign w:val="superscript"/>
              </w:rPr>
              <w:t>-2</w:t>
            </w:r>
            <w:r>
              <w:rPr>
                <w:rFonts w:hint="eastAsia" w:ascii="宋体" w:hAnsi="宋体"/>
                <w:sz w:val="24"/>
                <w:szCs w:val="20"/>
              </w:rPr>
              <w:t>（4瓶，40L/瓶）</w:t>
            </w:r>
          </w:p>
        </w:tc>
        <w:tc>
          <w:tcPr>
            <w:tcW w:w="447" w:type="pct"/>
            <w:vAlign w:val="center"/>
          </w:tcPr>
          <w:p>
            <w:pPr>
              <w:tabs>
                <w:tab w:val="left" w:pos="1276"/>
              </w:tabs>
              <w:snapToGrid w:val="0"/>
              <w:spacing w:line="240" w:lineRule="auto"/>
              <w:ind w:firstLine="0" w:firstLineChars="0"/>
              <w:jc w:val="center"/>
              <w:rPr>
                <w:rFonts w:ascii="宋体" w:hAnsi="宋体"/>
                <w:sz w:val="24"/>
                <w:szCs w:val="21"/>
              </w:rPr>
            </w:pPr>
            <w:r>
              <w:rPr>
                <w:rFonts w:hint="eastAsia" w:ascii="宋体" w:hAnsi="宋体"/>
                <w:sz w:val="24"/>
                <w:szCs w:val="20"/>
              </w:rPr>
              <w:t>1</w:t>
            </w:r>
          </w:p>
        </w:tc>
        <w:tc>
          <w:tcPr>
            <w:tcW w:w="2027" w:type="pct"/>
            <w:vMerge w:val="restart"/>
            <w:vAlign w:val="center"/>
          </w:tcPr>
          <w:p>
            <w:pPr>
              <w:spacing w:line="240" w:lineRule="auto"/>
              <w:ind w:firstLine="0" w:firstLineChars="0"/>
              <w:jc w:val="center"/>
              <w:rPr>
                <w:rFonts w:ascii="宋体" w:hAnsi="宋体"/>
                <w:sz w:val="24"/>
                <w:szCs w:val="21"/>
              </w:rPr>
            </w:pPr>
            <w:r>
              <w:rPr>
                <w:rFonts w:hint="eastAsia" w:ascii="宋体" w:hAnsi="宋体"/>
                <w:sz w:val="24"/>
                <w:szCs w:val="21"/>
              </w:rPr>
              <w:t>S=</w:t>
            </w:r>
            <w:r>
              <w:rPr>
                <w:rFonts w:hint="eastAsia" w:ascii="宋体" w:hAnsi="宋体"/>
                <w:sz w:val="24"/>
                <w:szCs w:val="20"/>
              </w:rPr>
              <w:t>2.88×10</w:t>
            </w:r>
            <w:r>
              <w:rPr>
                <w:rFonts w:hint="eastAsia" w:ascii="宋体" w:hAnsi="宋体"/>
                <w:sz w:val="24"/>
                <w:szCs w:val="20"/>
                <w:vertAlign w:val="superscript"/>
              </w:rPr>
              <w:t>-2</w:t>
            </w:r>
            <w:r>
              <w:rPr>
                <w:rFonts w:hint="eastAsia" w:ascii="宋体" w:hAnsi="宋体"/>
                <w:sz w:val="24"/>
                <w:szCs w:val="21"/>
              </w:rPr>
              <w:t>/1+</w:t>
            </w:r>
            <w:r>
              <w:rPr>
                <w:rFonts w:hint="eastAsia" w:ascii="宋体" w:hAnsi="宋体"/>
                <w:sz w:val="24"/>
                <w:szCs w:val="20"/>
                <w:lang w:val="en-US" w:eastAsia="zh-CN"/>
              </w:rPr>
              <w:t>3.4</w:t>
            </w:r>
            <w:r>
              <w:rPr>
                <w:rFonts w:hint="eastAsia" w:ascii="宋体" w:hAnsi="宋体"/>
                <w:sz w:val="24"/>
                <w:szCs w:val="20"/>
              </w:rPr>
              <w:t>×10</w:t>
            </w:r>
            <w:r>
              <w:rPr>
                <w:rFonts w:hint="eastAsia" w:ascii="宋体" w:hAnsi="宋体"/>
                <w:sz w:val="24"/>
                <w:szCs w:val="20"/>
                <w:vertAlign w:val="superscript"/>
              </w:rPr>
              <w:t>-2</w:t>
            </w:r>
            <w:r>
              <w:rPr>
                <w:rFonts w:hint="eastAsia" w:ascii="宋体" w:hAnsi="宋体"/>
                <w:sz w:val="24"/>
                <w:szCs w:val="21"/>
              </w:rPr>
              <w:t>/200</w:t>
            </w:r>
          </w:p>
          <w:p>
            <w:pPr>
              <w:spacing w:line="240" w:lineRule="auto"/>
              <w:ind w:firstLine="0" w:firstLineChars="0"/>
              <w:jc w:val="center"/>
              <w:rPr>
                <w:rFonts w:ascii="宋体" w:hAnsi="宋体"/>
                <w:sz w:val="24"/>
                <w:szCs w:val="21"/>
              </w:rPr>
            </w:pPr>
            <w:r>
              <w:rPr>
                <w:rFonts w:hint="eastAsia" w:ascii="宋体" w:hAnsi="宋体"/>
                <w:sz w:val="24"/>
                <w:szCs w:val="21"/>
              </w:rPr>
              <w:t>=0.</w:t>
            </w:r>
            <w:r>
              <w:rPr>
                <w:rFonts w:hint="eastAsia" w:ascii="宋体" w:hAnsi="宋体"/>
                <w:sz w:val="24"/>
                <w:szCs w:val="21"/>
                <w:lang w:val="en-US" w:eastAsia="zh-CN"/>
              </w:rPr>
              <w:t>02897</w:t>
            </w:r>
            <w:r>
              <w:rPr>
                <w:rFonts w:hint="eastAsia" w:ascii="宋体" w:hAnsi="宋体"/>
                <w:sz w:val="24"/>
                <w:szCs w:val="21"/>
              </w:rPr>
              <w:t>&lt;1</w:t>
            </w:r>
          </w:p>
        </w:tc>
        <w:tc>
          <w:tcPr>
            <w:tcW w:w="789" w:type="pct"/>
            <w:vMerge w:val="restart"/>
            <w:vAlign w:val="center"/>
          </w:tcPr>
          <w:p>
            <w:pPr>
              <w:spacing w:line="240" w:lineRule="auto"/>
              <w:ind w:firstLine="0" w:firstLineChars="0"/>
              <w:jc w:val="center"/>
              <w:rPr>
                <w:rFonts w:ascii="宋体" w:hAnsi="宋体"/>
                <w:sz w:val="24"/>
                <w:szCs w:val="21"/>
              </w:rPr>
            </w:pPr>
            <w:r>
              <w:rPr>
                <w:rFonts w:hint="eastAsia" w:ascii="宋体" w:hAnsi="宋体"/>
                <w:sz w:val="24"/>
                <w:szCs w:val="21"/>
              </w:rPr>
              <w:t>不构成重大危险源</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8" w:type="pct"/>
            <w:vMerge w:val="continue"/>
            <w:vAlign w:val="center"/>
          </w:tcPr>
          <w:p>
            <w:pPr>
              <w:spacing w:line="240" w:lineRule="auto"/>
              <w:ind w:firstLine="0" w:firstLineChars="0"/>
              <w:jc w:val="center"/>
              <w:rPr>
                <w:rFonts w:ascii="宋体" w:hAnsi="宋体"/>
                <w:sz w:val="24"/>
                <w:szCs w:val="21"/>
              </w:rPr>
            </w:pPr>
          </w:p>
        </w:tc>
        <w:tc>
          <w:tcPr>
            <w:tcW w:w="616" w:type="pct"/>
            <w:vAlign w:val="center"/>
          </w:tcPr>
          <w:p>
            <w:pPr>
              <w:tabs>
                <w:tab w:val="left" w:pos="1276"/>
              </w:tabs>
              <w:snapToGrid w:val="0"/>
              <w:spacing w:line="240" w:lineRule="auto"/>
              <w:ind w:firstLine="0" w:firstLineChars="0"/>
              <w:jc w:val="center"/>
              <w:rPr>
                <w:rFonts w:ascii="宋体" w:hAnsi="宋体"/>
                <w:sz w:val="24"/>
                <w:szCs w:val="21"/>
              </w:rPr>
            </w:pPr>
            <w:r>
              <w:rPr>
                <w:rFonts w:hint="eastAsia" w:ascii="宋体" w:hAnsi="宋体"/>
                <w:sz w:val="24"/>
                <w:szCs w:val="20"/>
              </w:rPr>
              <w:t>氧气</w:t>
            </w:r>
          </w:p>
        </w:tc>
        <w:tc>
          <w:tcPr>
            <w:tcW w:w="808" w:type="pct"/>
            <w:vAlign w:val="center"/>
          </w:tcPr>
          <w:p>
            <w:pPr>
              <w:tabs>
                <w:tab w:val="left" w:pos="1276"/>
              </w:tabs>
              <w:snapToGrid w:val="0"/>
              <w:spacing w:line="240" w:lineRule="auto"/>
              <w:ind w:firstLine="0" w:firstLineChars="0"/>
              <w:jc w:val="center"/>
              <w:rPr>
                <w:rFonts w:ascii="宋体" w:hAnsi="宋体"/>
                <w:sz w:val="24"/>
                <w:szCs w:val="21"/>
              </w:rPr>
            </w:pPr>
            <w:r>
              <w:rPr>
                <w:rFonts w:hint="eastAsia" w:ascii="宋体" w:hAnsi="宋体"/>
                <w:sz w:val="24"/>
                <w:szCs w:val="20"/>
              </w:rPr>
              <w:t>3.4×10</w:t>
            </w:r>
            <w:r>
              <w:rPr>
                <w:rFonts w:hint="eastAsia" w:ascii="宋体" w:hAnsi="宋体"/>
                <w:sz w:val="24"/>
                <w:szCs w:val="20"/>
                <w:vertAlign w:val="superscript"/>
              </w:rPr>
              <w:t>-2</w:t>
            </w:r>
            <w:r>
              <w:rPr>
                <w:rFonts w:hint="eastAsia" w:ascii="宋体" w:hAnsi="宋体"/>
                <w:sz w:val="24"/>
                <w:szCs w:val="20"/>
              </w:rPr>
              <w:t>（4瓶，40L/瓶）</w:t>
            </w:r>
          </w:p>
        </w:tc>
        <w:tc>
          <w:tcPr>
            <w:tcW w:w="447" w:type="pct"/>
            <w:vAlign w:val="center"/>
          </w:tcPr>
          <w:p>
            <w:pPr>
              <w:tabs>
                <w:tab w:val="left" w:pos="1276"/>
              </w:tabs>
              <w:snapToGrid w:val="0"/>
              <w:spacing w:line="240" w:lineRule="auto"/>
              <w:ind w:firstLine="0" w:firstLineChars="0"/>
              <w:jc w:val="center"/>
              <w:rPr>
                <w:rFonts w:ascii="宋体" w:hAnsi="宋体"/>
                <w:sz w:val="24"/>
                <w:szCs w:val="21"/>
              </w:rPr>
            </w:pPr>
            <w:r>
              <w:rPr>
                <w:rFonts w:hint="eastAsia" w:ascii="宋体" w:hAnsi="宋体"/>
                <w:sz w:val="24"/>
                <w:szCs w:val="20"/>
              </w:rPr>
              <w:t>200</w:t>
            </w:r>
          </w:p>
        </w:tc>
        <w:tc>
          <w:tcPr>
            <w:tcW w:w="2027" w:type="pct"/>
            <w:vMerge w:val="continue"/>
            <w:vAlign w:val="center"/>
          </w:tcPr>
          <w:p>
            <w:pPr>
              <w:spacing w:line="240" w:lineRule="auto"/>
              <w:ind w:firstLine="0" w:firstLineChars="0"/>
              <w:jc w:val="center"/>
              <w:rPr>
                <w:rFonts w:ascii="宋体" w:hAnsi="宋体"/>
                <w:sz w:val="24"/>
                <w:szCs w:val="21"/>
              </w:rPr>
            </w:pPr>
          </w:p>
        </w:tc>
        <w:tc>
          <w:tcPr>
            <w:tcW w:w="789" w:type="pct"/>
            <w:vMerge w:val="continue"/>
            <w:vAlign w:val="center"/>
          </w:tcPr>
          <w:p>
            <w:pPr>
              <w:spacing w:line="240" w:lineRule="auto"/>
              <w:ind w:firstLine="0" w:firstLineChars="0"/>
              <w:jc w:val="center"/>
              <w:rPr>
                <w:rFonts w:ascii="宋体" w:hAnsi="宋体"/>
                <w:sz w:val="24"/>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8" w:type="pct"/>
            <w:vMerge w:val="restart"/>
            <w:vAlign w:val="center"/>
          </w:tcPr>
          <w:p>
            <w:pPr>
              <w:spacing w:line="240" w:lineRule="auto"/>
              <w:ind w:firstLine="0" w:firstLineChars="0"/>
              <w:jc w:val="center"/>
              <w:rPr>
                <w:rFonts w:ascii="宋体" w:hAnsi="宋体"/>
                <w:sz w:val="24"/>
                <w:szCs w:val="21"/>
              </w:rPr>
            </w:pPr>
            <w:r>
              <w:rPr>
                <w:rFonts w:hint="eastAsia" w:ascii="宋体" w:hAnsi="宋体"/>
                <w:sz w:val="24"/>
                <w:szCs w:val="21"/>
              </w:rPr>
              <w:t>2</w:t>
            </w:r>
          </w:p>
        </w:tc>
        <w:tc>
          <w:tcPr>
            <w:tcW w:w="4691" w:type="pct"/>
            <w:gridSpan w:val="5"/>
            <w:vAlign w:val="center"/>
          </w:tcPr>
          <w:p>
            <w:pPr>
              <w:spacing w:line="240" w:lineRule="auto"/>
              <w:ind w:firstLine="0" w:firstLineChars="0"/>
              <w:jc w:val="center"/>
              <w:rPr>
                <w:rFonts w:ascii="宋体" w:hAnsi="宋体"/>
                <w:sz w:val="24"/>
                <w:szCs w:val="21"/>
              </w:rPr>
            </w:pPr>
            <w:r>
              <w:rPr>
                <w:rFonts w:hint="eastAsia" w:ascii="宋体" w:hAnsi="宋体"/>
                <w:sz w:val="24"/>
                <w:szCs w:val="21"/>
              </w:rPr>
              <w:t>储存单元（中间仓库）</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8" w:type="pct"/>
            <w:vMerge w:val="continue"/>
            <w:vAlign w:val="center"/>
          </w:tcPr>
          <w:p>
            <w:pPr>
              <w:spacing w:line="240" w:lineRule="auto"/>
              <w:ind w:firstLine="0" w:firstLineChars="0"/>
              <w:jc w:val="center"/>
              <w:rPr>
                <w:rFonts w:ascii="宋体" w:hAnsi="宋体"/>
                <w:sz w:val="24"/>
                <w:szCs w:val="21"/>
              </w:rPr>
            </w:pPr>
          </w:p>
        </w:tc>
        <w:tc>
          <w:tcPr>
            <w:tcW w:w="616" w:type="pct"/>
            <w:vAlign w:val="center"/>
          </w:tcPr>
          <w:p>
            <w:pPr>
              <w:tabs>
                <w:tab w:val="left" w:pos="1276"/>
              </w:tabs>
              <w:snapToGrid w:val="0"/>
              <w:spacing w:line="240" w:lineRule="auto"/>
              <w:ind w:firstLine="0" w:firstLineChars="0"/>
              <w:jc w:val="center"/>
              <w:rPr>
                <w:rFonts w:hint="eastAsia" w:ascii="宋体" w:hAnsi="宋体" w:eastAsia="宋体"/>
                <w:sz w:val="24"/>
                <w:szCs w:val="20"/>
                <w:lang w:eastAsia="zh-CN"/>
              </w:rPr>
            </w:pPr>
            <w:r>
              <w:rPr>
                <w:rFonts w:hint="eastAsia" w:ascii="宋体" w:hAnsi="宋体"/>
                <w:sz w:val="24"/>
                <w:szCs w:val="20"/>
              </w:rPr>
              <w:t>黑醇酸调和漆</w:t>
            </w:r>
            <w:r>
              <w:rPr>
                <w:rFonts w:hint="eastAsia" w:ascii="宋体" w:hAnsi="宋体"/>
                <w:sz w:val="24"/>
                <w:szCs w:val="20"/>
                <w:lang w:eastAsia="zh-CN"/>
              </w:rPr>
              <w:t>、铁红油性防锈漆</w:t>
            </w:r>
          </w:p>
        </w:tc>
        <w:tc>
          <w:tcPr>
            <w:tcW w:w="808" w:type="pct"/>
            <w:vAlign w:val="center"/>
          </w:tcPr>
          <w:p>
            <w:pPr>
              <w:tabs>
                <w:tab w:val="left" w:pos="1276"/>
              </w:tabs>
              <w:snapToGrid w:val="0"/>
              <w:spacing w:line="240" w:lineRule="auto"/>
              <w:ind w:firstLine="0" w:firstLineChars="0"/>
              <w:jc w:val="center"/>
              <w:rPr>
                <w:rFonts w:hint="eastAsia" w:ascii="宋体" w:hAnsi="宋体"/>
                <w:sz w:val="24"/>
                <w:szCs w:val="20"/>
              </w:rPr>
            </w:pPr>
            <w:r>
              <w:rPr>
                <w:rFonts w:hint="eastAsia" w:ascii="宋体" w:hAnsi="宋体"/>
                <w:sz w:val="24"/>
                <w:szCs w:val="20"/>
              </w:rPr>
              <w:t>1（</w:t>
            </w:r>
            <w:r>
              <w:rPr>
                <w:rFonts w:hint="eastAsia" w:ascii="宋体" w:hAnsi="宋体" w:eastAsia="宋体"/>
                <w:sz w:val="24"/>
                <w:szCs w:val="20"/>
                <w:lang w:eastAsia="zh-CN"/>
              </w:rPr>
              <w:t>5</w:t>
            </w:r>
            <w:r>
              <w:rPr>
                <w:rFonts w:hint="eastAsia" w:ascii="宋体" w:hAnsi="宋体" w:eastAsia="宋体"/>
                <w:sz w:val="24"/>
                <w:szCs w:val="20"/>
                <w:lang w:val="en-US" w:eastAsia="zh-CN"/>
              </w:rPr>
              <w:t>0</w:t>
            </w:r>
            <w:r>
              <w:rPr>
                <w:rFonts w:hint="eastAsia" w:ascii="宋体" w:hAnsi="宋体"/>
                <w:sz w:val="24"/>
                <w:szCs w:val="20"/>
              </w:rPr>
              <w:t>桶</w:t>
            </w:r>
            <w:r>
              <w:rPr>
                <w:rFonts w:hint="eastAsia" w:ascii="宋体" w:hAnsi="宋体" w:eastAsia="宋体"/>
                <w:sz w:val="24"/>
                <w:szCs w:val="20"/>
                <w:lang w:eastAsia="zh-CN"/>
              </w:rPr>
              <w:t>，</w:t>
            </w:r>
            <w:r>
              <w:rPr>
                <w:rFonts w:hint="eastAsia" w:ascii="宋体" w:hAnsi="宋体" w:eastAsia="宋体"/>
                <w:sz w:val="24"/>
                <w:szCs w:val="20"/>
                <w:lang w:val="en-US" w:eastAsia="zh-CN"/>
              </w:rPr>
              <w:t>20kg/桶</w:t>
            </w:r>
            <w:r>
              <w:rPr>
                <w:rFonts w:hint="eastAsia" w:ascii="宋体" w:hAnsi="宋体"/>
                <w:sz w:val="24"/>
                <w:szCs w:val="20"/>
              </w:rPr>
              <w:t>）</w:t>
            </w:r>
          </w:p>
        </w:tc>
        <w:tc>
          <w:tcPr>
            <w:tcW w:w="447" w:type="pct"/>
            <w:vAlign w:val="center"/>
          </w:tcPr>
          <w:p>
            <w:pPr>
              <w:spacing w:line="240" w:lineRule="auto"/>
              <w:ind w:firstLine="0" w:firstLineChars="0"/>
              <w:jc w:val="center"/>
              <w:rPr>
                <w:rFonts w:ascii="宋体" w:hAnsi="宋体"/>
                <w:sz w:val="24"/>
                <w:szCs w:val="21"/>
              </w:rPr>
            </w:pPr>
            <w:r>
              <w:rPr>
                <w:rFonts w:hint="eastAsia" w:ascii="宋体" w:hAnsi="宋体"/>
                <w:sz w:val="24"/>
                <w:szCs w:val="21"/>
              </w:rPr>
              <w:t>5000</w:t>
            </w:r>
          </w:p>
        </w:tc>
        <w:tc>
          <w:tcPr>
            <w:tcW w:w="2027" w:type="pct"/>
            <w:vAlign w:val="center"/>
          </w:tcPr>
          <w:p>
            <w:pPr>
              <w:spacing w:line="240" w:lineRule="auto"/>
              <w:ind w:firstLine="0" w:firstLineChars="0"/>
              <w:jc w:val="center"/>
              <w:rPr>
                <w:rFonts w:ascii="宋体" w:hAnsi="宋体"/>
                <w:sz w:val="24"/>
                <w:szCs w:val="21"/>
              </w:rPr>
            </w:pPr>
            <w:r>
              <w:rPr>
                <w:rFonts w:hint="eastAsia" w:ascii="宋体" w:hAnsi="宋体"/>
                <w:sz w:val="24"/>
                <w:szCs w:val="21"/>
              </w:rPr>
              <w:t>S=1/5000=0.0002&lt;1</w:t>
            </w:r>
          </w:p>
        </w:tc>
        <w:tc>
          <w:tcPr>
            <w:tcW w:w="789" w:type="pct"/>
            <w:vAlign w:val="center"/>
          </w:tcPr>
          <w:p>
            <w:pPr>
              <w:spacing w:line="240" w:lineRule="auto"/>
              <w:ind w:firstLine="0" w:firstLineChars="0"/>
              <w:jc w:val="center"/>
              <w:rPr>
                <w:rFonts w:ascii="宋体" w:hAnsi="宋体"/>
                <w:sz w:val="24"/>
                <w:szCs w:val="21"/>
              </w:rPr>
            </w:pPr>
            <w:r>
              <w:rPr>
                <w:rFonts w:hint="eastAsia" w:ascii="宋体" w:hAnsi="宋体"/>
                <w:sz w:val="24"/>
                <w:szCs w:val="21"/>
              </w:rPr>
              <w:t>不构成重大危险源</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00" w:type="pct"/>
            <w:gridSpan w:val="6"/>
            <w:vAlign w:val="center"/>
          </w:tcPr>
          <w:p>
            <w:pPr>
              <w:tabs>
                <w:tab w:val="left" w:pos="1276"/>
              </w:tabs>
              <w:snapToGrid w:val="0"/>
              <w:spacing w:line="240" w:lineRule="auto"/>
              <w:ind w:firstLine="0" w:firstLineChars="0"/>
              <w:rPr>
                <w:rFonts w:ascii="宋体" w:hAnsi="宋体"/>
                <w:sz w:val="24"/>
                <w:szCs w:val="20"/>
              </w:rPr>
            </w:pPr>
            <w:r>
              <w:rPr>
                <w:rFonts w:hint="eastAsia" w:ascii="宋体" w:hAnsi="宋体"/>
                <w:sz w:val="24"/>
                <w:szCs w:val="20"/>
              </w:rPr>
              <w:t>注1：乙炔瓶的容积为40L，根据公式ma=0.20σV，可以计算出单个乙炔气瓶中最大乙炔量为ma=0.20×0.9×40=7.2kg（式中ma为最大乙炔量，σ为瓶内多孔填料孔隙率</w:t>
            </w:r>
            <w:r>
              <w:rPr>
                <w:rFonts w:hint="eastAsia" w:ascii="宋体" w:hAnsi="宋体"/>
                <w:sz w:val="24"/>
                <w:szCs w:val="20"/>
                <w:lang w:eastAsia="zh-CN"/>
              </w:rPr>
              <w:t>，</w:t>
            </w:r>
            <w:r>
              <w:rPr>
                <w:rFonts w:hint="eastAsia" w:ascii="宋体" w:hAnsi="宋体"/>
                <w:sz w:val="24"/>
                <w:szCs w:val="20"/>
                <w:lang w:val="en-US" w:eastAsia="zh-CN"/>
              </w:rPr>
              <w:t>取值90%</w:t>
            </w:r>
            <w:r>
              <w:rPr>
                <w:rFonts w:hint="eastAsia" w:ascii="宋体" w:hAnsi="宋体"/>
                <w:sz w:val="24"/>
                <w:szCs w:val="20"/>
              </w:rPr>
              <w:t>，V为瓶体实际水容积）。</w:t>
            </w:r>
          </w:p>
          <w:p>
            <w:pPr>
              <w:spacing w:line="240" w:lineRule="auto"/>
              <w:ind w:firstLine="0" w:firstLineChars="0"/>
              <w:rPr>
                <w:rFonts w:ascii="宋体" w:hAnsi="宋体"/>
                <w:sz w:val="24"/>
                <w:szCs w:val="21"/>
              </w:rPr>
            </w:pPr>
            <w:r>
              <w:rPr>
                <w:rFonts w:hint="eastAsia"/>
                <w:sz w:val="24"/>
                <w:szCs w:val="21"/>
              </w:rPr>
              <w:t>注2：氧气瓶的容积为40L，压力15M</w:t>
            </w:r>
            <w:r>
              <w:rPr>
                <w:sz w:val="24"/>
                <w:szCs w:val="21"/>
              </w:rPr>
              <w:t>p</w:t>
            </w:r>
            <w:r>
              <w:rPr>
                <w:rFonts w:hint="eastAsia"/>
                <w:sz w:val="24"/>
                <w:szCs w:val="21"/>
              </w:rPr>
              <w:t>a，参照理想气体状态方程，可以计算得出单个氧气气瓶中最大氧气量为m（</w:t>
            </w:r>
            <w:r>
              <w:rPr>
                <w:rFonts w:hint="eastAsia"/>
                <w:sz w:val="24"/>
                <w:szCs w:val="21"/>
                <w:lang w:val="en-US" w:eastAsia="zh-CN"/>
              </w:rPr>
              <w:t>O</w:t>
            </w:r>
            <w:r>
              <w:rPr>
                <w:rFonts w:hint="eastAsia"/>
                <w:sz w:val="24"/>
                <w:szCs w:val="21"/>
                <w:vertAlign w:val="subscript"/>
              </w:rPr>
              <w:t>2</w:t>
            </w:r>
            <w:r>
              <w:rPr>
                <w:rFonts w:hint="eastAsia"/>
                <w:sz w:val="24"/>
                <w:szCs w:val="21"/>
              </w:rPr>
              <w:t>）=8.5kg。</w:t>
            </w:r>
          </w:p>
        </w:tc>
      </w:tr>
    </w:tbl>
    <w:p>
      <w:pPr>
        <w:spacing w:line="360" w:lineRule="auto"/>
        <w:ind w:firstLine="560"/>
        <w:rPr>
          <w:rFonts w:ascii="宋体" w:hAnsi="宋体" w:cs="Arial"/>
          <w:szCs w:val="28"/>
          <w:lang w:val="zh-TW"/>
        </w:rPr>
      </w:pPr>
      <w:r>
        <w:rPr>
          <w:rFonts w:hint="eastAsia" w:ascii="宋体" w:hAnsi="宋体" w:cs="Arial"/>
          <w:szCs w:val="28"/>
          <w:lang w:val="zh-TW"/>
        </w:rPr>
        <w:t>辨识表明本企业生产单元和储存单元均不构成重大危险源。</w:t>
      </w:r>
      <w:bookmarkEnd w:id="217"/>
      <w:bookmarkEnd w:id="218"/>
      <w:bookmarkEnd w:id="219"/>
      <w:bookmarkEnd w:id="220"/>
      <w:bookmarkEnd w:id="221"/>
      <w:bookmarkEnd w:id="222"/>
    </w:p>
    <w:bookmarkEnd w:id="223"/>
    <w:p>
      <w:pPr>
        <w:pStyle w:val="5"/>
        <w:spacing w:before="156" w:after="156"/>
      </w:pPr>
      <w:bookmarkStart w:id="224" w:name="_Toc16360"/>
      <w:bookmarkStart w:id="225" w:name="_Toc500007153"/>
      <w:bookmarkStart w:id="226" w:name="_Toc498519813"/>
      <w:bookmarkStart w:id="227" w:name="_Toc498299343"/>
      <w:r>
        <w:rPr>
          <w:rFonts w:hint="eastAsia"/>
        </w:rPr>
        <w:t>项目危险源及危险和有害因素</w:t>
      </w:r>
      <w:bookmarkEnd w:id="224"/>
    </w:p>
    <w:p>
      <w:pPr>
        <w:ind w:firstLine="560"/>
        <w:rPr>
          <w:rFonts w:ascii="宋体" w:hAnsi="宋体" w:cs="宋体"/>
        </w:rPr>
      </w:pPr>
      <w:r>
        <w:rPr>
          <w:rFonts w:hint="eastAsia"/>
        </w:rPr>
        <w:t>通过对本项目生产过程、工艺、主要物料、周边环境中存在的危险和有害因素分析，结合项目工艺</w:t>
      </w:r>
      <w:r>
        <w:rPr>
          <w:rFonts w:hint="eastAsia"/>
          <w:lang w:eastAsia="zh-CN"/>
        </w:rPr>
        <w:t>特点</w:t>
      </w:r>
      <w:r>
        <w:rPr>
          <w:rFonts w:hint="eastAsia"/>
        </w:rPr>
        <w:t>可知本项目主要的危险、有害因素为：灼烫、其他爆炸、机械伤害、火灾、起重伤害、车辆伤害、触电、中毒窒息、有限空间；次要的危险、有害因素为：物体打击、高处坠落及其他危害（振动危害、粉尘危害、高温危害、噪声危害）等。其存在的主要作业场所等详见表3.8-1。</w:t>
      </w:r>
    </w:p>
    <w:p>
      <w:pPr>
        <w:pStyle w:val="14"/>
        <w:spacing w:before="156" w:after="156"/>
        <w:rPr>
          <w:rFonts w:ascii="宋体" w:hAnsi="宋体" w:cs="宋体"/>
          <w:szCs w:val="24"/>
        </w:rPr>
      </w:pPr>
      <w:r>
        <w:t xml:space="preserve">表 </w:t>
      </w:r>
      <w:r>
        <w:fldChar w:fldCharType="begin"/>
      </w:r>
      <w:r>
        <w:instrText xml:space="preserve"> STYLEREF 2 \s </w:instrText>
      </w:r>
      <w:r>
        <w:fldChar w:fldCharType="separate"/>
      </w:r>
      <w:r>
        <w:t>3.</w:t>
      </w:r>
      <w:r>
        <w:rPr>
          <w:rFonts w:hint="eastAsia"/>
        </w:rPr>
        <w:t>8</w:t>
      </w:r>
      <w:r>
        <w:rPr>
          <w:rFonts w:hint="eastAsia"/>
        </w:rPr>
        <w:fldChar w:fldCharType="end"/>
      </w:r>
      <w:r>
        <w:rPr>
          <w:rFonts w:hint="eastAsia"/>
        </w:rPr>
        <w:t>-</w:t>
      </w:r>
      <w:r>
        <w:fldChar w:fldCharType="begin"/>
      </w:r>
      <w:r>
        <w:instrText xml:space="preserve"> SEQ 表 \* ARABIC \s 2 </w:instrText>
      </w:r>
      <w:r>
        <w:fldChar w:fldCharType="separate"/>
      </w:r>
      <w:r>
        <w:t>1</w:t>
      </w:r>
      <w:r>
        <w:fldChar w:fldCharType="end"/>
      </w:r>
      <w:r>
        <w:rPr>
          <w:rFonts w:hint="eastAsia" w:ascii="宋体" w:hAnsi="宋体" w:cs="宋体"/>
          <w:szCs w:val="24"/>
        </w:rPr>
        <w:t>危险源及危险和有害因素存在的主要作业场所</w:t>
      </w:r>
    </w:p>
    <w:tbl>
      <w:tblPr>
        <w:tblStyle w:val="29"/>
        <w:tblW w:w="4998"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658"/>
        <w:gridCol w:w="1650"/>
        <w:gridCol w:w="2557"/>
        <w:gridCol w:w="2577"/>
        <w:gridCol w:w="107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386" w:type="pct"/>
            <w:vAlign w:val="center"/>
          </w:tcPr>
          <w:p>
            <w:pPr>
              <w:snapToGrid w:val="0"/>
              <w:spacing w:line="240" w:lineRule="auto"/>
              <w:ind w:firstLine="0" w:firstLineChars="0"/>
              <w:jc w:val="center"/>
              <w:rPr>
                <w:rFonts w:ascii="宋体" w:hAnsi="宋体" w:cs="宋体"/>
                <w:b/>
                <w:sz w:val="21"/>
                <w:szCs w:val="21"/>
              </w:rPr>
            </w:pPr>
            <w:r>
              <w:rPr>
                <w:rFonts w:hint="eastAsia" w:ascii="宋体" w:hAnsi="宋体" w:cs="宋体"/>
                <w:b/>
                <w:sz w:val="21"/>
                <w:szCs w:val="21"/>
              </w:rPr>
              <w:t>序号</w:t>
            </w:r>
          </w:p>
        </w:tc>
        <w:tc>
          <w:tcPr>
            <w:tcW w:w="968" w:type="pct"/>
            <w:vAlign w:val="center"/>
          </w:tcPr>
          <w:p>
            <w:pPr>
              <w:snapToGrid w:val="0"/>
              <w:spacing w:line="240" w:lineRule="auto"/>
              <w:ind w:firstLine="0" w:firstLineChars="0"/>
              <w:jc w:val="center"/>
              <w:rPr>
                <w:rFonts w:ascii="宋体" w:hAnsi="宋体" w:cs="宋体"/>
                <w:b/>
                <w:sz w:val="21"/>
                <w:szCs w:val="21"/>
              </w:rPr>
            </w:pPr>
            <w:r>
              <w:rPr>
                <w:rFonts w:hint="eastAsia" w:ascii="宋体" w:hAnsi="宋体" w:cs="宋体"/>
                <w:b/>
                <w:sz w:val="21"/>
                <w:szCs w:val="21"/>
              </w:rPr>
              <w:t>危险、有害因素</w:t>
            </w:r>
          </w:p>
        </w:tc>
        <w:tc>
          <w:tcPr>
            <w:tcW w:w="1500" w:type="pct"/>
            <w:vAlign w:val="center"/>
          </w:tcPr>
          <w:p>
            <w:pPr>
              <w:snapToGrid w:val="0"/>
              <w:spacing w:line="240" w:lineRule="auto"/>
              <w:ind w:firstLine="0" w:firstLineChars="0"/>
              <w:jc w:val="center"/>
              <w:rPr>
                <w:rFonts w:ascii="宋体" w:hAnsi="宋体" w:cs="宋体"/>
                <w:b/>
                <w:sz w:val="21"/>
                <w:szCs w:val="21"/>
              </w:rPr>
            </w:pPr>
            <w:r>
              <w:rPr>
                <w:rFonts w:hint="eastAsia" w:ascii="宋体" w:hAnsi="宋体" w:cs="宋体"/>
                <w:b/>
                <w:sz w:val="21"/>
                <w:szCs w:val="21"/>
              </w:rPr>
              <w:t>造成后果</w:t>
            </w:r>
          </w:p>
        </w:tc>
        <w:tc>
          <w:tcPr>
            <w:tcW w:w="1512" w:type="pct"/>
            <w:vAlign w:val="center"/>
          </w:tcPr>
          <w:p>
            <w:pPr>
              <w:snapToGrid w:val="0"/>
              <w:spacing w:line="240" w:lineRule="auto"/>
              <w:ind w:firstLine="0" w:firstLineChars="0"/>
              <w:jc w:val="center"/>
              <w:rPr>
                <w:rFonts w:ascii="宋体" w:hAnsi="宋体" w:cs="宋体"/>
                <w:b/>
                <w:sz w:val="21"/>
                <w:szCs w:val="21"/>
              </w:rPr>
            </w:pPr>
            <w:r>
              <w:rPr>
                <w:rFonts w:hint="eastAsia" w:ascii="宋体" w:hAnsi="宋体" w:cs="宋体"/>
                <w:b/>
                <w:sz w:val="21"/>
                <w:szCs w:val="21"/>
              </w:rPr>
              <w:t>主要作业场所</w:t>
            </w:r>
          </w:p>
        </w:tc>
        <w:tc>
          <w:tcPr>
            <w:tcW w:w="632" w:type="pct"/>
            <w:vAlign w:val="center"/>
          </w:tcPr>
          <w:p>
            <w:pPr>
              <w:widowControl/>
              <w:snapToGrid w:val="0"/>
              <w:spacing w:line="240" w:lineRule="auto"/>
              <w:ind w:firstLine="0" w:firstLineChars="0"/>
              <w:jc w:val="center"/>
              <w:rPr>
                <w:rFonts w:ascii="宋体" w:hAnsi="宋体" w:cs="宋体"/>
                <w:b/>
                <w:sz w:val="21"/>
                <w:szCs w:val="21"/>
              </w:rPr>
            </w:pPr>
            <w:r>
              <w:rPr>
                <w:rFonts w:hint="eastAsia" w:ascii="宋体" w:hAnsi="宋体" w:cs="宋体"/>
                <w:b/>
                <w:sz w:val="21"/>
                <w:szCs w:val="21"/>
              </w:rPr>
              <w:t>危险程度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6" w:type="pct"/>
            <w:vAlign w:val="center"/>
          </w:tcPr>
          <w:p>
            <w:pPr>
              <w:numPr>
                <w:ilvl w:val="0"/>
                <w:numId w:val="49"/>
              </w:numPr>
              <w:spacing w:line="240" w:lineRule="auto"/>
              <w:ind w:firstLineChars="0"/>
              <w:jc w:val="center"/>
              <w:rPr>
                <w:rFonts w:ascii="宋体" w:hAnsi="宋体" w:cs="宋体"/>
                <w:sz w:val="21"/>
                <w:szCs w:val="21"/>
              </w:rPr>
            </w:pPr>
          </w:p>
        </w:tc>
        <w:tc>
          <w:tcPr>
            <w:tcW w:w="968" w:type="pct"/>
            <w:vAlign w:val="center"/>
          </w:tcPr>
          <w:p>
            <w:pPr>
              <w:widowControl/>
              <w:spacing w:line="240" w:lineRule="auto"/>
              <w:ind w:firstLine="0" w:firstLineChars="0"/>
              <w:jc w:val="center"/>
              <w:rPr>
                <w:rFonts w:ascii="宋体" w:hAnsi="宋体" w:cs="宋体"/>
                <w:sz w:val="21"/>
                <w:szCs w:val="21"/>
              </w:rPr>
            </w:pPr>
            <w:r>
              <w:rPr>
                <w:rFonts w:hint="eastAsia" w:ascii="宋体" w:hAnsi="宋体" w:cs="宋体"/>
                <w:sz w:val="21"/>
                <w:szCs w:val="21"/>
              </w:rPr>
              <w:t>灼烫伤害</w:t>
            </w:r>
          </w:p>
        </w:tc>
        <w:tc>
          <w:tcPr>
            <w:tcW w:w="1500"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人员伤亡</w:t>
            </w:r>
          </w:p>
        </w:tc>
        <w:tc>
          <w:tcPr>
            <w:tcW w:w="1512" w:type="pct"/>
            <w:vAlign w:val="center"/>
          </w:tcPr>
          <w:p>
            <w:pPr>
              <w:widowControl/>
              <w:spacing w:line="240" w:lineRule="auto"/>
              <w:ind w:firstLine="0" w:firstLineChars="0"/>
              <w:jc w:val="center"/>
              <w:rPr>
                <w:rFonts w:ascii="宋体" w:hAnsi="宋体" w:cs="宋体"/>
                <w:sz w:val="21"/>
                <w:szCs w:val="21"/>
              </w:rPr>
            </w:pPr>
            <w:r>
              <w:rPr>
                <w:rFonts w:hint="eastAsia" w:ascii="宋体" w:hAnsi="宋体" w:cs="宋体"/>
                <w:sz w:val="21"/>
                <w:szCs w:val="21"/>
              </w:rPr>
              <w:t>铸造区、熔炼区</w:t>
            </w:r>
          </w:p>
        </w:tc>
        <w:tc>
          <w:tcPr>
            <w:tcW w:w="632" w:type="pct"/>
            <w:vMerge w:val="restart"/>
            <w:vAlign w:val="center"/>
          </w:tcPr>
          <w:p>
            <w:pPr>
              <w:widowControl/>
              <w:snapToGrid w:val="0"/>
              <w:spacing w:line="240" w:lineRule="auto"/>
              <w:ind w:firstLine="0" w:firstLineChars="0"/>
              <w:jc w:val="center"/>
              <w:rPr>
                <w:rFonts w:ascii="宋体" w:hAnsi="宋体" w:cs="宋体"/>
                <w:sz w:val="21"/>
                <w:szCs w:val="21"/>
              </w:rPr>
            </w:pPr>
            <w:r>
              <w:rPr>
                <w:rFonts w:hint="eastAsia" w:ascii="宋体" w:hAnsi="宋体" w:cs="宋体"/>
                <w:sz w:val="21"/>
                <w:szCs w:val="21"/>
              </w:rPr>
              <w:t>主要危险有害因素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6" w:type="pct"/>
            <w:vAlign w:val="center"/>
          </w:tcPr>
          <w:p>
            <w:pPr>
              <w:numPr>
                <w:ilvl w:val="0"/>
                <w:numId w:val="49"/>
              </w:numPr>
              <w:spacing w:line="240" w:lineRule="auto"/>
              <w:ind w:firstLineChars="0"/>
              <w:jc w:val="center"/>
              <w:rPr>
                <w:rFonts w:ascii="宋体" w:hAnsi="宋体" w:cs="宋体"/>
                <w:sz w:val="21"/>
                <w:szCs w:val="21"/>
              </w:rPr>
            </w:pPr>
          </w:p>
        </w:tc>
        <w:tc>
          <w:tcPr>
            <w:tcW w:w="968" w:type="pct"/>
            <w:vAlign w:val="center"/>
          </w:tcPr>
          <w:p>
            <w:pPr>
              <w:widowControl/>
              <w:spacing w:line="240" w:lineRule="auto"/>
              <w:ind w:firstLine="0" w:firstLineChars="0"/>
              <w:jc w:val="center"/>
              <w:rPr>
                <w:rFonts w:ascii="宋体" w:hAnsi="宋体" w:cs="宋体"/>
                <w:sz w:val="21"/>
                <w:szCs w:val="21"/>
              </w:rPr>
            </w:pPr>
            <w:r>
              <w:rPr>
                <w:rFonts w:hint="eastAsia" w:ascii="宋体" w:hAnsi="宋体" w:cs="宋体"/>
                <w:sz w:val="21"/>
                <w:szCs w:val="21"/>
              </w:rPr>
              <w:t>其他爆炸</w:t>
            </w:r>
          </w:p>
        </w:tc>
        <w:tc>
          <w:tcPr>
            <w:tcW w:w="1500"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人员伤亡、设备管道损坏、财产损失</w:t>
            </w:r>
          </w:p>
        </w:tc>
        <w:tc>
          <w:tcPr>
            <w:tcW w:w="1512" w:type="pct"/>
            <w:vAlign w:val="center"/>
          </w:tcPr>
          <w:p>
            <w:pPr>
              <w:widowControl/>
              <w:snapToGrid w:val="0"/>
              <w:spacing w:line="240" w:lineRule="auto"/>
              <w:ind w:firstLine="0" w:firstLineChars="0"/>
              <w:jc w:val="center"/>
              <w:rPr>
                <w:rFonts w:ascii="宋体" w:hAnsi="宋体" w:cs="宋体"/>
                <w:sz w:val="21"/>
                <w:szCs w:val="21"/>
              </w:rPr>
            </w:pPr>
            <w:r>
              <w:rPr>
                <w:rFonts w:hint="eastAsia" w:ascii="宋体" w:hAnsi="宋体" w:cs="宋体"/>
                <w:sz w:val="21"/>
                <w:szCs w:val="21"/>
              </w:rPr>
              <w:t>铸造区、喷涂作业区、空压机</w:t>
            </w:r>
          </w:p>
        </w:tc>
        <w:tc>
          <w:tcPr>
            <w:tcW w:w="632" w:type="pct"/>
            <w:vMerge w:val="continue"/>
            <w:vAlign w:val="center"/>
          </w:tcPr>
          <w:p>
            <w:pPr>
              <w:widowControl/>
              <w:snapToGrid w:val="0"/>
              <w:spacing w:line="240" w:lineRule="auto"/>
              <w:ind w:firstLine="0" w:firstLineChars="0"/>
              <w:jc w:val="center"/>
              <w:rPr>
                <w:rFonts w:ascii="宋体" w:hAnsi="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6" w:type="pct"/>
            <w:vAlign w:val="center"/>
          </w:tcPr>
          <w:p>
            <w:pPr>
              <w:numPr>
                <w:ilvl w:val="0"/>
                <w:numId w:val="49"/>
              </w:numPr>
              <w:spacing w:line="240" w:lineRule="auto"/>
              <w:ind w:firstLineChars="0"/>
              <w:jc w:val="center"/>
              <w:rPr>
                <w:rFonts w:ascii="宋体" w:hAnsi="宋体" w:cs="宋体"/>
                <w:sz w:val="21"/>
                <w:szCs w:val="21"/>
              </w:rPr>
            </w:pPr>
          </w:p>
        </w:tc>
        <w:tc>
          <w:tcPr>
            <w:tcW w:w="968" w:type="pct"/>
            <w:vAlign w:val="center"/>
          </w:tcPr>
          <w:p>
            <w:pPr>
              <w:widowControl/>
              <w:spacing w:line="240" w:lineRule="auto"/>
              <w:ind w:firstLine="0" w:firstLineChars="0"/>
              <w:jc w:val="center"/>
              <w:rPr>
                <w:rFonts w:ascii="宋体" w:hAnsi="宋体" w:cs="宋体"/>
                <w:sz w:val="21"/>
                <w:szCs w:val="21"/>
              </w:rPr>
            </w:pPr>
            <w:r>
              <w:rPr>
                <w:rFonts w:hint="eastAsia" w:ascii="宋体" w:hAnsi="宋体" w:cs="宋体"/>
                <w:sz w:val="21"/>
                <w:szCs w:val="21"/>
              </w:rPr>
              <w:t>机械伤害</w:t>
            </w:r>
          </w:p>
        </w:tc>
        <w:tc>
          <w:tcPr>
            <w:tcW w:w="1500" w:type="pct"/>
            <w:vAlign w:val="center"/>
          </w:tcPr>
          <w:p>
            <w:pPr>
              <w:snapToGrid w:val="0"/>
              <w:spacing w:line="240" w:lineRule="auto"/>
              <w:ind w:firstLine="0" w:firstLineChars="0"/>
              <w:jc w:val="center"/>
              <w:rPr>
                <w:rFonts w:ascii="宋体" w:hAnsi="宋体" w:cs="宋体"/>
                <w:sz w:val="21"/>
                <w:szCs w:val="21"/>
              </w:rPr>
            </w:pPr>
            <w:r>
              <w:rPr>
                <w:rFonts w:hint="eastAsia" w:ascii="宋体" w:hAnsi="宋体" w:cs="宋体"/>
                <w:sz w:val="21"/>
                <w:szCs w:val="21"/>
              </w:rPr>
              <w:t>人员伤亡</w:t>
            </w:r>
          </w:p>
        </w:tc>
        <w:tc>
          <w:tcPr>
            <w:tcW w:w="1512" w:type="pct"/>
            <w:vAlign w:val="center"/>
          </w:tcPr>
          <w:p>
            <w:pPr>
              <w:snapToGrid w:val="0"/>
              <w:spacing w:line="240" w:lineRule="auto"/>
              <w:ind w:firstLine="0" w:firstLineChars="0"/>
              <w:jc w:val="center"/>
              <w:rPr>
                <w:rFonts w:ascii="宋体" w:hAnsi="宋体" w:cs="宋体"/>
                <w:sz w:val="21"/>
                <w:szCs w:val="21"/>
              </w:rPr>
            </w:pPr>
            <w:r>
              <w:rPr>
                <w:rFonts w:hint="eastAsia" w:ascii="宋体" w:hAnsi="宋体" w:cs="宋体"/>
                <w:sz w:val="21"/>
                <w:szCs w:val="21"/>
              </w:rPr>
              <w:t>各类机床、风机、水泵等转动、传动设备所在场所</w:t>
            </w:r>
          </w:p>
        </w:tc>
        <w:tc>
          <w:tcPr>
            <w:tcW w:w="632" w:type="pct"/>
            <w:vMerge w:val="continue"/>
            <w:vAlign w:val="center"/>
          </w:tcPr>
          <w:p>
            <w:pPr>
              <w:widowControl/>
              <w:snapToGrid w:val="0"/>
              <w:spacing w:line="240" w:lineRule="auto"/>
              <w:ind w:firstLine="0" w:firstLineChars="0"/>
              <w:jc w:val="center"/>
              <w:rPr>
                <w:rFonts w:ascii="宋体" w:hAnsi="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6" w:type="pct"/>
            <w:vAlign w:val="center"/>
          </w:tcPr>
          <w:p>
            <w:pPr>
              <w:numPr>
                <w:ilvl w:val="0"/>
                <w:numId w:val="49"/>
              </w:numPr>
              <w:spacing w:line="240" w:lineRule="auto"/>
              <w:ind w:firstLineChars="0"/>
              <w:jc w:val="center"/>
              <w:rPr>
                <w:rFonts w:ascii="宋体" w:hAnsi="宋体" w:cs="宋体"/>
                <w:sz w:val="21"/>
                <w:szCs w:val="21"/>
              </w:rPr>
            </w:pPr>
          </w:p>
        </w:tc>
        <w:tc>
          <w:tcPr>
            <w:tcW w:w="968" w:type="pct"/>
            <w:vAlign w:val="center"/>
          </w:tcPr>
          <w:p>
            <w:pPr>
              <w:widowControl/>
              <w:spacing w:line="240" w:lineRule="auto"/>
              <w:ind w:firstLine="0" w:firstLineChars="0"/>
              <w:jc w:val="center"/>
              <w:rPr>
                <w:rFonts w:ascii="宋体" w:hAnsi="宋体" w:cs="宋体"/>
                <w:sz w:val="21"/>
                <w:szCs w:val="21"/>
              </w:rPr>
            </w:pPr>
            <w:r>
              <w:rPr>
                <w:rFonts w:hint="eastAsia" w:ascii="宋体" w:hAnsi="宋体" w:cs="宋体"/>
                <w:sz w:val="21"/>
                <w:szCs w:val="21"/>
              </w:rPr>
              <w:t>火灾</w:t>
            </w:r>
          </w:p>
        </w:tc>
        <w:tc>
          <w:tcPr>
            <w:tcW w:w="1500"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人员伤亡、设备损坏、财产损失</w:t>
            </w:r>
          </w:p>
        </w:tc>
        <w:tc>
          <w:tcPr>
            <w:tcW w:w="1512" w:type="pct"/>
            <w:vAlign w:val="center"/>
          </w:tcPr>
          <w:p>
            <w:pPr>
              <w:widowControl/>
              <w:snapToGrid w:val="0"/>
              <w:spacing w:line="240" w:lineRule="auto"/>
              <w:ind w:firstLine="0" w:firstLineChars="0"/>
              <w:jc w:val="center"/>
              <w:rPr>
                <w:rFonts w:ascii="宋体" w:hAnsi="宋体" w:cs="宋体"/>
                <w:sz w:val="21"/>
                <w:szCs w:val="21"/>
              </w:rPr>
            </w:pPr>
            <w:r>
              <w:rPr>
                <w:rFonts w:hint="eastAsia" w:ascii="宋体" w:hAnsi="宋体" w:cs="宋体"/>
                <w:sz w:val="21"/>
                <w:szCs w:val="21"/>
              </w:rPr>
              <w:t>生产厂房、仓库</w:t>
            </w:r>
          </w:p>
        </w:tc>
        <w:tc>
          <w:tcPr>
            <w:tcW w:w="632" w:type="pct"/>
            <w:vMerge w:val="continue"/>
            <w:vAlign w:val="center"/>
          </w:tcPr>
          <w:p>
            <w:pPr>
              <w:widowControl/>
              <w:snapToGrid w:val="0"/>
              <w:spacing w:line="240" w:lineRule="auto"/>
              <w:ind w:firstLine="0" w:firstLineChars="0"/>
              <w:jc w:val="center"/>
              <w:rPr>
                <w:rFonts w:ascii="宋体" w:hAnsi="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6" w:type="pct"/>
            <w:vAlign w:val="center"/>
          </w:tcPr>
          <w:p>
            <w:pPr>
              <w:numPr>
                <w:ilvl w:val="0"/>
                <w:numId w:val="49"/>
              </w:numPr>
              <w:spacing w:line="240" w:lineRule="auto"/>
              <w:ind w:firstLineChars="0"/>
              <w:jc w:val="center"/>
              <w:rPr>
                <w:rFonts w:ascii="宋体" w:hAnsi="宋体" w:cs="宋体"/>
                <w:sz w:val="21"/>
                <w:szCs w:val="21"/>
              </w:rPr>
            </w:pPr>
          </w:p>
        </w:tc>
        <w:tc>
          <w:tcPr>
            <w:tcW w:w="968" w:type="pct"/>
            <w:vAlign w:val="center"/>
          </w:tcPr>
          <w:p>
            <w:pPr>
              <w:widowControl/>
              <w:spacing w:line="240" w:lineRule="auto"/>
              <w:ind w:firstLine="0" w:firstLineChars="0"/>
              <w:jc w:val="center"/>
              <w:rPr>
                <w:rFonts w:ascii="宋体" w:hAnsi="宋体" w:cs="宋体"/>
                <w:sz w:val="21"/>
                <w:szCs w:val="21"/>
              </w:rPr>
            </w:pPr>
            <w:r>
              <w:rPr>
                <w:rFonts w:hint="eastAsia" w:ascii="宋体" w:hAnsi="宋体" w:cs="宋体"/>
                <w:sz w:val="21"/>
                <w:szCs w:val="21"/>
              </w:rPr>
              <w:t>起重伤害</w:t>
            </w:r>
          </w:p>
        </w:tc>
        <w:tc>
          <w:tcPr>
            <w:tcW w:w="1500" w:type="pct"/>
            <w:vAlign w:val="center"/>
          </w:tcPr>
          <w:p>
            <w:pPr>
              <w:snapToGrid w:val="0"/>
              <w:spacing w:line="240" w:lineRule="auto"/>
              <w:ind w:firstLine="0" w:firstLineChars="0"/>
              <w:jc w:val="center"/>
              <w:rPr>
                <w:rFonts w:ascii="宋体" w:hAnsi="宋体" w:cs="宋体"/>
                <w:sz w:val="21"/>
                <w:szCs w:val="21"/>
              </w:rPr>
            </w:pPr>
            <w:r>
              <w:rPr>
                <w:rFonts w:hint="eastAsia" w:ascii="宋体" w:hAnsi="宋体" w:cs="宋体"/>
                <w:sz w:val="21"/>
                <w:szCs w:val="21"/>
              </w:rPr>
              <w:t>人员伤亡、</w:t>
            </w:r>
          </w:p>
        </w:tc>
        <w:tc>
          <w:tcPr>
            <w:tcW w:w="1512" w:type="pct"/>
            <w:vAlign w:val="center"/>
          </w:tcPr>
          <w:p>
            <w:pPr>
              <w:widowControl/>
              <w:spacing w:line="240" w:lineRule="auto"/>
              <w:ind w:firstLine="0" w:firstLineChars="0"/>
              <w:jc w:val="center"/>
              <w:rPr>
                <w:rFonts w:ascii="宋体" w:hAnsi="宋体" w:cs="宋体"/>
                <w:sz w:val="21"/>
                <w:szCs w:val="21"/>
              </w:rPr>
            </w:pPr>
            <w:r>
              <w:rPr>
                <w:rFonts w:hint="eastAsia" w:ascii="宋体" w:hAnsi="宋体" w:cs="宋体"/>
                <w:sz w:val="21"/>
                <w:szCs w:val="21"/>
              </w:rPr>
              <w:t>铸造车间</w:t>
            </w:r>
          </w:p>
        </w:tc>
        <w:tc>
          <w:tcPr>
            <w:tcW w:w="632" w:type="pct"/>
            <w:vMerge w:val="continue"/>
            <w:vAlign w:val="center"/>
          </w:tcPr>
          <w:p>
            <w:pPr>
              <w:widowControl/>
              <w:snapToGrid w:val="0"/>
              <w:spacing w:line="240" w:lineRule="auto"/>
              <w:ind w:firstLine="0" w:firstLineChars="0"/>
              <w:jc w:val="center"/>
              <w:rPr>
                <w:rFonts w:ascii="宋体" w:hAnsi="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6" w:type="pct"/>
            <w:vAlign w:val="center"/>
          </w:tcPr>
          <w:p>
            <w:pPr>
              <w:numPr>
                <w:ilvl w:val="0"/>
                <w:numId w:val="49"/>
              </w:numPr>
              <w:snapToGrid w:val="0"/>
              <w:spacing w:line="240" w:lineRule="auto"/>
              <w:ind w:firstLineChars="0"/>
              <w:jc w:val="center"/>
              <w:rPr>
                <w:rFonts w:ascii="宋体" w:hAnsi="宋体" w:cs="宋体"/>
                <w:sz w:val="21"/>
                <w:szCs w:val="21"/>
              </w:rPr>
            </w:pPr>
          </w:p>
        </w:tc>
        <w:tc>
          <w:tcPr>
            <w:tcW w:w="968" w:type="pct"/>
            <w:vAlign w:val="center"/>
          </w:tcPr>
          <w:p>
            <w:pPr>
              <w:widowControl/>
              <w:spacing w:line="240" w:lineRule="auto"/>
              <w:ind w:firstLine="0" w:firstLineChars="0"/>
              <w:jc w:val="center"/>
              <w:rPr>
                <w:rFonts w:ascii="宋体" w:hAnsi="宋体" w:cs="宋体"/>
                <w:sz w:val="21"/>
                <w:szCs w:val="21"/>
              </w:rPr>
            </w:pPr>
            <w:r>
              <w:rPr>
                <w:rFonts w:hint="eastAsia" w:ascii="宋体" w:hAnsi="宋体" w:cs="宋体"/>
                <w:sz w:val="21"/>
                <w:szCs w:val="21"/>
              </w:rPr>
              <w:t>车辆伤害</w:t>
            </w:r>
          </w:p>
        </w:tc>
        <w:tc>
          <w:tcPr>
            <w:tcW w:w="1500" w:type="pct"/>
            <w:vAlign w:val="center"/>
          </w:tcPr>
          <w:p>
            <w:pPr>
              <w:snapToGrid w:val="0"/>
              <w:spacing w:line="240" w:lineRule="auto"/>
              <w:ind w:firstLine="0" w:firstLineChars="0"/>
              <w:jc w:val="center"/>
              <w:rPr>
                <w:rFonts w:ascii="宋体" w:hAnsi="宋体" w:cs="宋体"/>
                <w:sz w:val="21"/>
                <w:szCs w:val="21"/>
              </w:rPr>
            </w:pPr>
            <w:r>
              <w:rPr>
                <w:rFonts w:hint="eastAsia" w:ascii="宋体" w:hAnsi="宋体" w:cs="宋体"/>
                <w:sz w:val="21"/>
                <w:szCs w:val="21"/>
              </w:rPr>
              <w:t>人员伤亡、设备损坏</w:t>
            </w:r>
          </w:p>
        </w:tc>
        <w:tc>
          <w:tcPr>
            <w:tcW w:w="1512" w:type="pct"/>
            <w:vAlign w:val="center"/>
          </w:tcPr>
          <w:p>
            <w:pPr>
              <w:snapToGrid w:val="0"/>
              <w:spacing w:line="240" w:lineRule="auto"/>
              <w:ind w:firstLine="0" w:firstLineChars="0"/>
              <w:jc w:val="center"/>
              <w:rPr>
                <w:rFonts w:ascii="宋体" w:hAnsi="宋体" w:cs="宋体"/>
                <w:sz w:val="21"/>
                <w:szCs w:val="21"/>
              </w:rPr>
            </w:pPr>
            <w:r>
              <w:rPr>
                <w:rFonts w:hint="eastAsia" w:ascii="宋体" w:hAnsi="宋体" w:cs="宋体"/>
                <w:sz w:val="21"/>
                <w:szCs w:val="21"/>
              </w:rPr>
              <w:t>铸造车间</w:t>
            </w:r>
          </w:p>
        </w:tc>
        <w:tc>
          <w:tcPr>
            <w:tcW w:w="632" w:type="pct"/>
            <w:vMerge w:val="continue"/>
            <w:vAlign w:val="center"/>
          </w:tcPr>
          <w:p>
            <w:pPr>
              <w:widowControl/>
              <w:snapToGrid w:val="0"/>
              <w:spacing w:line="240" w:lineRule="auto"/>
              <w:ind w:firstLine="0" w:firstLineChars="0"/>
              <w:jc w:val="center"/>
              <w:rPr>
                <w:rFonts w:ascii="宋体" w:hAnsi="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6" w:type="pct"/>
            <w:vAlign w:val="center"/>
          </w:tcPr>
          <w:p>
            <w:pPr>
              <w:numPr>
                <w:ilvl w:val="0"/>
                <w:numId w:val="49"/>
              </w:numPr>
              <w:snapToGrid w:val="0"/>
              <w:spacing w:line="240" w:lineRule="auto"/>
              <w:ind w:firstLineChars="0"/>
              <w:jc w:val="center"/>
              <w:rPr>
                <w:rFonts w:ascii="宋体" w:hAnsi="宋体" w:cs="宋体"/>
                <w:sz w:val="21"/>
                <w:szCs w:val="21"/>
              </w:rPr>
            </w:pPr>
          </w:p>
        </w:tc>
        <w:tc>
          <w:tcPr>
            <w:tcW w:w="968" w:type="pct"/>
            <w:vAlign w:val="center"/>
          </w:tcPr>
          <w:p>
            <w:pPr>
              <w:widowControl/>
              <w:spacing w:line="240" w:lineRule="auto"/>
              <w:ind w:firstLine="0" w:firstLineChars="0"/>
              <w:jc w:val="center"/>
              <w:rPr>
                <w:rFonts w:ascii="宋体" w:hAnsi="宋体" w:cs="宋体"/>
                <w:sz w:val="21"/>
                <w:szCs w:val="21"/>
              </w:rPr>
            </w:pPr>
            <w:r>
              <w:rPr>
                <w:rFonts w:hint="eastAsia" w:ascii="宋体" w:hAnsi="宋体" w:cs="宋体"/>
                <w:sz w:val="21"/>
                <w:szCs w:val="21"/>
              </w:rPr>
              <w:t>触电</w:t>
            </w:r>
          </w:p>
        </w:tc>
        <w:tc>
          <w:tcPr>
            <w:tcW w:w="1500" w:type="pct"/>
            <w:vAlign w:val="center"/>
          </w:tcPr>
          <w:p>
            <w:pPr>
              <w:snapToGrid w:val="0"/>
              <w:spacing w:line="240" w:lineRule="auto"/>
              <w:ind w:firstLine="0" w:firstLineChars="0"/>
              <w:jc w:val="center"/>
              <w:rPr>
                <w:rFonts w:ascii="宋体" w:hAnsi="宋体" w:cs="宋体"/>
                <w:sz w:val="21"/>
                <w:szCs w:val="21"/>
              </w:rPr>
            </w:pPr>
            <w:r>
              <w:rPr>
                <w:rFonts w:hint="eastAsia" w:ascii="宋体" w:hAnsi="宋体" w:cs="宋体"/>
                <w:sz w:val="21"/>
                <w:szCs w:val="21"/>
              </w:rPr>
              <w:t>人员伤亡</w:t>
            </w:r>
          </w:p>
        </w:tc>
        <w:tc>
          <w:tcPr>
            <w:tcW w:w="1512" w:type="pct"/>
            <w:vAlign w:val="center"/>
          </w:tcPr>
          <w:p>
            <w:pPr>
              <w:snapToGrid w:val="0"/>
              <w:spacing w:line="240" w:lineRule="auto"/>
              <w:ind w:firstLine="0" w:firstLineChars="0"/>
              <w:jc w:val="center"/>
              <w:rPr>
                <w:rFonts w:ascii="宋体" w:hAnsi="宋体" w:cs="宋体"/>
                <w:sz w:val="21"/>
                <w:szCs w:val="21"/>
              </w:rPr>
            </w:pPr>
            <w:r>
              <w:rPr>
                <w:rFonts w:hint="eastAsia" w:ascii="宋体" w:hAnsi="宋体" w:cs="宋体"/>
                <w:sz w:val="21"/>
                <w:szCs w:val="21"/>
              </w:rPr>
              <w:t>厂区</w:t>
            </w:r>
          </w:p>
        </w:tc>
        <w:tc>
          <w:tcPr>
            <w:tcW w:w="632" w:type="pct"/>
            <w:vMerge w:val="continue"/>
            <w:vAlign w:val="center"/>
          </w:tcPr>
          <w:p>
            <w:pPr>
              <w:widowControl/>
              <w:snapToGrid w:val="0"/>
              <w:spacing w:line="240" w:lineRule="auto"/>
              <w:ind w:firstLine="0" w:firstLineChars="0"/>
              <w:jc w:val="center"/>
              <w:rPr>
                <w:rFonts w:ascii="宋体" w:hAnsi="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6" w:type="pct"/>
            <w:vAlign w:val="center"/>
          </w:tcPr>
          <w:p>
            <w:pPr>
              <w:numPr>
                <w:ilvl w:val="0"/>
                <w:numId w:val="49"/>
              </w:numPr>
              <w:snapToGrid w:val="0"/>
              <w:spacing w:line="240" w:lineRule="auto"/>
              <w:ind w:firstLineChars="0"/>
              <w:jc w:val="center"/>
              <w:rPr>
                <w:rFonts w:ascii="宋体" w:hAnsi="宋体" w:cs="宋体"/>
                <w:sz w:val="21"/>
                <w:szCs w:val="21"/>
              </w:rPr>
            </w:pPr>
          </w:p>
        </w:tc>
        <w:tc>
          <w:tcPr>
            <w:tcW w:w="968" w:type="pct"/>
            <w:vAlign w:val="center"/>
          </w:tcPr>
          <w:p>
            <w:pPr>
              <w:widowControl/>
              <w:spacing w:line="240" w:lineRule="auto"/>
              <w:ind w:firstLine="0" w:firstLineChars="0"/>
              <w:jc w:val="center"/>
              <w:rPr>
                <w:rFonts w:ascii="宋体" w:hAnsi="宋体" w:cs="宋体"/>
                <w:sz w:val="21"/>
                <w:szCs w:val="21"/>
              </w:rPr>
            </w:pPr>
            <w:r>
              <w:rPr>
                <w:rFonts w:hint="eastAsia" w:ascii="宋体" w:hAnsi="宋体" w:cs="宋体"/>
                <w:sz w:val="21"/>
                <w:szCs w:val="21"/>
              </w:rPr>
              <w:t>中毒窒息</w:t>
            </w:r>
          </w:p>
        </w:tc>
        <w:tc>
          <w:tcPr>
            <w:tcW w:w="1500"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lang w:eastAsia="zh-CN"/>
              </w:rPr>
              <w:t>人员伤亡</w:t>
            </w:r>
          </w:p>
        </w:tc>
        <w:tc>
          <w:tcPr>
            <w:tcW w:w="1512" w:type="pct"/>
            <w:vAlign w:val="center"/>
          </w:tcPr>
          <w:p>
            <w:pPr>
              <w:widowControl/>
              <w:spacing w:line="240" w:lineRule="auto"/>
              <w:ind w:firstLine="0" w:firstLineChars="0"/>
              <w:jc w:val="center"/>
              <w:rPr>
                <w:rFonts w:ascii="宋体" w:hAnsi="宋体" w:cs="宋体"/>
                <w:sz w:val="21"/>
                <w:szCs w:val="21"/>
              </w:rPr>
            </w:pPr>
            <w:r>
              <w:rPr>
                <w:rFonts w:hint="eastAsia" w:ascii="宋体" w:hAnsi="宋体" w:cs="宋体"/>
                <w:sz w:val="21"/>
                <w:szCs w:val="21"/>
              </w:rPr>
              <w:t>喷涂作业区、熔炼区域</w:t>
            </w:r>
          </w:p>
        </w:tc>
        <w:tc>
          <w:tcPr>
            <w:tcW w:w="632" w:type="pct"/>
            <w:vMerge w:val="continue"/>
            <w:vAlign w:val="center"/>
          </w:tcPr>
          <w:p>
            <w:pPr>
              <w:widowControl/>
              <w:snapToGrid w:val="0"/>
              <w:spacing w:line="240" w:lineRule="auto"/>
              <w:ind w:firstLine="0" w:firstLineChars="0"/>
              <w:jc w:val="center"/>
              <w:rPr>
                <w:rFonts w:ascii="宋体" w:hAnsi="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6" w:type="pct"/>
            <w:vAlign w:val="center"/>
          </w:tcPr>
          <w:p>
            <w:pPr>
              <w:numPr>
                <w:ilvl w:val="0"/>
                <w:numId w:val="49"/>
              </w:numPr>
              <w:snapToGrid w:val="0"/>
              <w:spacing w:line="240" w:lineRule="auto"/>
              <w:ind w:firstLineChars="0"/>
              <w:jc w:val="center"/>
              <w:rPr>
                <w:rFonts w:ascii="宋体" w:hAnsi="宋体" w:cs="宋体"/>
                <w:sz w:val="21"/>
                <w:szCs w:val="21"/>
              </w:rPr>
            </w:pPr>
          </w:p>
        </w:tc>
        <w:tc>
          <w:tcPr>
            <w:tcW w:w="968" w:type="pct"/>
            <w:vAlign w:val="center"/>
          </w:tcPr>
          <w:p>
            <w:pPr>
              <w:widowControl/>
              <w:spacing w:line="240" w:lineRule="auto"/>
              <w:ind w:firstLine="0" w:firstLineChars="0"/>
              <w:jc w:val="center"/>
              <w:rPr>
                <w:rFonts w:ascii="宋体" w:hAnsi="宋体" w:cs="宋体"/>
                <w:sz w:val="21"/>
                <w:szCs w:val="21"/>
              </w:rPr>
            </w:pPr>
            <w:r>
              <w:rPr>
                <w:rFonts w:hint="eastAsia" w:ascii="宋体" w:hAnsi="宋体" w:cs="宋体"/>
                <w:sz w:val="21"/>
                <w:szCs w:val="21"/>
              </w:rPr>
              <w:t>有限空间</w:t>
            </w:r>
          </w:p>
        </w:tc>
        <w:tc>
          <w:tcPr>
            <w:tcW w:w="1500" w:type="pct"/>
            <w:vAlign w:val="center"/>
          </w:tcPr>
          <w:p>
            <w:pPr>
              <w:snapToGrid w:val="0"/>
              <w:spacing w:line="240" w:lineRule="auto"/>
              <w:ind w:firstLine="0" w:firstLineChars="0"/>
              <w:jc w:val="center"/>
              <w:rPr>
                <w:rFonts w:ascii="宋体" w:hAnsi="宋体" w:cs="宋体"/>
                <w:sz w:val="21"/>
                <w:szCs w:val="21"/>
              </w:rPr>
            </w:pPr>
            <w:r>
              <w:rPr>
                <w:rFonts w:hint="eastAsia" w:ascii="宋体" w:hAnsi="宋体" w:cs="宋体"/>
                <w:sz w:val="21"/>
                <w:szCs w:val="21"/>
              </w:rPr>
              <w:t>人员伤亡</w:t>
            </w:r>
          </w:p>
        </w:tc>
        <w:tc>
          <w:tcPr>
            <w:tcW w:w="1512" w:type="pct"/>
            <w:vAlign w:val="center"/>
          </w:tcPr>
          <w:p>
            <w:pPr>
              <w:snapToGrid w:val="0"/>
              <w:spacing w:line="240" w:lineRule="auto"/>
              <w:ind w:firstLine="0" w:firstLineChars="0"/>
              <w:jc w:val="center"/>
              <w:rPr>
                <w:rFonts w:ascii="宋体" w:hAnsi="宋体" w:cs="宋体"/>
                <w:sz w:val="21"/>
                <w:szCs w:val="21"/>
              </w:rPr>
            </w:pPr>
            <w:r>
              <w:rPr>
                <w:rFonts w:hint="eastAsia" w:ascii="宋体" w:hAnsi="宋体" w:cs="宋体"/>
                <w:sz w:val="21"/>
                <w:szCs w:val="21"/>
              </w:rPr>
              <w:t>抛丸机、除尘器</w:t>
            </w:r>
          </w:p>
        </w:tc>
        <w:tc>
          <w:tcPr>
            <w:tcW w:w="632" w:type="pct"/>
            <w:vMerge w:val="continue"/>
            <w:vAlign w:val="center"/>
          </w:tcPr>
          <w:p>
            <w:pPr>
              <w:widowControl/>
              <w:snapToGrid w:val="0"/>
              <w:spacing w:line="240" w:lineRule="auto"/>
              <w:ind w:firstLine="0" w:firstLineChars="0"/>
              <w:jc w:val="center"/>
              <w:rPr>
                <w:rFonts w:ascii="宋体" w:hAnsi="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6" w:type="pct"/>
            <w:vAlign w:val="center"/>
          </w:tcPr>
          <w:p>
            <w:pPr>
              <w:numPr>
                <w:ilvl w:val="0"/>
                <w:numId w:val="49"/>
              </w:numPr>
              <w:spacing w:line="240" w:lineRule="auto"/>
              <w:ind w:firstLineChars="0"/>
              <w:jc w:val="center"/>
              <w:rPr>
                <w:rFonts w:ascii="宋体" w:hAnsi="宋体" w:cs="宋体"/>
                <w:sz w:val="21"/>
                <w:szCs w:val="21"/>
              </w:rPr>
            </w:pPr>
          </w:p>
        </w:tc>
        <w:tc>
          <w:tcPr>
            <w:tcW w:w="968" w:type="pct"/>
            <w:vAlign w:val="center"/>
          </w:tcPr>
          <w:p>
            <w:pPr>
              <w:widowControl/>
              <w:spacing w:line="240" w:lineRule="auto"/>
              <w:ind w:firstLine="0" w:firstLineChars="0"/>
              <w:jc w:val="center"/>
              <w:rPr>
                <w:rFonts w:ascii="宋体" w:hAnsi="宋体" w:cs="宋体"/>
                <w:sz w:val="21"/>
                <w:szCs w:val="21"/>
              </w:rPr>
            </w:pPr>
            <w:r>
              <w:rPr>
                <w:rFonts w:hint="eastAsia" w:ascii="宋体" w:hAnsi="宋体" w:cs="宋体"/>
                <w:sz w:val="21"/>
                <w:szCs w:val="21"/>
              </w:rPr>
              <w:t>容器爆炸</w:t>
            </w:r>
          </w:p>
        </w:tc>
        <w:tc>
          <w:tcPr>
            <w:tcW w:w="1500"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人员伤亡、设备损坏、财产损失</w:t>
            </w:r>
          </w:p>
        </w:tc>
        <w:tc>
          <w:tcPr>
            <w:tcW w:w="1512"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铸造车间</w:t>
            </w:r>
          </w:p>
        </w:tc>
        <w:tc>
          <w:tcPr>
            <w:tcW w:w="632" w:type="pct"/>
            <w:vMerge w:val="restart"/>
            <w:vAlign w:val="center"/>
          </w:tcPr>
          <w:p>
            <w:pPr>
              <w:snapToGrid w:val="0"/>
              <w:spacing w:line="240" w:lineRule="auto"/>
              <w:ind w:firstLine="0" w:firstLineChars="0"/>
              <w:jc w:val="center"/>
              <w:rPr>
                <w:rFonts w:ascii="宋体" w:hAnsi="宋体" w:cs="宋体"/>
                <w:sz w:val="21"/>
                <w:szCs w:val="21"/>
              </w:rPr>
            </w:pPr>
            <w:r>
              <w:rPr>
                <w:rFonts w:hint="eastAsia" w:ascii="宋体" w:hAnsi="宋体" w:cs="宋体"/>
                <w:sz w:val="21"/>
                <w:szCs w:val="21"/>
              </w:rPr>
              <w:t>次要危险有害因素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6" w:type="pct"/>
            <w:vAlign w:val="center"/>
          </w:tcPr>
          <w:p>
            <w:pPr>
              <w:numPr>
                <w:ilvl w:val="0"/>
                <w:numId w:val="49"/>
              </w:numPr>
              <w:spacing w:line="240" w:lineRule="auto"/>
              <w:ind w:firstLineChars="0"/>
              <w:jc w:val="center"/>
              <w:rPr>
                <w:rFonts w:ascii="宋体" w:hAnsi="宋体" w:cs="宋体"/>
                <w:sz w:val="21"/>
                <w:szCs w:val="21"/>
              </w:rPr>
            </w:pPr>
          </w:p>
        </w:tc>
        <w:tc>
          <w:tcPr>
            <w:tcW w:w="968" w:type="pct"/>
            <w:vAlign w:val="center"/>
          </w:tcPr>
          <w:p>
            <w:pPr>
              <w:widowControl/>
              <w:spacing w:line="240" w:lineRule="auto"/>
              <w:ind w:firstLine="0" w:firstLineChars="0"/>
              <w:jc w:val="center"/>
              <w:rPr>
                <w:rFonts w:ascii="宋体" w:hAnsi="宋体" w:cs="宋体"/>
                <w:sz w:val="21"/>
                <w:szCs w:val="21"/>
              </w:rPr>
            </w:pPr>
            <w:r>
              <w:rPr>
                <w:rFonts w:hint="eastAsia" w:ascii="宋体" w:hAnsi="宋体" w:cs="宋体"/>
                <w:sz w:val="21"/>
                <w:szCs w:val="21"/>
              </w:rPr>
              <w:t>物体打击</w:t>
            </w:r>
          </w:p>
        </w:tc>
        <w:tc>
          <w:tcPr>
            <w:tcW w:w="1500"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人员伤亡</w:t>
            </w:r>
          </w:p>
        </w:tc>
        <w:tc>
          <w:tcPr>
            <w:tcW w:w="1512" w:type="pct"/>
            <w:vAlign w:val="center"/>
          </w:tcPr>
          <w:p>
            <w:pPr>
              <w:widowControl/>
              <w:spacing w:line="240" w:lineRule="auto"/>
              <w:ind w:firstLine="0" w:firstLineChars="0"/>
              <w:jc w:val="center"/>
              <w:rPr>
                <w:rFonts w:ascii="宋体" w:hAnsi="宋体" w:cs="宋体"/>
                <w:sz w:val="21"/>
                <w:szCs w:val="21"/>
              </w:rPr>
            </w:pPr>
            <w:r>
              <w:rPr>
                <w:rFonts w:hint="eastAsia" w:ascii="宋体" w:hAnsi="宋体" w:cs="宋体"/>
                <w:sz w:val="21"/>
                <w:szCs w:val="21"/>
              </w:rPr>
              <w:t>机加工车间</w:t>
            </w:r>
          </w:p>
        </w:tc>
        <w:tc>
          <w:tcPr>
            <w:tcW w:w="632" w:type="pct"/>
            <w:vMerge w:val="continue"/>
            <w:vAlign w:val="center"/>
          </w:tcPr>
          <w:p>
            <w:pPr>
              <w:snapToGrid w:val="0"/>
              <w:spacing w:line="240" w:lineRule="auto"/>
              <w:ind w:firstLine="0" w:firstLineChars="0"/>
              <w:jc w:val="center"/>
              <w:rPr>
                <w:rFonts w:ascii="宋体" w:hAnsi="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6" w:type="pct"/>
            <w:vAlign w:val="center"/>
          </w:tcPr>
          <w:p>
            <w:pPr>
              <w:numPr>
                <w:ilvl w:val="0"/>
                <w:numId w:val="49"/>
              </w:numPr>
              <w:snapToGrid w:val="0"/>
              <w:spacing w:line="240" w:lineRule="auto"/>
              <w:ind w:firstLineChars="0"/>
              <w:jc w:val="center"/>
              <w:rPr>
                <w:rFonts w:ascii="宋体" w:hAnsi="宋体" w:cs="宋体"/>
                <w:sz w:val="21"/>
                <w:szCs w:val="21"/>
              </w:rPr>
            </w:pPr>
          </w:p>
        </w:tc>
        <w:tc>
          <w:tcPr>
            <w:tcW w:w="968" w:type="pct"/>
            <w:vAlign w:val="center"/>
          </w:tcPr>
          <w:p>
            <w:pPr>
              <w:widowControl/>
              <w:spacing w:line="240" w:lineRule="auto"/>
              <w:ind w:firstLine="0" w:firstLineChars="0"/>
              <w:jc w:val="center"/>
              <w:rPr>
                <w:rFonts w:ascii="宋体" w:hAnsi="宋体" w:cs="宋体"/>
                <w:sz w:val="21"/>
                <w:szCs w:val="21"/>
              </w:rPr>
            </w:pPr>
            <w:r>
              <w:rPr>
                <w:rFonts w:hint="eastAsia" w:ascii="宋体" w:hAnsi="宋体" w:cs="宋体"/>
                <w:sz w:val="21"/>
                <w:szCs w:val="21"/>
              </w:rPr>
              <w:t>高处坠落</w:t>
            </w:r>
          </w:p>
        </w:tc>
        <w:tc>
          <w:tcPr>
            <w:tcW w:w="1500" w:type="pct"/>
            <w:vAlign w:val="center"/>
          </w:tcPr>
          <w:p>
            <w:pPr>
              <w:snapToGrid w:val="0"/>
              <w:spacing w:line="240" w:lineRule="auto"/>
              <w:ind w:firstLine="0" w:firstLineChars="0"/>
              <w:jc w:val="center"/>
              <w:rPr>
                <w:rFonts w:ascii="宋体" w:hAnsi="宋体" w:cs="宋体"/>
                <w:sz w:val="21"/>
                <w:szCs w:val="21"/>
              </w:rPr>
            </w:pPr>
            <w:r>
              <w:rPr>
                <w:rFonts w:hint="eastAsia" w:ascii="宋体" w:hAnsi="宋体" w:cs="宋体"/>
                <w:sz w:val="21"/>
                <w:szCs w:val="21"/>
              </w:rPr>
              <w:t>人员伤亡</w:t>
            </w:r>
          </w:p>
        </w:tc>
        <w:tc>
          <w:tcPr>
            <w:tcW w:w="1512" w:type="pct"/>
            <w:vAlign w:val="center"/>
          </w:tcPr>
          <w:p>
            <w:pPr>
              <w:snapToGrid w:val="0"/>
              <w:spacing w:line="240" w:lineRule="auto"/>
              <w:ind w:firstLine="0" w:firstLineChars="0"/>
              <w:jc w:val="center"/>
              <w:rPr>
                <w:rFonts w:ascii="宋体" w:hAnsi="宋体" w:cs="宋体"/>
                <w:sz w:val="21"/>
                <w:szCs w:val="21"/>
              </w:rPr>
            </w:pPr>
            <w:r>
              <w:rPr>
                <w:rFonts w:hint="eastAsia" w:ascii="宋体" w:hAnsi="宋体" w:cs="宋体"/>
                <w:sz w:val="21"/>
                <w:szCs w:val="21"/>
              </w:rPr>
              <w:t>机加工车间</w:t>
            </w:r>
          </w:p>
        </w:tc>
        <w:tc>
          <w:tcPr>
            <w:tcW w:w="632" w:type="pct"/>
            <w:vMerge w:val="continue"/>
            <w:vAlign w:val="center"/>
          </w:tcPr>
          <w:p>
            <w:pPr>
              <w:widowControl/>
              <w:snapToGrid w:val="0"/>
              <w:spacing w:line="240" w:lineRule="auto"/>
              <w:ind w:firstLine="0" w:firstLineChars="0"/>
              <w:jc w:val="center"/>
              <w:rPr>
                <w:rFonts w:ascii="宋体" w:hAnsi="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6" w:type="pct"/>
            <w:vAlign w:val="center"/>
          </w:tcPr>
          <w:p>
            <w:pPr>
              <w:numPr>
                <w:ilvl w:val="0"/>
                <w:numId w:val="49"/>
              </w:numPr>
              <w:snapToGrid w:val="0"/>
              <w:spacing w:line="240" w:lineRule="auto"/>
              <w:ind w:firstLineChars="0"/>
              <w:jc w:val="center"/>
              <w:rPr>
                <w:rFonts w:ascii="宋体" w:hAnsi="宋体" w:cs="宋体"/>
                <w:sz w:val="21"/>
                <w:szCs w:val="21"/>
              </w:rPr>
            </w:pPr>
          </w:p>
        </w:tc>
        <w:tc>
          <w:tcPr>
            <w:tcW w:w="968" w:type="pct"/>
            <w:vAlign w:val="center"/>
          </w:tcPr>
          <w:p>
            <w:pPr>
              <w:widowControl/>
              <w:spacing w:line="240" w:lineRule="auto"/>
              <w:ind w:firstLine="0" w:firstLineChars="0"/>
              <w:jc w:val="center"/>
              <w:rPr>
                <w:rFonts w:ascii="宋体" w:hAnsi="宋体" w:cs="宋体"/>
                <w:sz w:val="21"/>
                <w:szCs w:val="21"/>
              </w:rPr>
            </w:pPr>
            <w:r>
              <w:rPr>
                <w:rFonts w:hint="eastAsia" w:ascii="宋体" w:hAnsi="宋体" w:cs="宋体"/>
                <w:sz w:val="21"/>
                <w:szCs w:val="21"/>
              </w:rPr>
              <w:t>其他伤害</w:t>
            </w:r>
          </w:p>
        </w:tc>
        <w:tc>
          <w:tcPr>
            <w:tcW w:w="1500" w:type="pct"/>
            <w:vAlign w:val="center"/>
          </w:tcPr>
          <w:p>
            <w:pPr>
              <w:snapToGrid w:val="0"/>
              <w:spacing w:line="240" w:lineRule="auto"/>
              <w:ind w:firstLine="0" w:firstLineChars="0"/>
              <w:jc w:val="center"/>
              <w:rPr>
                <w:rFonts w:ascii="宋体" w:hAnsi="宋体" w:cs="宋体"/>
                <w:sz w:val="21"/>
                <w:szCs w:val="21"/>
              </w:rPr>
            </w:pPr>
            <w:r>
              <w:rPr>
                <w:rFonts w:hint="eastAsia" w:ascii="宋体" w:hAnsi="宋体" w:cs="宋体"/>
                <w:sz w:val="21"/>
                <w:szCs w:val="21"/>
              </w:rPr>
              <w:t>人员伤亡</w:t>
            </w:r>
          </w:p>
        </w:tc>
        <w:tc>
          <w:tcPr>
            <w:tcW w:w="1512" w:type="pct"/>
            <w:vAlign w:val="center"/>
          </w:tcPr>
          <w:p>
            <w:pPr>
              <w:snapToGrid w:val="0"/>
              <w:spacing w:line="240" w:lineRule="auto"/>
              <w:ind w:firstLine="0" w:firstLineChars="0"/>
              <w:jc w:val="center"/>
              <w:rPr>
                <w:rFonts w:ascii="宋体" w:hAnsi="宋体" w:cs="宋体"/>
                <w:sz w:val="21"/>
                <w:szCs w:val="21"/>
              </w:rPr>
            </w:pPr>
            <w:r>
              <w:rPr>
                <w:rFonts w:hint="eastAsia" w:ascii="宋体" w:hAnsi="宋体" w:cs="宋体"/>
                <w:sz w:val="21"/>
                <w:szCs w:val="21"/>
              </w:rPr>
              <w:t>铸造车间</w:t>
            </w:r>
          </w:p>
        </w:tc>
        <w:tc>
          <w:tcPr>
            <w:tcW w:w="632" w:type="pct"/>
            <w:vMerge w:val="continue"/>
            <w:vAlign w:val="center"/>
          </w:tcPr>
          <w:p>
            <w:pPr>
              <w:widowControl/>
              <w:snapToGrid w:val="0"/>
              <w:spacing w:line="240" w:lineRule="auto"/>
              <w:ind w:firstLine="0" w:firstLineChars="0"/>
              <w:jc w:val="center"/>
              <w:rPr>
                <w:rFonts w:ascii="宋体" w:hAnsi="宋体" w:cs="宋体"/>
                <w:sz w:val="21"/>
                <w:szCs w:val="21"/>
              </w:rPr>
            </w:pPr>
          </w:p>
        </w:tc>
      </w:tr>
    </w:tbl>
    <w:p>
      <w:pPr>
        <w:ind w:firstLine="560"/>
        <w:sectPr>
          <w:footerReference r:id="rId14" w:type="default"/>
          <w:pgSz w:w="11906" w:h="16838"/>
          <w:pgMar w:top="1440" w:right="1800" w:bottom="1440" w:left="1800" w:header="851" w:footer="992" w:gutter="0"/>
          <w:cols w:space="425" w:num="1"/>
          <w:docGrid w:type="lines" w:linePitch="312" w:charSpace="0"/>
        </w:sectPr>
      </w:pPr>
    </w:p>
    <w:p>
      <w:pPr>
        <w:pStyle w:val="4"/>
        <w:spacing w:before="312" w:after="312"/>
      </w:pPr>
      <w:bookmarkStart w:id="228" w:name="_Toc8105"/>
      <w:r>
        <w:t>评价单元划分及评价方法选择</w:t>
      </w:r>
      <w:bookmarkEnd w:id="225"/>
      <w:bookmarkEnd w:id="226"/>
      <w:bookmarkEnd w:id="227"/>
      <w:bookmarkEnd w:id="228"/>
    </w:p>
    <w:p>
      <w:pPr>
        <w:pStyle w:val="5"/>
        <w:spacing w:before="156" w:after="156"/>
      </w:pPr>
      <w:bookmarkStart w:id="229" w:name="_Toc498299344"/>
      <w:bookmarkStart w:id="230" w:name="_Toc500007154"/>
      <w:bookmarkStart w:id="231" w:name="_Toc498519814"/>
      <w:bookmarkStart w:id="232" w:name="_Toc22676"/>
      <w:r>
        <w:t>评价单元划分</w:t>
      </w:r>
      <w:bookmarkEnd w:id="229"/>
      <w:bookmarkEnd w:id="230"/>
      <w:bookmarkEnd w:id="231"/>
      <w:bookmarkEnd w:id="232"/>
    </w:p>
    <w:p>
      <w:pPr>
        <w:pStyle w:val="6"/>
        <w:spacing w:before="156" w:after="156"/>
      </w:pPr>
      <w:bookmarkStart w:id="233" w:name="_Toc498299345"/>
      <w:bookmarkStart w:id="234" w:name="_Toc498519815"/>
      <w:bookmarkStart w:id="235" w:name="_Toc500007155"/>
      <w:bookmarkStart w:id="236" w:name="_Toc29883"/>
      <w:r>
        <w:t>评价单元划分原则</w:t>
      </w:r>
      <w:bookmarkEnd w:id="233"/>
      <w:bookmarkEnd w:id="234"/>
      <w:bookmarkEnd w:id="235"/>
      <w:bookmarkEnd w:id="236"/>
    </w:p>
    <w:p>
      <w:pPr>
        <w:ind w:firstLine="560"/>
      </w:pPr>
      <w:r>
        <w:t>根据常用的评价单元划分原则和方法，划分评价单元应科学、合理、方便，应考虑以下原则：</w:t>
      </w:r>
    </w:p>
    <w:p>
      <w:pPr>
        <w:ind w:firstLine="560"/>
      </w:pPr>
      <w:r>
        <w:t>（1）考虑外部条件：地理、气象、水文地质条件、周边环境、交通状况、居民分布等；</w:t>
      </w:r>
    </w:p>
    <w:p>
      <w:pPr>
        <w:ind w:firstLine="560"/>
      </w:pPr>
      <w:r>
        <w:t>（2）考虑自身条件：危险物质及物料、工艺流程、设备设施相对位置、作业人员分布情况等；</w:t>
      </w:r>
    </w:p>
    <w:p>
      <w:pPr>
        <w:ind w:firstLine="560"/>
      </w:pPr>
      <w:r>
        <w:t>（3）符合安全状况：危险有害因素类别，发生事故的可能性、事故严重程度与影响范围；</w:t>
      </w:r>
    </w:p>
    <w:p>
      <w:pPr>
        <w:ind w:firstLine="560"/>
      </w:pPr>
      <w:r>
        <w:t>（4）便于评价实施：评价单元应相对独立，具有明显的特征界限。</w:t>
      </w:r>
    </w:p>
    <w:p>
      <w:pPr>
        <w:pStyle w:val="6"/>
        <w:spacing w:before="156" w:after="156"/>
      </w:pPr>
      <w:bookmarkStart w:id="237" w:name="_Toc498299346"/>
      <w:bookmarkStart w:id="238" w:name="_Toc498519816"/>
      <w:bookmarkStart w:id="239" w:name="_Toc500007156"/>
      <w:bookmarkStart w:id="240" w:name="_Toc7486"/>
      <w:r>
        <w:t>评价单元划分过程与结果</w:t>
      </w:r>
      <w:bookmarkEnd w:id="237"/>
      <w:bookmarkEnd w:id="238"/>
      <w:bookmarkEnd w:id="239"/>
      <w:bookmarkEnd w:id="240"/>
    </w:p>
    <w:p>
      <w:pPr>
        <w:ind w:firstLine="560"/>
        <w:jc w:val="both"/>
      </w:pPr>
      <w:r>
        <w:rPr>
          <w:rFonts w:hint="eastAsia"/>
        </w:rPr>
        <w:t>本次</w:t>
      </w:r>
      <w:r>
        <w:t>验收评价根据项目工艺技术特点和总体布局的实际情况，划分为以下评价单元</w:t>
      </w:r>
      <w:r>
        <w:rPr>
          <w:rFonts w:hint="eastAsia"/>
        </w:rPr>
        <w:t>进行评价：</w:t>
      </w:r>
    </w:p>
    <w:p>
      <w:pPr>
        <w:numPr>
          <w:ilvl w:val="0"/>
          <w:numId w:val="50"/>
        </w:numPr>
        <w:ind w:firstLine="560"/>
      </w:pPr>
      <w:bookmarkStart w:id="241" w:name="_Hlk498508512"/>
      <w:r>
        <w:rPr>
          <w:rFonts w:hint="eastAsia"/>
        </w:rPr>
        <w:t>法律法规</w:t>
      </w:r>
      <w:r>
        <w:t>符合性；</w:t>
      </w:r>
    </w:p>
    <w:p>
      <w:pPr>
        <w:numPr>
          <w:ilvl w:val="0"/>
          <w:numId w:val="50"/>
        </w:numPr>
        <w:ind w:firstLine="560"/>
      </w:pPr>
      <w:r>
        <w:t>选址</w:t>
      </w:r>
      <w:r>
        <w:rPr>
          <w:rFonts w:hint="eastAsia"/>
        </w:rPr>
        <w:t>及总图布置</w:t>
      </w:r>
      <w:r>
        <w:t>单元；</w:t>
      </w:r>
    </w:p>
    <w:p>
      <w:pPr>
        <w:numPr>
          <w:ilvl w:val="0"/>
          <w:numId w:val="50"/>
        </w:numPr>
        <w:ind w:firstLine="560"/>
      </w:pPr>
      <w:r>
        <w:rPr>
          <w:rFonts w:hint="eastAsia"/>
        </w:rPr>
        <w:t>建筑及工艺布置单元；</w:t>
      </w:r>
    </w:p>
    <w:p>
      <w:pPr>
        <w:numPr>
          <w:ilvl w:val="0"/>
          <w:numId w:val="50"/>
        </w:numPr>
        <w:ind w:firstLine="560"/>
      </w:pPr>
      <w:r>
        <w:t>物料、产品安全性</w:t>
      </w:r>
      <w:r>
        <w:rPr>
          <w:rFonts w:hint="eastAsia"/>
        </w:rPr>
        <w:t>单元</w:t>
      </w:r>
      <w:r>
        <w:t>；</w:t>
      </w:r>
    </w:p>
    <w:p>
      <w:pPr>
        <w:numPr>
          <w:ilvl w:val="0"/>
          <w:numId w:val="50"/>
        </w:numPr>
        <w:ind w:firstLine="560"/>
      </w:pPr>
      <w:r>
        <w:rPr>
          <w:rFonts w:hint="eastAsia"/>
        </w:rPr>
        <w:t>生产工艺系统、装置、设施、设备单元</w:t>
      </w:r>
      <w:r>
        <w:t>；</w:t>
      </w:r>
    </w:p>
    <w:p>
      <w:pPr>
        <w:numPr>
          <w:ilvl w:val="0"/>
          <w:numId w:val="50"/>
        </w:numPr>
        <w:ind w:firstLine="560"/>
      </w:pPr>
      <w:r>
        <w:t>公用</w:t>
      </w:r>
      <w:r>
        <w:rPr>
          <w:rFonts w:hint="eastAsia"/>
        </w:rPr>
        <w:t>工程</w:t>
      </w:r>
      <w:r>
        <w:t>和辅助设备设施</w:t>
      </w:r>
      <w:r>
        <w:rPr>
          <w:rFonts w:hint="eastAsia"/>
        </w:rPr>
        <w:t>单元</w:t>
      </w:r>
      <w:r>
        <w:t>；</w:t>
      </w:r>
    </w:p>
    <w:p>
      <w:pPr>
        <w:numPr>
          <w:ilvl w:val="0"/>
          <w:numId w:val="50"/>
        </w:numPr>
        <w:ind w:firstLine="560"/>
      </w:pPr>
      <w:r>
        <w:t>特种设备</w:t>
      </w:r>
      <w:r>
        <w:rPr>
          <w:rFonts w:hint="eastAsia"/>
        </w:rPr>
        <w:t>设施</w:t>
      </w:r>
      <w:r>
        <w:t>及强制检测设备设施单元；</w:t>
      </w:r>
    </w:p>
    <w:p>
      <w:pPr>
        <w:numPr>
          <w:ilvl w:val="0"/>
          <w:numId w:val="50"/>
        </w:numPr>
        <w:ind w:firstLine="560"/>
      </w:pPr>
      <w:r>
        <w:rPr>
          <w:rFonts w:hint="eastAsia"/>
        </w:rPr>
        <w:t>周边环境适宜性评价单元</w:t>
      </w:r>
      <w:r>
        <w:t>；</w:t>
      </w:r>
    </w:p>
    <w:p>
      <w:pPr>
        <w:numPr>
          <w:ilvl w:val="0"/>
          <w:numId w:val="50"/>
        </w:numPr>
        <w:ind w:firstLine="560"/>
      </w:pPr>
      <w:r>
        <w:t>安全管理及应急救援单元；</w:t>
      </w:r>
    </w:p>
    <w:p>
      <w:pPr>
        <w:numPr>
          <w:ilvl w:val="0"/>
          <w:numId w:val="50"/>
        </w:numPr>
        <w:ind w:firstLine="560"/>
      </w:pPr>
      <w:r>
        <w:t>其</w:t>
      </w:r>
      <w:r>
        <w:rPr>
          <w:rFonts w:hint="eastAsia"/>
        </w:rPr>
        <w:t>他</w:t>
      </w:r>
      <w:r>
        <w:t>安全设施单元。</w:t>
      </w:r>
    </w:p>
    <w:bookmarkEnd w:id="241"/>
    <w:p>
      <w:pPr>
        <w:pStyle w:val="5"/>
        <w:spacing w:before="156" w:after="156"/>
      </w:pPr>
      <w:bookmarkStart w:id="242" w:name="_Toc500007157"/>
      <w:bookmarkStart w:id="243" w:name="_Toc498299347"/>
      <w:bookmarkStart w:id="244" w:name="_Toc498519817"/>
      <w:bookmarkStart w:id="245" w:name="_Toc30660"/>
      <w:r>
        <w:t>评价方法确定</w:t>
      </w:r>
      <w:bookmarkEnd w:id="242"/>
      <w:bookmarkEnd w:id="243"/>
      <w:bookmarkEnd w:id="244"/>
      <w:bookmarkEnd w:id="245"/>
    </w:p>
    <w:p>
      <w:pPr>
        <w:ind w:firstLine="560"/>
      </w:pPr>
      <w:r>
        <w:rPr>
          <w:rFonts w:hint="eastAsia"/>
        </w:rPr>
        <w:t>根据评价方法选取应遵循充分性、适应性、系统性、针对性和合理性的原则，</w:t>
      </w:r>
      <w:r>
        <w:t>结合</w:t>
      </w:r>
      <w:r>
        <w:rPr>
          <w:rFonts w:hint="eastAsia"/>
        </w:rPr>
        <w:t>该建设项目</w:t>
      </w:r>
      <w:r>
        <w:t>的特点，本报告选用</w:t>
      </w:r>
      <w:r>
        <w:rPr>
          <w:rFonts w:hint="eastAsia"/>
        </w:rPr>
        <w:t>安全检查表分析法</w:t>
      </w:r>
      <w:r>
        <w:t>（S</w:t>
      </w:r>
      <w:r>
        <w:rPr>
          <w:rFonts w:hint="eastAsia"/>
        </w:rPr>
        <w:t>afety Checklist Analysis,SCA</w:t>
      </w:r>
      <w:r>
        <w:t>）对</w:t>
      </w:r>
      <w:r>
        <w:rPr>
          <w:rFonts w:hint="eastAsia"/>
        </w:rPr>
        <w:t>该项目</w:t>
      </w:r>
      <w:r>
        <w:t>危险、有害因素及危险、有害程度进行分析评价。</w:t>
      </w:r>
      <w:r>
        <w:rPr>
          <w:rFonts w:hint="eastAsia"/>
        </w:rPr>
        <w:t>各单元选用评价方法如下表：</w:t>
      </w:r>
    </w:p>
    <w:p>
      <w:pPr>
        <w:pStyle w:val="14"/>
        <w:spacing w:before="156" w:after="156"/>
      </w:pPr>
      <w:r>
        <w:t xml:space="preserve">图 </w:t>
      </w:r>
      <w:r>
        <w:fldChar w:fldCharType="begin"/>
      </w:r>
      <w:r>
        <w:instrText xml:space="preserve"> STYLEREF 2 \s </w:instrText>
      </w:r>
      <w:r>
        <w:fldChar w:fldCharType="separate"/>
      </w:r>
      <w:r>
        <w:t>4.2</w:t>
      </w:r>
      <w:r>
        <w:fldChar w:fldCharType="end"/>
      </w:r>
      <w:r>
        <w:rPr>
          <w:rFonts w:hint="eastAsia"/>
        </w:rPr>
        <w:t>-</w:t>
      </w:r>
      <w:r>
        <w:fldChar w:fldCharType="begin"/>
      </w:r>
      <w:r>
        <w:instrText xml:space="preserve"> SEQ 图 \* ARABIC \s 2 </w:instrText>
      </w:r>
      <w:r>
        <w:fldChar w:fldCharType="separate"/>
      </w:r>
      <w:r>
        <w:t>1</w:t>
      </w:r>
      <w:r>
        <w:fldChar w:fldCharType="end"/>
      </w:r>
      <w:r>
        <w:rPr>
          <w:rFonts w:hint="eastAsia"/>
        </w:rPr>
        <w:t>各单元选择安全评价方法</w:t>
      </w:r>
    </w:p>
    <w:tbl>
      <w:tblPr>
        <w:tblStyle w:val="30"/>
        <w:tblW w:w="4998"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004"/>
        <w:gridCol w:w="1871"/>
        <w:gridCol w:w="2919"/>
        <w:gridCol w:w="272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589" w:type="pct"/>
            <w:vAlign w:val="center"/>
          </w:tcPr>
          <w:p>
            <w:pPr>
              <w:pStyle w:val="2"/>
              <w:spacing w:after="0" w:line="240" w:lineRule="auto"/>
              <w:ind w:firstLine="0" w:firstLineChars="0"/>
              <w:jc w:val="center"/>
              <w:rPr>
                <w:sz w:val="24"/>
                <w:szCs w:val="24"/>
              </w:rPr>
            </w:pPr>
            <w:r>
              <w:rPr>
                <w:sz w:val="24"/>
                <w:szCs w:val="24"/>
              </w:rPr>
              <w:t>序号</w:t>
            </w:r>
          </w:p>
        </w:tc>
        <w:tc>
          <w:tcPr>
            <w:tcW w:w="1098" w:type="pct"/>
            <w:vAlign w:val="center"/>
          </w:tcPr>
          <w:p>
            <w:pPr>
              <w:pStyle w:val="2"/>
              <w:spacing w:after="0" w:line="240" w:lineRule="auto"/>
              <w:ind w:firstLine="0" w:firstLineChars="0"/>
              <w:jc w:val="center"/>
              <w:rPr>
                <w:sz w:val="24"/>
                <w:szCs w:val="24"/>
              </w:rPr>
            </w:pPr>
            <w:r>
              <w:rPr>
                <w:sz w:val="24"/>
                <w:szCs w:val="24"/>
              </w:rPr>
              <w:t>评价单元</w:t>
            </w:r>
          </w:p>
        </w:tc>
        <w:tc>
          <w:tcPr>
            <w:tcW w:w="1713" w:type="pct"/>
            <w:vAlign w:val="center"/>
          </w:tcPr>
          <w:p>
            <w:pPr>
              <w:pStyle w:val="2"/>
              <w:spacing w:after="0" w:line="240" w:lineRule="auto"/>
              <w:ind w:firstLine="0" w:firstLineChars="0"/>
              <w:jc w:val="center"/>
              <w:rPr>
                <w:sz w:val="24"/>
                <w:szCs w:val="24"/>
              </w:rPr>
            </w:pPr>
            <w:r>
              <w:rPr>
                <w:sz w:val="24"/>
                <w:szCs w:val="24"/>
              </w:rPr>
              <w:t>评价单元的主要对象</w:t>
            </w:r>
          </w:p>
        </w:tc>
        <w:tc>
          <w:tcPr>
            <w:tcW w:w="1599" w:type="pct"/>
            <w:vAlign w:val="center"/>
          </w:tcPr>
          <w:p>
            <w:pPr>
              <w:pStyle w:val="2"/>
              <w:spacing w:after="0" w:line="240" w:lineRule="auto"/>
              <w:ind w:firstLine="0" w:firstLineChars="0"/>
              <w:jc w:val="center"/>
              <w:rPr>
                <w:sz w:val="24"/>
                <w:szCs w:val="24"/>
              </w:rPr>
            </w:pPr>
            <w:r>
              <w:rPr>
                <w:sz w:val="24"/>
                <w:szCs w:val="24"/>
              </w:rPr>
              <w:t>采用的评价方</w:t>
            </w:r>
            <w:r>
              <w:rPr>
                <w:rFonts w:hint="eastAsia"/>
                <w:sz w:val="24"/>
                <w:szCs w:val="24"/>
              </w:rPr>
              <w:t>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32" w:hRule="atLeast"/>
        </w:trPr>
        <w:tc>
          <w:tcPr>
            <w:tcW w:w="589" w:type="pct"/>
            <w:vMerge w:val="restart"/>
            <w:vAlign w:val="center"/>
          </w:tcPr>
          <w:p>
            <w:pPr>
              <w:pStyle w:val="2"/>
              <w:numPr>
                <w:ilvl w:val="0"/>
                <w:numId w:val="51"/>
              </w:numPr>
              <w:tabs>
                <w:tab w:val="left" w:pos="397"/>
                <w:tab w:val="clear" w:pos="0"/>
              </w:tabs>
              <w:spacing w:after="0" w:line="240" w:lineRule="auto"/>
              <w:ind w:firstLine="0" w:firstLineChars="0"/>
              <w:jc w:val="center"/>
              <w:rPr>
                <w:sz w:val="24"/>
                <w:szCs w:val="24"/>
              </w:rPr>
            </w:pPr>
          </w:p>
        </w:tc>
        <w:tc>
          <w:tcPr>
            <w:tcW w:w="1098" w:type="pct"/>
            <w:vMerge w:val="restart"/>
            <w:vAlign w:val="center"/>
          </w:tcPr>
          <w:p>
            <w:pPr>
              <w:pStyle w:val="2"/>
              <w:spacing w:after="0" w:line="240" w:lineRule="auto"/>
              <w:ind w:firstLine="0" w:firstLineChars="0"/>
              <w:jc w:val="center"/>
              <w:rPr>
                <w:sz w:val="24"/>
                <w:szCs w:val="24"/>
              </w:rPr>
            </w:pPr>
            <w:r>
              <w:rPr>
                <w:rFonts w:hint="eastAsia"/>
                <w:sz w:val="24"/>
                <w:szCs w:val="24"/>
              </w:rPr>
              <w:t>法律法规</w:t>
            </w:r>
            <w:r>
              <w:rPr>
                <w:sz w:val="24"/>
                <w:szCs w:val="24"/>
              </w:rPr>
              <w:t>符合性</w:t>
            </w:r>
          </w:p>
        </w:tc>
        <w:tc>
          <w:tcPr>
            <w:tcW w:w="1713" w:type="pct"/>
            <w:vAlign w:val="center"/>
          </w:tcPr>
          <w:p>
            <w:pPr>
              <w:pStyle w:val="2"/>
              <w:spacing w:after="0" w:line="240" w:lineRule="auto"/>
              <w:ind w:firstLine="0" w:firstLineChars="0"/>
              <w:jc w:val="both"/>
              <w:rPr>
                <w:sz w:val="24"/>
                <w:szCs w:val="24"/>
              </w:rPr>
            </w:pPr>
            <w:r>
              <w:rPr>
                <w:sz w:val="24"/>
                <w:szCs w:val="24"/>
              </w:rPr>
              <w:t>安全设施“三同时”程序</w:t>
            </w:r>
          </w:p>
        </w:tc>
        <w:tc>
          <w:tcPr>
            <w:tcW w:w="1599" w:type="pct"/>
            <w:vAlign w:val="center"/>
          </w:tcPr>
          <w:p>
            <w:pPr>
              <w:pStyle w:val="2"/>
              <w:spacing w:after="0" w:line="240" w:lineRule="auto"/>
              <w:ind w:firstLine="0" w:firstLineChars="0"/>
              <w:jc w:val="center"/>
              <w:rPr>
                <w:sz w:val="24"/>
                <w:szCs w:val="24"/>
              </w:rPr>
            </w:pPr>
            <w:r>
              <w:rPr>
                <w:rFonts w:hint="eastAsia"/>
                <w:sz w:val="24"/>
                <w:szCs w:val="24"/>
              </w:rPr>
              <w:t>安全检查表分析法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32" w:hRule="atLeast"/>
        </w:trPr>
        <w:tc>
          <w:tcPr>
            <w:tcW w:w="589" w:type="pct"/>
            <w:vMerge w:val="continue"/>
            <w:vAlign w:val="center"/>
          </w:tcPr>
          <w:p>
            <w:pPr>
              <w:pStyle w:val="2"/>
              <w:numPr>
                <w:ilvl w:val="0"/>
                <w:numId w:val="52"/>
              </w:numPr>
              <w:spacing w:after="0" w:line="240" w:lineRule="auto"/>
              <w:ind w:firstLine="480" w:firstLineChars="0"/>
              <w:jc w:val="center"/>
              <w:rPr>
                <w:sz w:val="24"/>
                <w:szCs w:val="24"/>
              </w:rPr>
            </w:pPr>
          </w:p>
        </w:tc>
        <w:tc>
          <w:tcPr>
            <w:tcW w:w="1098" w:type="pct"/>
            <w:vMerge w:val="continue"/>
            <w:vAlign w:val="center"/>
          </w:tcPr>
          <w:p>
            <w:pPr>
              <w:pStyle w:val="2"/>
              <w:spacing w:after="0" w:line="240" w:lineRule="auto"/>
              <w:ind w:firstLine="0" w:firstLineChars="0"/>
              <w:jc w:val="center"/>
              <w:rPr>
                <w:sz w:val="24"/>
                <w:szCs w:val="24"/>
              </w:rPr>
            </w:pPr>
          </w:p>
        </w:tc>
        <w:tc>
          <w:tcPr>
            <w:tcW w:w="1713" w:type="pct"/>
            <w:vAlign w:val="center"/>
          </w:tcPr>
          <w:p>
            <w:pPr>
              <w:pStyle w:val="2"/>
              <w:spacing w:after="0" w:line="240" w:lineRule="auto"/>
              <w:ind w:firstLine="0" w:firstLineChars="0"/>
              <w:jc w:val="both"/>
              <w:rPr>
                <w:sz w:val="24"/>
                <w:szCs w:val="24"/>
              </w:rPr>
            </w:pPr>
            <w:r>
              <w:rPr>
                <w:sz w:val="24"/>
                <w:szCs w:val="24"/>
              </w:rPr>
              <w:t>安全设施专项投资情况</w:t>
            </w:r>
          </w:p>
        </w:tc>
        <w:tc>
          <w:tcPr>
            <w:tcW w:w="1599" w:type="pct"/>
            <w:vAlign w:val="center"/>
          </w:tcPr>
          <w:p>
            <w:pPr>
              <w:pStyle w:val="2"/>
              <w:spacing w:after="0" w:line="240" w:lineRule="auto"/>
              <w:ind w:firstLine="0" w:firstLineChars="0"/>
              <w:jc w:val="center"/>
              <w:rPr>
                <w:sz w:val="24"/>
                <w:szCs w:val="24"/>
              </w:rPr>
            </w:pPr>
            <w:r>
              <w:rPr>
                <w:rFonts w:hint="eastAsia"/>
                <w:sz w:val="24"/>
                <w:szCs w:val="24"/>
              </w:rPr>
              <w:t>安全检查表分析法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2" w:hRule="atLeast"/>
        </w:trPr>
        <w:tc>
          <w:tcPr>
            <w:tcW w:w="589" w:type="pct"/>
            <w:vAlign w:val="center"/>
          </w:tcPr>
          <w:p>
            <w:pPr>
              <w:pStyle w:val="2"/>
              <w:numPr>
                <w:ilvl w:val="0"/>
                <w:numId w:val="51"/>
              </w:numPr>
              <w:tabs>
                <w:tab w:val="left" w:pos="397"/>
                <w:tab w:val="clear" w:pos="0"/>
              </w:tabs>
              <w:spacing w:after="0" w:line="240" w:lineRule="auto"/>
              <w:ind w:firstLine="0" w:firstLineChars="0"/>
              <w:jc w:val="center"/>
              <w:rPr>
                <w:sz w:val="24"/>
                <w:szCs w:val="24"/>
              </w:rPr>
            </w:pPr>
          </w:p>
        </w:tc>
        <w:tc>
          <w:tcPr>
            <w:tcW w:w="1098" w:type="pct"/>
            <w:vAlign w:val="center"/>
          </w:tcPr>
          <w:p>
            <w:pPr>
              <w:pStyle w:val="2"/>
              <w:spacing w:after="0" w:line="240" w:lineRule="auto"/>
              <w:ind w:firstLine="0" w:firstLineChars="0"/>
              <w:jc w:val="center"/>
              <w:rPr>
                <w:sz w:val="24"/>
                <w:szCs w:val="24"/>
              </w:rPr>
            </w:pPr>
            <w:r>
              <w:rPr>
                <w:sz w:val="24"/>
                <w:szCs w:val="24"/>
              </w:rPr>
              <w:t>选址</w:t>
            </w:r>
            <w:r>
              <w:rPr>
                <w:rFonts w:hint="eastAsia"/>
                <w:sz w:val="24"/>
                <w:szCs w:val="24"/>
              </w:rPr>
              <w:t>及总图布置</w:t>
            </w:r>
            <w:r>
              <w:rPr>
                <w:sz w:val="24"/>
                <w:szCs w:val="24"/>
              </w:rPr>
              <w:t>单元</w:t>
            </w:r>
          </w:p>
        </w:tc>
        <w:tc>
          <w:tcPr>
            <w:tcW w:w="1713" w:type="pct"/>
            <w:vAlign w:val="center"/>
          </w:tcPr>
          <w:p>
            <w:pPr>
              <w:pStyle w:val="2"/>
              <w:spacing w:after="0" w:line="240" w:lineRule="auto"/>
              <w:ind w:firstLine="0" w:firstLineChars="0"/>
              <w:jc w:val="both"/>
              <w:rPr>
                <w:sz w:val="24"/>
                <w:szCs w:val="24"/>
              </w:rPr>
            </w:pPr>
            <w:r>
              <w:rPr>
                <w:rFonts w:hint="eastAsia"/>
                <w:sz w:val="24"/>
                <w:szCs w:val="24"/>
              </w:rPr>
              <w:t>选址及总图布置</w:t>
            </w:r>
            <w:r>
              <w:rPr>
                <w:sz w:val="24"/>
                <w:szCs w:val="24"/>
              </w:rPr>
              <w:t>单元</w:t>
            </w:r>
          </w:p>
        </w:tc>
        <w:tc>
          <w:tcPr>
            <w:tcW w:w="1599" w:type="pct"/>
            <w:vAlign w:val="center"/>
          </w:tcPr>
          <w:p>
            <w:pPr>
              <w:pStyle w:val="2"/>
              <w:spacing w:after="0" w:line="240" w:lineRule="auto"/>
              <w:ind w:firstLine="0" w:firstLineChars="0"/>
              <w:jc w:val="center"/>
              <w:rPr>
                <w:sz w:val="24"/>
                <w:szCs w:val="24"/>
              </w:rPr>
            </w:pPr>
            <w:r>
              <w:rPr>
                <w:rFonts w:hint="eastAsia"/>
                <w:sz w:val="24"/>
                <w:szCs w:val="24"/>
              </w:rPr>
              <w:t>安全检查表分析法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2" w:hRule="atLeast"/>
        </w:trPr>
        <w:tc>
          <w:tcPr>
            <w:tcW w:w="589" w:type="pct"/>
            <w:vMerge w:val="restart"/>
            <w:vAlign w:val="center"/>
          </w:tcPr>
          <w:p>
            <w:pPr>
              <w:pStyle w:val="2"/>
              <w:numPr>
                <w:ilvl w:val="0"/>
                <w:numId w:val="51"/>
              </w:numPr>
              <w:tabs>
                <w:tab w:val="left" w:pos="397"/>
                <w:tab w:val="clear" w:pos="0"/>
              </w:tabs>
              <w:spacing w:after="0" w:line="240" w:lineRule="auto"/>
              <w:ind w:firstLine="0" w:firstLineChars="0"/>
              <w:jc w:val="center"/>
              <w:rPr>
                <w:sz w:val="24"/>
                <w:szCs w:val="24"/>
              </w:rPr>
            </w:pPr>
          </w:p>
        </w:tc>
        <w:tc>
          <w:tcPr>
            <w:tcW w:w="1098" w:type="pct"/>
            <w:vMerge w:val="restart"/>
            <w:vAlign w:val="center"/>
          </w:tcPr>
          <w:p>
            <w:pPr>
              <w:pStyle w:val="2"/>
              <w:spacing w:after="0" w:line="240" w:lineRule="auto"/>
              <w:ind w:firstLine="0" w:firstLineChars="0"/>
              <w:jc w:val="center"/>
              <w:rPr>
                <w:sz w:val="24"/>
                <w:szCs w:val="24"/>
              </w:rPr>
            </w:pPr>
            <w:r>
              <w:rPr>
                <w:rFonts w:hint="eastAsia"/>
                <w:sz w:val="24"/>
                <w:szCs w:val="24"/>
              </w:rPr>
              <w:t>建筑及工艺布置单元</w:t>
            </w:r>
          </w:p>
        </w:tc>
        <w:tc>
          <w:tcPr>
            <w:tcW w:w="1713" w:type="pct"/>
            <w:vAlign w:val="center"/>
          </w:tcPr>
          <w:p>
            <w:pPr>
              <w:pStyle w:val="2"/>
              <w:spacing w:after="0" w:line="240" w:lineRule="auto"/>
              <w:ind w:firstLine="0" w:firstLineChars="0"/>
              <w:jc w:val="both"/>
              <w:rPr>
                <w:sz w:val="24"/>
                <w:szCs w:val="24"/>
              </w:rPr>
            </w:pPr>
            <w:r>
              <w:rPr>
                <w:rFonts w:hint="eastAsia"/>
                <w:sz w:val="24"/>
                <w:szCs w:val="24"/>
              </w:rPr>
              <w:t>厂房及结构</w:t>
            </w:r>
          </w:p>
        </w:tc>
        <w:tc>
          <w:tcPr>
            <w:tcW w:w="1599" w:type="pct"/>
            <w:vAlign w:val="center"/>
          </w:tcPr>
          <w:p>
            <w:pPr>
              <w:pStyle w:val="2"/>
              <w:spacing w:after="0" w:line="240" w:lineRule="auto"/>
              <w:ind w:firstLine="0" w:firstLineChars="0"/>
              <w:jc w:val="center"/>
              <w:rPr>
                <w:sz w:val="24"/>
                <w:szCs w:val="24"/>
              </w:rPr>
            </w:pPr>
            <w:r>
              <w:rPr>
                <w:rFonts w:hint="eastAsia"/>
                <w:sz w:val="24"/>
                <w:szCs w:val="24"/>
              </w:rPr>
              <w:t>安全检查表分析法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2" w:hRule="atLeast"/>
        </w:trPr>
        <w:tc>
          <w:tcPr>
            <w:tcW w:w="589" w:type="pct"/>
            <w:vMerge w:val="continue"/>
            <w:vAlign w:val="center"/>
          </w:tcPr>
          <w:p>
            <w:pPr>
              <w:pStyle w:val="2"/>
              <w:numPr>
                <w:ilvl w:val="0"/>
                <w:numId w:val="52"/>
              </w:numPr>
              <w:spacing w:after="0" w:line="240" w:lineRule="auto"/>
              <w:ind w:firstLine="480" w:firstLineChars="0"/>
              <w:jc w:val="center"/>
              <w:rPr>
                <w:sz w:val="24"/>
                <w:szCs w:val="24"/>
              </w:rPr>
            </w:pPr>
          </w:p>
        </w:tc>
        <w:tc>
          <w:tcPr>
            <w:tcW w:w="1098" w:type="pct"/>
            <w:vMerge w:val="continue"/>
            <w:vAlign w:val="center"/>
          </w:tcPr>
          <w:p>
            <w:pPr>
              <w:pStyle w:val="2"/>
              <w:spacing w:after="0" w:line="240" w:lineRule="auto"/>
              <w:ind w:firstLine="0" w:firstLineChars="0"/>
              <w:jc w:val="center"/>
              <w:rPr>
                <w:sz w:val="24"/>
                <w:szCs w:val="24"/>
              </w:rPr>
            </w:pPr>
          </w:p>
        </w:tc>
        <w:tc>
          <w:tcPr>
            <w:tcW w:w="1713" w:type="pct"/>
            <w:vAlign w:val="center"/>
          </w:tcPr>
          <w:p>
            <w:pPr>
              <w:pStyle w:val="2"/>
              <w:spacing w:after="0" w:line="240" w:lineRule="auto"/>
              <w:ind w:firstLine="0" w:firstLineChars="0"/>
              <w:jc w:val="both"/>
              <w:rPr>
                <w:sz w:val="24"/>
                <w:szCs w:val="24"/>
              </w:rPr>
            </w:pPr>
            <w:r>
              <w:rPr>
                <w:rFonts w:hint="eastAsia"/>
                <w:sz w:val="24"/>
                <w:szCs w:val="24"/>
              </w:rPr>
              <w:t>工艺布置与运输</w:t>
            </w:r>
          </w:p>
        </w:tc>
        <w:tc>
          <w:tcPr>
            <w:tcW w:w="1599" w:type="pct"/>
            <w:vAlign w:val="center"/>
          </w:tcPr>
          <w:p>
            <w:pPr>
              <w:pStyle w:val="2"/>
              <w:spacing w:after="0" w:line="240" w:lineRule="auto"/>
              <w:ind w:firstLine="0" w:firstLineChars="0"/>
              <w:jc w:val="center"/>
              <w:rPr>
                <w:sz w:val="24"/>
                <w:szCs w:val="24"/>
              </w:rPr>
            </w:pPr>
            <w:r>
              <w:rPr>
                <w:rFonts w:hint="eastAsia"/>
                <w:sz w:val="24"/>
                <w:szCs w:val="24"/>
              </w:rPr>
              <w:t>安全检查表分析法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589" w:type="pct"/>
            <w:vAlign w:val="center"/>
          </w:tcPr>
          <w:p>
            <w:pPr>
              <w:pStyle w:val="2"/>
              <w:numPr>
                <w:ilvl w:val="0"/>
                <w:numId w:val="51"/>
              </w:numPr>
              <w:tabs>
                <w:tab w:val="left" w:pos="397"/>
                <w:tab w:val="clear" w:pos="0"/>
              </w:tabs>
              <w:spacing w:after="0" w:line="240" w:lineRule="auto"/>
              <w:ind w:firstLine="0" w:firstLineChars="0"/>
              <w:jc w:val="center"/>
              <w:rPr>
                <w:sz w:val="24"/>
                <w:szCs w:val="24"/>
              </w:rPr>
            </w:pPr>
          </w:p>
        </w:tc>
        <w:tc>
          <w:tcPr>
            <w:tcW w:w="1098" w:type="pct"/>
            <w:vAlign w:val="center"/>
          </w:tcPr>
          <w:p>
            <w:pPr>
              <w:pStyle w:val="2"/>
              <w:spacing w:after="0" w:line="240" w:lineRule="auto"/>
              <w:ind w:firstLine="0" w:firstLineChars="0"/>
              <w:jc w:val="center"/>
              <w:rPr>
                <w:sz w:val="24"/>
                <w:szCs w:val="24"/>
              </w:rPr>
            </w:pPr>
            <w:r>
              <w:rPr>
                <w:rFonts w:hint="eastAsia"/>
                <w:sz w:val="24"/>
                <w:szCs w:val="24"/>
              </w:rPr>
              <w:t>物料、产品安全性</w:t>
            </w:r>
          </w:p>
        </w:tc>
        <w:tc>
          <w:tcPr>
            <w:tcW w:w="1713" w:type="pct"/>
            <w:vAlign w:val="center"/>
          </w:tcPr>
          <w:p>
            <w:pPr>
              <w:pStyle w:val="2"/>
              <w:spacing w:after="0" w:line="240" w:lineRule="auto"/>
              <w:ind w:firstLine="0" w:firstLineChars="0"/>
              <w:jc w:val="both"/>
              <w:rPr>
                <w:sz w:val="24"/>
                <w:szCs w:val="24"/>
              </w:rPr>
            </w:pPr>
            <w:r>
              <w:rPr>
                <w:rFonts w:hint="eastAsia"/>
                <w:sz w:val="24"/>
                <w:szCs w:val="24"/>
              </w:rPr>
              <w:t>物料、产品安全性</w:t>
            </w:r>
          </w:p>
        </w:tc>
        <w:tc>
          <w:tcPr>
            <w:tcW w:w="1599" w:type="pct"/>
            <w:vAlign w:val="center"/>
          </w:tcPr>
          <w:p>
            <w:pPr>
              <w:pStyle w:val="2"/>
              <w:spacing w:after="0" w:line="240" w:lineRule="auto"/>
              <w:ind w:firstLine="0" w:firstLineChars="0"/>
              <w:jc w:val="center"/>
              <w:rPr>
                <w:sz w:val="24"/>
                <w:szCs w:val="24"/>
              </w:rPr>
            </w:pPr>
            <w:r>
              <w:rPr>
                <w:rFonts w:hint="eastAsia"/>
                <w:sz w:val="24"/>
                <w:szCs w:val="24"/>
              </w:rPr>
              <w:t>安全检查表分析法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589" w:type="pct"/>
            <w:vAlign w:val="center"/>
          </w:tcPr>
          <w:p>
            <w:pPr>
              <w:pStyle w:val="2"/>
              <w:numPr>
                <w:ilvl w:val="0"/>
                <w:numId w:val="51"/>
              </w:numPr>
              <w:tabs>
                <w:tab w:val="left" w:pos="397"/>
                <w:tab w:val="clear" w:pos="0"/>
              </w:tabs>
              <w:spacing w:after="0" w:line="240" w:lineRule="auto"/>
              <w:ind w:firstLine="0" w:firstLineChars="0"/>
              <w:jc w:val="center"/>
              <w:rPr>
                <w:sz w:val="24"/>
                <w:szCs w:val="24"/>
              </w:rPr>
            </w:pPr>
          </w:p>
        </w:tc>
        <w:tc>
          <w:tcPr>
            <w:tcW w:w="1098" w:type="pct"/>
            <w:vAlign w:val="center"/>
          </w:tcPr>
          <w:p>
            <w:pPr>
              <w:pStyle w:val="2"/>
              <w:spacing w:after="0" w:line="240" w:lineRule="auto"/>
              <w:ind w:firstLine="0" w:firstLineChars="0"/>
              <w:jc w:val="center"/>
              <w:rPr>
                <w:sz w:val="24"/>
                <w:szCs w:val="24"/>
              </w:rPr>
            </w:pPr>
            <w:r>
              <w:rPr>
                <w:rFonts w:hint="eastAsia"/>
                <w:sz w:val="24"/>
                <w:szCs w:val="24"/>
              </w:rPr>
              <w:t>生产工艺系统、装置、设施、设备单元</w:t>
            </w:r>
          </w:p>
        </w:tc>
        <w:tc>
          <w:tcPr>
            <w:tcW w:w="1713" w:type="pct"/>
            <w:vAlign w:val="center"/>
          </w:tcPr>
          <w:p>
            <w:pPr>
              <w:pStyle w:val="2"/>
              <w:spacing w:after="0" w:line="240" w:lineRule="auto"/>
              <w:ind w:firstLine="0" w:firstLineChars="0"/>
              <w:jc w:val="both"/>
              <w:rPr>
                <w:sz w:val="24"/>
                <w:szCs w:val="24"/>
              </w:rPr>
            </w:pPr>
            <w:r>
              <w:rPr>
                <w:rFonts w:hint="eastAsia"/>
                <w:sz w:val="24"/>
                <w:szCs w:val="24"/>
              </w:rPr>
              <w:t>生产工艺系统、装置、设施、设备</w:t>
            </w:r>
          </w:p>
        </w:tc>
        <w:tc>
          <w:tcPr>
            <w:tcW w:w="1599" w:type="pct"/>
            <w:vAlign w:val="center"/>
          </w:tcPr>
          <w:p>
            <w:pPr>
              <w:pStyle w:val="2"/>
              <w:spacing w:after="0" w:line="240" w:lineRule="auto"/>
              <w:ind w:firstLine="0" w:firstLineChars="0"/>
              <w:jc w:val="center"/>
              <w:rPr>
                <w:sz w:val="24"/>
                <w:szCs w:val="24"/>
              </w:rPr>
            </w:pPr>
            <w:r>
              <w:rPr>
                <w:rFonts w:hint="eastAsia"/>
                <w:sz w:val="24"/>
                <w:szCs w:val="24"/>
              </w:rPr>
              <w:t>安全检查表分析法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589" w:type="pct"/>
            <w:vMerge w:val="restart"/>
            <w:vAlign w:val="center"/>
          </w:tcPr>
          <w:p>
            <w:pPr>
              <w:pStyle w:val="2"/>
              <w:numPr>
                <w:ilvl w:val="0"/>
                <w:numId w:val="51"/>
              </w:numPr>
              <w:tabs>
                <w:tab w:val="left" w:pos="397"/>
                <w:tab w:val="clear" w:pos="0"/>
              </w:tabs>
              <w:spacing w:after="0" w:line="240" w:lineRule="auto"/>
              <w:ind w:firstLine="0" w:firstLineChars="0"/>
              <w:jc w:val="center"/>
              <w:rPr>
                <w:sz w:val="24"/>
                <w:szCs w:val="24"/>
              </w:rPr>
            </w:pPr>
          </w:p>
        </w:tc>
        <w:tc>
          <w:tcPr>
            <w:tcW w:w="1098" w:type="pct"/>
            <w:vMerge w:val="restart"/>
            <w:vAlign w:val="center"/>
          </w:tcPr>
          <w:p>
            <w:pPr>
              <w:pStyle w:val="2"/>
              <w:spacing w:after="0" w:line="240" w:lineRule="auto"/>
              <w:ind w:firstLine="0" w:firstLineChars="0"/>
              <w:jc w:val="center"/>
              <w:rPr>
                <w:sz w:val="24"/>
                <w:szCs w:val="24"/>
              </w:rPr>
            </w:pPr>
            <w:r>
              <w:rPr>
                <w:rFonts w:hint="eastAsia"/>
                <w:sz w:val="24"/>
                <w:szCs w:val="24"/>
              </w:rPr>
              <w:t>公用工程及辅助设施单元</w:t>
            </w:r>
          </w:p>
        </w:tc>
        <w:tc>
          <w:tcPr>
            <w:tcW w:w="1713" w:type="pct"/>
            <w:vAlign w:val="center"/>
          </w:tcPr>
          <w:p>
            <w:pPr>
              <w:pStyle w:val="2"/>
              <w:spacing w:after="0" w:line="240" w:lineRule="auto"/>
              <w:ind w:firstLine="0" w:firstLineChars="0"/>
              <w:jc w:val="both"/>
              <w:rPr>
                <w:sz w:val="24"/>
                <w:szCs w:val="24"/>
              </w:rPr>
            </w:pPr>
            <w:r>
              <w:rPr>
                <w:rFonts w:hint="eastAsia"/>
                <w:sz w:val="24"/>
                <w:szCs w:val="24"/>
              </w:rPr>
              <w:t>电气安全</w:t>
            </w:r>
          </w:p>
        </w:tc>
        <w:tc>
          <w:tcPr>
            <w:tcW w:w="1599" w:type="pct"/>
            <w:vAlign w:val="center"/>
          </w:tcPr>
          <w:p>
            <w:pPr>
              <w:pStyle w:val="2"/>
              <w:spacing w:after="0" w:line="240" w:lineRule="auto"/>
              <w:ind w:firstLine="0" w:firstLineChars="0"/>
              <w:jc w:val="center"/>
              <w:rPr>
                <w:sz w:val="24"/>
                <w:szCs w:val="24"/>
              </w:rPr>
            </w:pPr>
            <w:r>
              <w:rPr>
                <w:rFonts w:hint="eastAsia"/>
                <w:sz w:val="24"/>
                <w:szCs w:val="24"/>
              </w:rPr>
              <w:t>安全检查表分析法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589" w:type="pct"/>
            <w:vMerge w:val="continue"/>
            <w:vAlign w:val="center"/>
          </w:tcPr>
          <w:p>
            <w:pPr>
              <w:pStyle w:val="2"/>
              <w:numPr>
                <w:ilvl w:val="0"/>
                <w:numId w:val="52"/>
              </w:numPr>
              <w:spacing w:after="0" w:line="240" w:lineRule="auto"/>
              <w:ind w:firstLine="480" w:firstLineChars="0"/>
              <w:jc w:val="center"/>
              <w:rPr>
                <w:sz w:val="24"/>
                <w:szCs w:val="24"/>
              </w:rPr>
            </w:pPr>
          </w:p>
        </w:tc>
        <w:tc>
          <w:tcPr>
            <w:tcW w:w="1098" w:type="pct"/>
            <w:vMerge w:val="continue"/>
            <w:vAlign w:val="center"/>
          </w:tcPr>
          <w:p>
            <w:pPr>
              <w:pStyle w:val="2"/>
              <w:spacing w:after="0" w:line="240" w:lineRule="auto"/>
              <w:ind w:firstLine="0" w:firstLineChars="0"/>
              <w:jc w:val="center"/>
              <w:rPr>
                <w:sz w:val="24"/>
                <w:szCs w:val="24"/>
              </w:rPr>
            </w:pPr>
          </w:p>
        </w:tc>
        <w:tc>
          <w:tcPr>
            <w:tcW w:w="1713" w:type="pct"/>
            <w:vAlign w:val="center"/>
          </w:tcPr>
          <w:p>
            <w:pPr>
              <w:pStyle w:val="2"/>
              <w:spacing w:after="0" w:line="240" w:lineRule="auto"/>
              <w:ind w:firstLine="0" w:firstLineChars="0"/>
              <w:jc w:val="both"/>
              <w:rPr>
                <w:sz w:val="24"/>
                <w:szCs w:val="24"/>
              </w:rPr>
            </w:pPr>
            <w:r>
              <w:rPr>
                <w:rFonts w:hint="eastAsia"/>
                <w:sz w:val="24"/>
                <w:szCs w:val="24"/>
              </w:rPr>
              <w:t>机械安全</w:t>
            </w:r>
          </w:p>
        </w:tc>
        <w:tc>
          <w:tcPr>
            <w:tcW w:w="1599" w:type="pct"/>
            <w:vAlign w:val="center"/>
          </w:tcPr>
          <w:p>
            <w:pPr>
              <w:pStyle w:val="2"/>
              <w:spacing w:after="0" w:line="240" w:lineRule="auto"/>
              <w:ind w:firstLine="0" w:firstLineChars="0"/>
              <w:jc w:val="center"/>
              <w:rPr>
                <w:sz w:val="24"/>
                <w:szCs w:val="24"/>
              </w:rPr>
            </w:pPr>
            <w:r>
              <w:rPr>
                <w:rFonts w:hint="eastAsia"/>
                <w:sz w:val="24"/>
                <w:szCs w:val="24"/>
              </w:rPr>
              <w:t>安全检查表分析法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589" w:type="pct"/>
            <w:vMerge w:val="continue"/>
            <w:vAlign w:val="center"/>
          </w:tcPr>
          <w:p>
            <w:pPr>
              <w:pStyle w:val="2"/>
              <w:numPr>
                <w:ilvl w:val="0"/>
                <w:numId w:val="52"/>
              </w:numPr>
              <w:spacing w:after="0" w:line="240" w:lineRule="auto"/>
              <w:ind w:firstLine="480" w:firstLineChars="0"/>
              <w:jc w:val="center"/>
              <w:rPr>
                <w:sz w:val="24"/>
                <w:szCs w:val="24"/>
              </w:rPr>
            </w:pPr>
          </w:p>
        </w:tc>
        <w:tc>
          <w:tcPr>
            <w:tcW w:w="1098" w:type="pct"/>
            <w:vMerge w:val="continue"/>
            <w:vAlign w:val="center"/>
          </w:tcPr>
          <w:p>
            <w:pPr>
              <w:pStyle w:val="2"/>
              <w:spacing w:after="0" w:line="240" w:lineRule="auto"/>
              <w:ind w:firstLine="0" w:firstLineChars="0"/>
              <w:jc w:val="center"/>
              <w:rPr>
                <w:sz w:val="24"/>
                <w:szCs w:val="24"/>
              </w:rPr>
            </w:pPr>
          </w:p>
        </w:tc>
        <w:tc>
          <w:tcPr>
            <w:tcW w:w="1713" w:type="pct"/>
            <w:vAlign w:val="center"/>
          </w:tcPr>
          <w:p>
            <w:pPr>
              <w:pStyle w:val="2"/>
              <w:spacing w:after="0" w:line="240" w:lineRule="auto"/>
              <w:ind w:firstLine="0" w:firstLineChars="0"/>
              <w:jc w:val="both"/>
              <w:rPr>
                <w:sz w:val="24"/>
                <w:szCs w:val="24"/>
              </w:rPr>
            </w:pPr>
            <w:r>
              <w:rPr>
                <w:rFonts w:hint="eastAsia"/>
                <w:sz w:val="24"/>
                <w:szCs w:val="24"/>
              </w:rPr>
              <w:t>自动控制及通信设施安全措施</w:t>
            </w:r>
          </w:p>
        </w:tc>
        <w:tc>
          <w:tcPr>
            <w:tcW w:w="1599" w:type="pct"/>
            <w:vAlign w:val="center"/>
          </w:tcPr>
          <w:p>
            <w:pPr>
              <w:pStyle w:val="2"/>
              <w:spacing w:after="0" w:line="240" w:lineRule="auto"/>
              <w:ind w:firstLine="0" w:firstLineChars="0"/>
              <w:jc w:val="center"/>
              <w:rPr>
                <w:sz w:val="24"/>
                <w:szCs w:val="24"/>
              </w:rPr>
            </w:pPr>
            <w:r>
              <w:rPr>
                <w:rFonts w:hint="eastAsia"/>
                <w:sz w:val="24"/>
                <w:szCs w:val="24"/>
              </w:rPr>
              <w:t>安全检查表分析法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91" w:hRule="atLeast"/>
        </w:trPr>
        <w:tc>
          <w:tcPr>
            <w:tcW w:w="589" w:type="pct"/>
            <w:vMerge w:val="continue"/>
            <w:vAlign w:val="center"/>
          </w:tcPr>
          <w:p>
            <w:pPr>
              <w:pStyle w:val="2"/>
              <w:numPr>
                <w:ilvl w:val="0"/>
                <w:numId w:val="52"/>
              </w:numPr>
              <w:spacing w:after="0" w:line="240" w:lineRule="auto"/>
              <w:ind w:firstLine="480" w:firstLineChars="0"/>
              <w:jc w:val="center"/>
              <w:rPr>
                <w:sz w:val="24"/>
                <w:szCs w:val="24"/>
              </w:rPr>
            </w:pPr>
          </w:p>
        </w:tc>
        <w:tc>
          <w:tcPr>
            <w:tcW w:w="1098" w:type="pct"/>
            <w:vMerge w:val="continue"/>
            <w:vAlign w:val="center"/>
          </w:tcPr>
          <w:p>
            <w:pPr>
              <w:pStyle w:val="2"/>
              <w:spacing w:after="0" w:line="240" w:lineRule="auto"/>
              <w:ind w:firstLine="0" w:firstLineChars="0"/>
              <w:jc w:val="center"/>
              <w:rPr>
                <w:sz w:val="24"/>
                <w:szCs w:val="24"/>
              </w:rPr>
            </w:pPr>
          </w:p>
        </w:tc>
        <w:tc>
          <w:tcPr>
            <w:tcW w:w="1713" w:type="pct"/>
            <w:vAlign w:val="center"/>
          </w:tcPr>
          <w:p>
            <w:pPr>
              <w:pStyle w:val="2"/>
              <w:spacing w:after="0" w:line="240" w:lineRule="auto"/>
              <w:ind w:firstLine="0" w:firstLineChars="0"/>
              <w:jc w:val="both"/>
              <w:rPr>
                <w:sz w:val="24"/>
                <w:szCs w:val="24"/>
              </w:rPr>
            </w:pPr>
            <w:r>
              <w:rPr>
                <w:rFonts w:hint="eastAsia"/>
                <w:sz w:val="24"/>
                <w:szCs w:val="24"/>
              </w:rPr>
              <w:t>辅助供水与排水措施</w:t>
            </w:r>
          </w:p>
        </w:tc>
        <w:tc>
          <w:tcPr>
            <w:tcW w:w="1599" w:type="pct"/>
            <w:vAlign w:val="center"/>
          </w:tcPr>
          <w:p>
            <w:pPr>
              <w:pStyle w:val="2"/>
              <w:spacing w:after="0" w:line="240" w:lineRule="auto"/>
              <w:ind w:firstLine="0" w:firstLineChars="0"/>
              <w:jc w:val="center"/>
              <w:rPr>
                <w:sz w:val="24"/>
                <w:szCs w:val="24"/>
              </w:rPr>
            </w:pPr>
            <w:r>
              <w:rPr>
                <w:rFonts w:hint="eastAsia"/>
                <w:sz w:val="24"/>
                <w:szCs w:val="24"/>
              </w:rPr>
              <w:t>安全检查表分析法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589" w:type="pct"/>
            <w:vMerge w:val="continue"/>
            <w:vAlign w:val="center"/>
          </w:tcPr>
          <w:p>
            <w:pPr>
              <w:pStyle w:val="2"/>
              <w:numPr>
                <w:ilvl w:val="0"/>
                <w:numId w:val="52"/>
              </w:numPr>
              <w:spacing w:after="0" w:line="240" w:lineRule="auto"/>
              <w:ind w:firstLine="480" w:firstLineChars="0"/>
              <w:jc w:val="center"/>
              <w:rPr>
                <w:sz w:val="24"/>
                <w:szCs w:val="24"/>
              </w:rPr>
            </w:pPr>
          </w:p>
        </w:tc>
        <w:tc>
          <w:tcPr>
            <w:tcW w:w="1098" w:type="pct"/>
            <w:vMerge w:val="continue"/>
            <w:vAlign w:val="center"/>
          </w:tcPr>
          <w:p>
            <w:pPr>
              <w:pStyle w:val="2"/>
              <w:spacing w:after="0" w:line="240" w:lineRule="auto"/>
              <w:ind w:firstLine="0" w:firstLineChars="0"/>
              <w:jc w:val="center"/>
              <w:rPr>
                <w:sz w:val="24"/>
                <w:szCs w:val="24"/>
              </w:rPr>
            </w:pPr>
          </w:p>
        </w:tc>
        <w:tc>
          <w:tcPr>
            <w:tcW w:w="1713" w:type="pct"/>
            <w:vAlign w:val="center"/>
          </w:tcPr>
          <w:p>
            <w:pPr>
              <w:pStyle w:val="2"/>
              <w:spacing w:after="0" w:line="240" w:lineRule="auto"/>
              <w:ind w:firstLine="0" w:firstLineChars="0"/>
              <w:jc w:val="both"/>
              <w:rPr>
                <w:sz w:val="24"/>
                <w:szCs w:val="24"/>
              </w:rPr>
            </w:pPr>
            <w:r>
              <w:rPr>
                <w:rFonts w:hint="eastAsia"/>
                <w:sz w:val="24"/>
                <w:szCs w:val="24"/>
              </w:rPr>
              <w:t>消防措施</w:t>
            </w:r>
          </w:p>
        </w:tc>
        <w:tc>
          <w:tcPr>
            <w:tcW w:w="1599" w:type="pct"/>
            <w:vAlign w:val="center"/>
          </w:tcPr>
          <w:p>
            <w:pPr>
              <w:pStyle w:val="2"/>
              <w:spacing w:after="0" w:line="240" w:lineRule="auto"/>
              <w:ind w:firstLine="0" w:firstLineChars="0"/>
              <w:jc w:val="center"/>
              <w:rPr>
                <w:sz w:val="24"/>
                <w:szCs w:val="24"/>
              </w:rPr>
            </w:pPr>
            <w:r>
              <w:rPr>
                <w:rFonts w:hint="eastAsia"/>
                <w:sz w:val="24"/>
                <w:szCs w:val="24"/>
              </w:rPr>
              <w:t>安全检查表分析法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589" w:type="pct"/>
            <w:vAlign w:val="center"/>
          </w:tcPr>
          <w:p>
            <w:pPr>
              <w:pStyle w:val="2"/>
              <w:numPr>
                <w:ilvl w:val="0"/>
                <w:numId w:val="51"/>
              </w:numPr>
              <w:tabs>
                <w:tab w:val="left" w:pos="397"/>
                <w:tab w:val="clear" w:pos="0"/>
              </w:tabs>
              <w:spacing w:after="0" w:line="240" w:lineRule="auto"/>
              <w:ind w:firstLine="0" w:firstLineChars="0"/>
              <w:jc w:val="center"/>
              <w:rPr>
                <w:sz w:val="24"/>
                <w:szCs w:val="24"/>
              </w:rPr>
            </w:pPr>
          </w:p>
        </w:tc>
        <w:tc>
          <w:tcPr>
            <w:tcW w:w="1098" w:type="pct"/>
            <w:vAlign w:val="center"/>
          </w:tcPr>
          <w:p>
            <w:pPr>
              <w:pStyle w:val="2"/>
              <w:spacing w:after="0" w:line="240" w:lineRule="auto"/>
              <w:ind w:firstLine="0" w:firstLineChars="0"/>
              <w:jc w:val="center"/>
              <w:rPr>
                <w:sz w:val="24"/>
                <w:szCs w:val="24"/>
              </w:rPr>
            </w:pPr>
            <w:r>
              <w:rPr>
                <w:rFonts w:hint="eastAsia"/>
                <w:sz w:val="24"/>
                <w:szCs w:val="24"/>
              </w:rPr>
              <w:t>特种设备设施及强制检测设备设施单元</w:t>
            </w:r>
          </w:p>
        </w:tc>
        <w:tc>
          <w:tcPr>
            <w:tcW w:w="1713" w:type="pct"/>
            <w:vAlign w:val="center"/>
          </w:tcPr>
          <w:p>
            <w:pPr>
              <w:pStyle w:val="2"/>
              <w:spacing w:after="0" w:line="240" w:lineRule="auto"/>
              <w:ind w:firstLine="0" w:firstLineChars="0"/>
              <w:jc w:val="both"/>
              <w:rPr>
                <w:sz w:val="24"/>
                <w:szCs w:val="24"/>
              </w:rPr>
            </w:pPr>
            <w:r>
              <w:rPr>
                <w:rFonts w:hint="eastAsia"/>
                <w:sz w:val="24"/>
                <w:szCs w:val="24"/>
              </w:rPr>
              <w:t>起重机械、压力容器、管道、阀门及其强制检测附件、叉车、防雷设施检测</w:t>
            </w:r>
          </w:p>
        </w:tc>
        <w:tc>
          <w:tcPr>
            <w:tcW w:w="1599" w:type="pct"/>
            <w:vAlign w:val="center"/>
          </w:tcPr>
          <w:p>
            <w:pPr>
              <w:pStyle w:val="2"/>
              <w:spacing w:after="0" w:line="240" w:lineRule="auto"/>
              <w:ind w:firstLine="0" w:firstLineChars="0"/>
              <w:jc w:val="center"/>
              <w:rPr>
                <w:sz w:val="24"/>
                <w:szCs w:val="24"/>
              </w:rPr>
            </w:pPr>
            <w:r>
              <w:rPr>
                <w:rFonts w:hint="eastAsia"/>
                <w:sz w:val="24"/>
                <w:szCs w:val="24"/>
              </w:rPr>
              <w:t>安全检查表分析法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589" w:type="pct"/>
            <w:vAlign w:val="center"/>
          </w:tcPr>
          <w:p>
            <w:pPr>
              <w:pStyle w:val="2"/>
              <w:numPr>
                <w:ilvl w:val="0"/>
                <w:numId w:val="51"/>
              </w:numPr>
              <w:tabs>
                <w:tab w:val="left" w:pos="397"/>
                <w:tab w:val="clear" w:pos="0"/>
              </w:tabs>
              <w:spacing w:after="0" w:line="240" w:lineRule="auto"/>
              <w:ind w:firstLine="0" w:firstLineChars="0"/>
              <w:jc w:val="center"/>
              <w:rPr>
                <w:sz w:val="24"/>
                <w:szCs w:val="24"/>
              </w:rPr>
            </w:pPr>
          </w:p>
        </w:tc>
        <w:tc>
          <w:tcPr>
            <w:tcW w:w="1098" w:type="pct"/>
            <w:vAlign w:val="center"/>
          </w:tcPr>
          <w:p>
            <w:pPr>
              <w:pStyle w:val="2"/>
              <w:spacing w:after="0" w:line="240" w:lineRule="auto"/>
              <w:ind w:firstLine="0" w:firstLineChars="0"/>
              <w:jc w:val="center"/>
              <w:rPr>
                <w:sz w:val="24"/>
                <w:szCs w:val="24"/>
              </w:rPr>
            </w:pPr>
            <w:r>
              <w:rPr>
                <w:rFonts w:hint="eastAsia"/>
                <w:sz w:val="24"/>
                <w:szCs w:val="24"/>
              </w:rPr>
              <w:t>周边环境适宜性评价</w:t>
            </w:r>
          </w:p>
        </w:tc>
        <w:tc>
          <w:tcPr>
            <w:tcW w:w="1713" w:type="pct"/>
            <w:vAlign w:val="center"/>
          </w:tcPr>
          <w:p>
            <w:pPr>
              <w:pStyle w:val="2"/>
              <w:spacing w:after="0" w:line="240" w:lineRule="auto"/>
              <w:ind w:firstLine="0" w:firstLineChars="0"/>
              <w:jc w:val="both"/>
              <w:rPr>
                <w:sz w:val="24"/>
                <w:szCs w:val="24"/>
              </w:rPr>
            </w:pPr>
            <w:r>
              <w:rPr>
                <w:rFonts w:hint="eastAsia"/>
                <w:sz w:val="24"/>
                <w:szCs w:val="24"/>
              </w:rPr>
              <w:t>建设项目可能发生的事故类型对周边单位生产、经营活动或居民的影响、周边单位或居民对建设项目的影响、建设项目所在地自然条件对本项目的影响</w:t>
            </w:r>
          </w:p>
        </w:tc>
        <w:tc>
          <w:tcPr>
            <w:tcW w:w="1599" w:type="pct"/>
            <w:vAlign w:val="center"/>
          </w:tcPr>
          <w:p>
            <w:pPr>
              <w:pStyle w:val="2"/>
              <w:spacing w:after="0" w:line="240" w:lineRule="auto"/>
              <w:ind w:firstLine="0" w:firstLineChars="0"/>
              <w:jc w:val="center"/>
              <w:rPr>
                <w:sz w:val="24"/>
                <w:szCs w:val="24"/>
              </w:rPr>
            </w:pPr>
            <w:r>
              <w:rPr>
                <w:rFonts w:hint="eastAsia"/>
                <w:sz w:val="24"/>
                <w:szCs w:val="24"/>
                <w:lang w:eastAsia="zh-CN"/>
              </w:rPr>
              <w:t>安全检查法</w:t>
            </w:r>
            <w:r>
              <w:rPr>
                <w:rFonts w:hint="eastAsia"/>
                <w:sz w:val="24"/>
                <w:szCs w:val="24"/>
              </w:rPr>
              <w:t>、安全检查表分析法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589" w:type="pct"/>
            <w:vAlign w:val="center"/>
          </w:tcPr>
          <w:p>
            <w:pPr>
              <w:pStyle w:val="2"/>
              <w:numPr>
                <w:ilvl w:val="0"/>
                <w:numId w:val="51"/>
              </w:numPr>
              <w:tabs>
                <w:tab w:val="left" w:pos="397"/>
                <w:tab w:val="clear" w:pos="0"/>
              </w:tabs>
              <w:spacing w:after="0" w:line="240" w:lineRule="auto"/>
              <w:ind w:firstLine="0" w:firstLineChars="0"/>
              <w:jc w:val="center"/>
              <w:rPr>
                <w:sz w:val="24"/>
                <w:szCs w:val="24"/>
              </w:rPr>
            </w:pPr>
          </w:p>
        </w:tc>
        <w:tc>
          <w:tcPr>
            <w:tcW w:w="1098" w:type="pct"/>
            <w:vAlign w:val="center"/>
          </w:tcPr>
          <w:p>
            <w:pPr>
              <w:pStyle w:val="2"/>
              <w:spacing w:after="0" w:line="240" w:lineRule="auto"/>
              <w:ind w:firstLine="0" w:firstLineChars="0"/>
              <w:jc w:val="center"/>
              <w:rPr>
                <w:sz w:val="24"/>
                <w:szCs w:val="24"/>
              </w:rPr>
            </w:pPr>
            <w:r>
              <w:rPr>
                <w:rFonts w:hint="eastAsia"/>
                <w:sz w:val="24"/>
                <w:szCs w:val="24"/>
              </w:rPr>
              <w:t>安全管理及应急救援单元</w:t>
            </w:r>
          </w:p>
        </w:tc>
        <w:tc>
          <w:tcPr>
            <w:tcW w:w="1713" w:type="pct"/>
            <w:vAlign w:val="center"/>
          </w:tcPr>
          <w:p>
            <w:pPr>
              <w:pStyle w:val="2"/>
              <w:spacing w:after="0" w:line="240" w:lineRule="auto"/>
              <w:ind w:firstLine="0" w:firstLineChars="0"/>
              <w:jc w:val="both"/>
              <w:rPr>
                <w:sz w:val="24"/>
                <w:szCs w:val="24"/>
              </w:rPr>
            </w:pPr>
            <w:r>
              <w:rPr>
                <w:rFonts w:hint="eastAsia"/>
                <w:sz w:val="24"/>
                <w:szCs w:val="24"/>
              </w:rPr>
              <w:t>组织与制度、机构设置、安全管理人员配备、安全教育培训。危险源管理、安全检查、个人安全防护、安全标志、事故应急救援预案及演练、事故管理</w:t>
            </w:r>
          </w:p>
        </w:tc>
        <w:tc>
          <w:tcPr>
            <w:tcW w:w="1599" w:type="pct"/>
            <w:vAlign w:val="center"/>
          </w:tcPr>
          <w:p>
            <w:pPr>
              <w:pStyle w:val="2"/>
              <w:spacing w:after="0" w:line="240" w:lineRule="auto"/>
              <w:ind w:firstLine="0" w:firstLineChars="0"/>
              <w:jc w:val="center"/>
              <w:rPr>
                <w:sz w:val="24"/>
                <w:szCs w:val="24"/>
              </w:rPr>
            </w:pPr>
            <w:r>
              <w:rPr>
                <w:rFonts w:hint="eastAsia"/>
                <w:sz w:val="24"/>
                <w:szCs w:val="24"/>
              </w:rPr>
              <w:t>安全检查表分析法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589" w:type="pct"/>
            <w:vAlign w:val="center"/>
          </w:tcPr>
          <w:p>
            <w:pPr>
              <w:pStyle w:val="2"/>
              <w:numPr>
                <w:ilvl w:val="0"/>
                <w:numId w:val="51"/>
              </w:numPr>
              <w:tabs>
                <w:tab w:val="left" w:pos="397"/>
                <w:tab w:val="clear" w:pos="0"/>
              </w:tabs>
              <w:spacing w:after="0" w:line="240" w:lineRule="auto"/>
              <w:ind w:firstLine="0" w:firstLineChars="0"/>
              <w:jc w:val="center"/>
              <w:rPr>
                <w:sz w:val="24"/>
                <w:szCs w:val="24"/>
              </w:rPr>
            </w:pPr>
          </w:p>
        </w:tc>
        <w:tc>
          <w:tcPr>
            <w:tcW w:w="1098" w:type="pct"/>
            <w:vAlign w:val="center"/>
          </w:tcPr>
          <w:p>
            <w:pPr>
              <w:pStyle w:val="2"/>
              <w:spacing w:after="0" w:line="240" w:lineRule="auto"/>
              <w:ind w:firstLine="0" w:firstLineChars="0"/>
              <w:jc w:val="center"/>
              <w:rPr>
                <w:sz w:val="24"/>
                <w:szCs w:val="24"/>
              </w:rPr>
            </w:pPr>
            <w:r>
              <w:rPr>
                <w:rFonts w:hint="eastAsia"/>
                <w:sz w:val="24"/>
                <w:szCs w:val="24"/>
              </w:rPr>
              <w:t>其他安全设施单元</w:t>
            </w:r>
          </w:p>
        </w:tc>
        <w:tc>
          <w:tcPr>
            <w:tcW w:w="1713" w:type="pct"/>
            <w:vAlign w:val="center"/>
          </w:tcPr>
          <w:p>
            <w:pPr>
              <w:pStyle w:val="2"/>
              <w:spacing w:after="0" w:line="240" w:lineRule="auto"/>
              <w:ind w:firstLine="0" w:firstLineChars="0"/>
              <w:jc w:val="both"/>
              <w:rPr>
                <w:sz w:val="24"/>
                <w:szCs w:val="24"/>
              </w:rPr>
            </w:pPr>
            <w:r>
              <w:rPr>
                <w:rFonts w:hint="eastAsia"/>
                <w:sz w:val="24"/>
                <w:szCs w:val="24"/>
              </w:rPr>
              <w:t>高温设备的保温措施；防护栏杆、检修平台、安全罩、围栏等防高空坠落、跌落的措施；各种安全通道、楼梯、钢梯的设置；管线的标准化、规范化敷设及色标要求；安全色、安全告知卡等措施进行符合性评价。</w:t>
            </w:r>
          </w:p>
        </w:tc>
        <w:tc>
          <w:tcPr>
            <w:tcW w:w="1599" w:type="pct"/>
            <w:vAlign w:val="center"/>
          </w:tcPr>
          <w:p>
            <w:pPr>
              <w:pStyle w:val="2"/>
              <w:spacing w:after="0" w:line="240" w:lineRule="auto"/>
              <w:ind w:firstLine="0" w:firstLineChars="0"/>
              <w:jc w:val="center"/>
              <w:rPr>
                <w:sz w:val="24"/>
                <w:szCs w:val="24"/>
              </w:rPr>
            </w:pPr>
            <w:r>
              <w:rPr>
                <w:rFonts w:hint="eastAsia"/>
                <w:sz w:val="24"/>
                <w:szCs w:val="24"/>
              </w:rPr>
              <w:t>安全检查表分析法</w:t>
            </w:r>
          </w:p>
        </w:tc>
      </w:tr>
    </w:tbl>
    <w:p>
      <w:pPr>
        <w:pStyle w:val="5"/>
        <w:spacing w:before="156" w:after="156"/>
      </w:pPr>
      <w:bookmarkStart w:id="246" w:name="_Toc500007158"/>
      <w:bookmarkStart w:id="247" w:name="_Toc498299348"/>
      <w:bookmarkStart w:id="248" w:name="_Toc498519818"/>
      <w:bookmarkStart w:id="249" w:name="_Toc19256"/>
      <w:r>
        <w:t>评价方法简介</w:t>
      </w:r>
      <w:bookmarkEnd w:id="246"/>
      <w:bookmarkEnd w:id="247"/>
      <w:bookmarkEnd w:id="248"/>
      <w:bookmarkEnd w:id="249"/>
    </w:p>
    <w:p>
      <w:pPr>
        <w:numPr>
          <w:ilvl w:val="0"/>
          <w:numId w:val="53"/>
        </w:numPr>
        <w:ind w:firstLine="560"/>
        <w:contextualSpacing/>
        <w:rPr>
          <w:rFonts w:ascii="宋体" w:hAnsi="宋体"/>
          <w:szCs w:val="28"/>
        </w:rPr>
      </w:pPr>
      <w:bookmarkStart w:id="250" w:name="_Toc498299352"/>
      <w:bookmarkStart w:id="251" w:name="_Toc498519822"/>
      <w:bookmarkStart w:id="252" w:name="_Toc500007159"/>
      <w:r>
        <w:rPr>
          <w:rFonts w:hint="eastAsia" w:ascii="宋体" w:hAnsi="宋体"/>
          <w:szCs w:val="28"/>
        </w:rPr>
        <w:t>安全检查表分析法（Safety Checklist Analysis,SCA）</w:t>
      </w:r>
    </w:p>
    <w:p>
      <w:pPr>
        <w:ind w:firstLine="560"/>
      </w:pPr>
      <w:r>
        <w:rPr>
          <w:rFonts w:hint="eastAsia"/>
        </w:rPr>
        <w:t>在安全评价过程中，为检查该厂址、总平面布置、工艺系统及辅助设施与国家相关法律法规、规范及标准要求的符合性，因此选用了安全检查表分析法，以达到</w:t>
      </w:r>
      <w:r>
        <w:t>突出重点、避免遗漏</w:t>
      </w:r>
      <w:r>
        <w:rPr>
          <w:rFonts w:hint="eastAsia"/>
        </w:rPr>
        <w:t>的目的。</w:t>
      </w:r>
    </w:p>
    <w:p>
      <w:pPr>
        <w:ind w:firstLine="560"/>
      </w:pPr>
      <w:r>
        <w:rPr>
          <w:rFonts w:hint="eastAsia"/>
        </w:rPr>
        <w:t>在对该公司进行分析评价时，主要是检查建设项目与国家法律法规的符合性，所以选用安全检查表分析法具有很强的代表性，而且检查结果清晰明了，对提出符合相关规定的安全对策具有客观现实意义。</w:t>
      </w:r>
    </w:p>
    <w:p>
      <w:pPr>
        <w:numPr>
          <w:ilvl w:val="0"/>
          <w:numId w:val="53"/>
        </w:numPr>
        <w:ind w:firstLine="560"/>
        <w:contextualSpacing/>
        <w:rPr>
          <w:rFonts w:ascii="宋体" w:hAnsi="宋体"/>
          <w:szCs w:val="28"/>
        </w:rPr>
      </w:pPr>
      <w:r>
        <w:rPr>
          <w:rFonts w:hint="eastAsia" w:ascii="宋体" w:hAnsi="宋体"/>
          <w:szCs w:val="28"/>
        </w:rPr>
        <w:t>安全检查法（Safety Review，SR）</w:t>
      </w:r>
    </w:p>
    <w:p>
      <w:pPr>
        <w:ind w:firstLine="560"/>
        <w:sectPr>
          <w:pgSz w:w="11906" w:h="16838"/>
          <w:pgMar w:top="1440" w:right="1800" w:bottom="1440" w:left="1800" w:header="851" w:footer="992" w:gutter="0"/>
          <w:cols w:space="425" w:num="1"/>
          <w:docGrid w:type="lines" w:linePitch="312" w:charSpace="0"/>
        </w:sectPr>
      </w:pPr>
      <w:r>
        <w:rPr>
          <w:rFonts w:hint="eastAsia"/>
        </w:rPr>
        <w:t>在采用安全检查表分析法进行现场检查评价时，由于编制安全检查表的人员的素质或资料收集情况等原因，通常存在编制的安全检查表不能全面反映检查实际的情况，因此需要评价人员根据平时相关知识的积累对检查结果进行分析评价，特别是对于设计图纸的审核方面，安全检查法有着不可替代的作用。因此，通常在对项目进行安全评价时，安全检查表分析法与安全检查配合使用可以使分析评价更加完整，更符合评价实际。</w:t>
      </w:r>
    </w:p>
    <w:p>
      <w:pPr>
        <w:pStyle w:val="4"/>
        <w:spacing w:before="312" w:after="312"/>
      </w:pPr>
      <w:bookmarkStart w:id="253" w:name="_Toc19002"/>
      <w:r>
        <w:t>定性、定量分析危险、有害程度符合性评价结果</w:t>
      </w:r>
      <w:bookmarkEnd w:id="250"/>
      <w:bookmarkEnd w:id="251"/>
      <w:bookmarkEnd w:id="252"/>
      <w:bookmarkEnd w:id="253"/>
    </w:p>
    <w:p>
      <w:pPr>
        <w:pStyle w:val="5"/>
        <w:spacing w:before="156" w:after="156"/>
      </w:pPr>
      <w:bookmarkStart w:id="254" w:name="_Toc498299353"/>
      <w:bookmarkStart w:id="255" w:name="_Toc500007160"/>
      <w:bookmarkStart w:id="256" w:name="_Toc498519823"/>
      <w:bookmarkStart w:id="257" w:name="_Toc14792"/>
      <w:r>
        <w:t>法律法规符合性</w:t>
      </w:r>
      <w:bookmarkEnd w:id="254"/>
      <w:bookmarkEnd w:id="255"/>
      <w:bookmarkEnd w:id="256"/>
      <w:r>
        <w:rPr>
          <w:rFonts w:hint="eastAsia"/>
        </w:rPr>
        <w:t>单元</w:t>
      </w:r>
      <w:bookmarkEnd w:id="257"/>
    </w:p>
    <w:p>
      <w:pPr>
        <w:pStyle w:val="6"/>
        <w:spacing w:before="156" w:after="156"/>
      </w:pPr>
      <w:bookmarkStart w:id="258" w:name="_Toc500007161"/>
      <w:bookmarkStart w:id="259" w:name="_Toc498299354"/>
      <w:bookmarkStart w:id="260" w:name="_Toc498519824"/>
      <w:bookmarkStart w:id="261" w:name="_Toc23376"/>
      <w:r>
        <w:t>安全设施“三同时”程序</w:t>
      </w:r>
      <w:bookmarkEnd w:id="258"/>
      <w:bookmarkEnd w:id="259"/>
      <w:bookmarkEnd w:id="260"/>
      <w:bookmarkEnd w:id="261"/>
    </w:p>
    <w:p>
      <w:pPr>
        <w:ind w:firstLine="560"/>
      </w:pPr>
      <w:r>
        <w:t>根据《中华人民共和国安全生产法》《建设项目安全设施“三同时”监督管理办法》（</w:t>
      </w:r>
      <w:r>
        <w:rPr>
          <w:rFonts w:hint="eastAsia"/>
        </w:rPr>
        <w:t>原</w:t>
      </w:r>
      <w:r>
        <w:t>国家安全生产监督管理总局</w:t>
      </w:r>
      <w:r>
        <w:rPr>
          <w:rFonts w:hint="eastAsia"/>
          <w:lang w:eastAsia="zh-CN"/>
        </w:rPr>
        <w:t>令第36</w:t>
      </w:r>
      <w:r>
        <w:t>号，</w:t>
      </w:r>
      <w:r>
        <w:rPr>
          <w:rFonts w:hint="eastAsia"/>
        </w:rPr>
        <w:t>原</w:t>
      </w:r>
      <w:r>
        <w:t>国家安全生产监督管理总局令77号修正）</w:t>
      </w:r>
      <w:r>
        <w:rPr>
          <w:rFonts w:hint="eastAsia"/>
        </w:rPr>
        <w:t>的</w:t>
      </w:r>
      <w:r>
        <w:t>规定</w:t>
      </w:r>
      <w:r>
        <w:rPr>
          <w:rFonts w:hint="eastAsia"/>
        </w:rPr>
        <w:t>要求，</w:t>
      </w:r>
      <w:r>
        <w:t>采用安全检查表检查核实该</w:t>
      </w:r>
      <w:r>
        <w:rPr>
          <w:rFonts w:hint="eastAsia"/>
        </w:rPr>
        <w:t>养殖场建设项目</w:t>
      </w:r>
      <w:r>
        <w:t>是否</w:t>
      </w:r>
      <w:r>
        <w:rPr>
          <w:rFonts w:hint="eastAsia"/>
        </w:rPr>
        <w:t>满足</w:t>
      </w:r>
      <w:r>
        <w:t>“三同时”要求</w:t>
      </w:r>
      <w:r>
        <w:rPr>
          <w:rFonts w:hint="eastAsia"/>
        </w:rPr>
        <w:t>的</w:t>
      </w:r>
      <w:r>
        <w:t>符合性检查。</w:t>
      </w:r>
    </w:p>
    <w:p>
      <w:pPr>
        <w:pStyle w:val="14"/>
        <w:spacing w:before="156" w:after="156"/>
      </w:pPr>
      <w:r>
        <w:t xml:space="preserve">表 </w:t>
      </w:r>
      <w:r>
        <w:fldChar w:fldCharType="begin"/>
      </w:r>
      <w:r>
        <w:instrText xml:space="preserve"> STYLEREF 2 \s </w:instrText>
      </w:r>
      <w:r>
        <w:fldChar w:fldCharType="separate"/>
      </w:r>
      <w:r>
        <w:t>5.1</w:t>
      </w:r>
      <w:r>
        <w:fldChar w:fldCharType="end"/>
      </w:r>
      <w:r>
        <w:rPr>
          <w:rFonts w:hint="eastAsia"/>
        </w:rPr>
        <w:t>-</w:t>
      </w:r>
      <w:r>
        <w:fldChar w:fldCharType="begin"/>
      </w:r>
      <w:r>
        <w:instrText xml:space="preserve"> SEQ 表 \* ARABIC \s 2 </w:instrText>
      </w:r>
      <w:r>
        <w:fldChar w:fldCharType="separate"/>
      </w:r>
      <w:r>
        <w:t>1</w:t>
      </w:r>
      <w:r>
        <w:fldChar w:fldCharType="end"/>
      </w:r>
      <w:r>
        <w:rPr>
          <w:rFonts w:hint="eastAsia"/>
        </w:rPr>
        <w:t>安全设施“三同时”程序符合性检查表</w:t>
      </w:r>
    </w:p>
    <w:tbl>
      <w:tblPr>
        <w:tblStyle w:val="30"/>
        <w:tblW w:w="4998"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869"/>
        <w:gridCol w:w="2357"/>
        <w:gridCol w:w="1575"/>
        <w:gridCol w:w="2920"/>
        <w:gridCol w:w="79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510" w:type="pct"/>
            <w:vAlign w:val="center"/>
          </w:tcPr>
          <w:p>
            <w:pPr>
              <w:snapToGrid w:val="0"/>
              <w:spacing w:line="240" w:lineRule="auto"/>
              <w:ind w:firstLine="0" w:firstLineChars="0"/>
              <w:jc w:val="center"/>
              <w:rPr>
                <w:sz w:val="22"/>
              </w:rPr>
            </w:pPr>
            <w:r>
              <w:rPr>
                <w:rFonts w:hint="eastAsia"/>
                <w:sz w:val="22"/>
              </w:rPr>
              <w:t>序号</w:t>
            </w:r>
          </w:p>
        </w:tc>
        <w:tc>
          <w:tcPr>
            <w:tcW w:w="1383" w:type="pct"/>
            <w:vAlign w:val="center"/>
          </w:tcPr>
          <w:p>
            <w:pPr>
              <w:snapToGrid w:val="0"/>
              <w:spacing w:line="240" w:lineRule="auto"/>
              <w:ind w:firstLine="0" w:firstLineChars="0"/>
              <w:jc w:val="center"/>
              <w:rPr>
                <w:sz w:val="22"/>
              </w:rPr>
            </w:pPr>
            <w:r>
              <w:rPr>
                <w:rFonts w:hint="eastAsia"/>
                <w:sz w:val="22"/>
              </w:rPr>
              <w:t>检查项目及内容</w:t>
            </w:r>
          </w:p>
        </w:tc>
        <w:tc>
          <w:tcPr>
            <w:tcW w:w="924" w:type="pct"/>
            <w:vAlign w:val="center"/>
          </w:tcPr>
          <w:p>
            <w:pPr>
              <w:snapToGrid w:val="0"/>
              <w:spacing w:line="240" w:lineRule="auto"/>
              <w:ind w:firstLine="0" w:firstLineChars="0"/>
              <w:jc w:val="center"/>
              <w:rPr>
                <w:sz w:val="22"/>
              </w:rPr>
            </w:pPr>
            <w:r>
              <w:rPr>
                <w:rFonts w:hint="eastAsia"/>
                <w:sz w:val="22"/>
              </w:rPr>
              <w:t>评价依据</w:t>
            </w:r>
          </w:p>
        </w:tc>
        <w:tc>
          <w:tcPr>
            <w:tcW w:w="1713" w:type="pct"/>
            <w:vAlign w:val="center"/>
          </w:tcPr>
          <w:p>
            <w:pPr>
              <w:snapToGrid w:val="0"/>
              <w:spacing w:line="240" w:lineRule="auto"/>
              <w:ind w:firstLine="0" w:firstLineChars="0"/>
              <w:jc w:val="center"/>
              <w:rPr>
                <w:sz w:val="22"/>
              </w:rPr>
            </w:pPr>
            <w:r>
              <w:rPr>
                <w:rFonts w:hint="eastAsia"/>
                <w:sz w:val="22"/>
              </w:rPr>
              <w:t>检查记录</w:t>
            </w:r>
          </w:p>
        </w:tc>
        <w:tc>
          <w:tcPr>
            <w:tcW w:w="468" w:type="pct"/>
            <w:vAlign w:val="center"/>
          </w:tcPr>
          <w:p>
            <w:pPr>
              <w:snapToGrid w:val="0"/>
              <w:spacing w:line="240" w:lineRule="auto"/>
              <w:ind w:firstLine="0" w:firstLineChars="0"/>
              <w:jc w:val="center"/>
              <w:rPr>
                <w:sz w:val="22"/>
              </w:rPr>
            </w:pPr>
            <w:r>
              <w:rPr>
                <w:rFonts w:hint="eastAsia"/>
                <w:sz w:val="22"/>
              </w:rPr>
              <w:t>检查结果</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28" w:hRule="atLeast"/>
        </w:trPr>
        <w:tc>
          <w:tcPr>
            <w:tcW w:w="510" w:type="pct"/>
            <w:vAlign w:val="center"/>
          </w:tcPr>
          <w:p>
            <w:pPr>
              <w:numPr>
                <w:ilvl w:val="0"/>
                <w:numId w:val="54"/>
              </w:numPr>
              <w:tabs>
                <w:tab w:val="left" w:pos="397"/>
                <w:tab w:val="clear" w:pos="0"/>
              </w:tabs>
              <w:snapToGrid w:val="0"/>
              <w:spacing w:before="156" w:beforeLines="50" w:line="240" w:lineRule="auto"/>
              <w:ind w:left="0" w:firstLine="0" w:firstLineChars="0"/>
              <w:jc w:val="center"/>
              <w:rPr>
                <w:sz w:val="22"/>
              </w:rPr>
            </w:pPr>
          </w:p>
        </w:tc>
        <w:tc>
          <w:tcPr>
            <w:tcW w:w="1383" w:type="pct"/>
            <w:vAlign w:val="center"/>
          </w:tcPr>
          <w:p>
            <w:pPr>
              <w:adjustRightInd w:val="0"/>
              <w:snapToGrid w:val="0"/>
              <w:spacing w:line="240" w:lineRule="auto"/>
              <w:ind w:firstLine="0" w:firstLineChars="0"/>
              <w:jc w:val="center"/>
              <w:rPr>
                <w:sz w:val="22"/>
              </w:rPr>
            </w:pPr>
            <w:r>
              <w:rPr>
                <w:rFonts w:hint="eastAsia" w:ascii="宋体" w:hAnsi="宋体"/>
                <w:sz w:val="21"/>
                <w:szCs w:val="21"/>
              </w:rPr>
              <w:t>工程设计</w:t>
            </w:r>
          </w:p>
        </w:tc>
        <w:tc>
          <w:tcPr>
            <w:tcW w:w="924" w:type="pct"/>
            <w:vAlign w:val="center"/>
          </w:tcPr>
          <w:p>
            <w:pPr>
              <w:adjustRightInd w:val="0"/>
              <w:snapToGrid w:val="0"/>
              <w:spacing w:line="240" w:lineRule="auto"/>
              <w:ind w:firstLine="0" w:firstLineChars="0"/>
              <w:jc w:val="both"/>
              <w:rPr>
                <w:sz w:val="22"/>
              </w:rPr>
            </w:pPr>
            <w:r>
              <w:rPr>
                <w:rFonts w:hint="eastAsia" w:ascii="宋体" w:hAnsi="宋体"/>
                <w:sz w:val="21"/>
                <w:szCs w:val="21"/>
              </w:rPr>
              <w:t>《建设项目设施“三同时”监督管理办法》（国家安全生产监督管理总局令</w:t>
            </w:r>
            <w:r>
              <w:rPr>
                <w:rFonts w:hint="eastAsia" w:ascii="宋体" w:hAnsi="宋体"/>
                <w:sz w:val="21"/>
                <w:szCs w:val="21"/>
                <w:lang w:val="en-US" w:eastAsia="zh-CN"/>
              </w:rPr>
              <w:t>第</w:t>
            </w:r>
            <w:r>
              <w:rPr>
                <w:rFonts w:hint="eastAsia" w:ascii="宋体" w:hAnsi="宋体"/>
                <w:sz w:val="21"/>
                <w:szCs w:val="21"/>
              </w:rPr>
              <w:t>36号，国家安全生产监督管理总局令第77号修订）</w:t>
            </w:r>
          </w:p>
        </w:tc>
        <w:tc>
          <w:tcPr>
            <w:tcW w:w="1713" w:type="pct"/>
            <w:vAlign w:val="center"/>
          </w:tcPr>
          <w:p>
            <w:pPr>
              <w:adjustRightInd w:val="0"/>
              <w:snapToGrid w:val="0"/>
              <w:spacing w:line="240" w:lineRule="auto"/>
              <w:ind w:firstLine="0" w:firstLineChars="0"/>
              <w:jc w:val="both"/>
              <w:rPr>
                <w:sz w:val="22"/>
              </w:rPr>
            </w:pPr>
            <w:r>
              <w:rPr>
                <w:rFonts w:hint="eastAsia" w:ascii="宋体" w:hAnsi="宋体"/>
                <w:sz w:val="21"/>
                <w:szCs w:val="21"/>
              </w:rPr>
              <w:t>建设项目由云南广厦规划建筑设计院有限公司设计。设计单位《工程设计资质证书》证书编号：253006854，资质等级：建筑行业（建筑工程）乙级</w:t>
            </w:r>
          </w:p>
        </w:tc>
        <w:tc>
          <w:tcPr>
            <w:tcW w:w="468" w:type="pct"/>
            <w:vAlign w:val="center"/>
          </w:tcPr>
          <w:p>
            <w:pPr>
              <w:adjustRightInd w:val="0"/>
              <w:snapToGrid w:val="0"/>
              <w:spacing w:line="240" w:lineRule="auto"/>
              <w:ind w:firstLine="0" w:firstLineChars="0"/>
              <w:jc w:val="center"/>
              <w:rPr>
                <w:sz w:val="22"/>
              </w:rPr>
            </w:pPr>
            <w:r>
              <w:rPr>
                <w:rFonts w:hint="eastAsia" w:ascii="宋体" w:hAnsi="宋体"/>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841" w:hRule="atLeast"/>
        </w:trPr>
        <w:tc>
          <w:tcPr>
            <w:tcW w:w="510" w:type="pct"/>
            <w:vAlign w:val="center"/>
          </w:tcPr>
          <w:p>
            <w:pPr>
              <w:numPr>
                <w:ilvl w:val="0"/>
                <w:numId w:val="54"/>
              </w:numPr>
              <w:tabs>
                <w:tab w:val="left" w:pos="397"/>
                <w:tab w:val="clear" w:pos="0"/>
              </w:tabs>
              <w:snapToGrid w:val="0"/>
              <w:spacing w:before="156" w:beforeLines="50" w:line="240" w:lineRule="auto"/>
              <w:ind w:left="0" w:firstLine="0" w:firstLineChars="0"/>
              <w:jc w:val="center"/>
              <w:rPr>
                <w:sz w:val="22"/>
              </w:rPr>
            </w:pPr>
          </w:p>
        </w:tc>
        <w:tc>
          <w:tcPr>
            <w:tcW w:w="1383" w:type="pct"/>
            <w:vAlign w:val="center"/>
          </w:tcPr>
          <w:p>
            <w:pPr>
              <w:adjustRightInd w:val="0"/>
              <w:snapToGrid w:val="0"/>
              <w:spacing w:line="240" w:lineRule="auto"/>
              <w:ind w:firstLine="0" w:firstLineChars="0"/>
              <w:jc w:val="center"/>
              <w:rPr>
                <w:sz w:val="22"/>
              </w:rPr>
            </w:pPr>
            <w:r>
              <w:rPr>
                <w:rFonts w:hint="eastAsia" w:ascii="宋体" w:hAnsi="宋体"/>
                <w:sz w:val="21"/>
                <w:szCs w:val="21"/>
              </w:rPr>
              <w:t>安全生产条件和设施综合分析报告</w:t>
            </w:r>
          </w:p>
        </w:tc>
        <w:tc>
          <w:tcPr>
            <w:tcW w:w="924" w:type="pct"/>
            <w:vAlign w:val="center"/>
          </w:tcPr>
          <w:p>
            <w:pPr>
              <w:adjustRightInd w:val="0"/>
              <w:snapToGrid w:val="0"/>
              <w:spacing w:line="240" w:lineRule="auto"/>
              <w:ind w:firstLine="0" w:firstLineChars="0"/>
              <w:jc w:val="both"/>
              <w:rPr>
                <w:sz w:val="22"/>
              </w:rPr>
            </w:pPr>
            <w:r>
              <w:rPr>
                <w:rFonts w:ascii="宋体" w:hAnsi="宋体"/>
                <w:sz w:val="21"/>
                <w:szCs w:val="21"/>
              </w:rPr>
              <w:t>《建设项目设施“三同时”监督管理办法》（国家安全生产监督管理总局令</w:t>
            </w:r>
            <w:r>
              <w:rPr>
                <w:rFonts w:hint="eastAsia" w:ascii="宋体" w:hAnsi="宋体"/>
                <w:sz w:val="21"/>
                <w:szCs w:val="21"/>
                <w:lang w:val="en-US" w:eastAsia="zh-CN"/>
              </w:rPr>
              <w:t>第</w:t>
            </w:r>
            <w:r>
              <w:rPr>
                <w:rFonts w:ascii="宋体" w:hAnsi="宋体"/>
                <w:sz w:val="21"/>
                <w:szCs w:val="21"/>
              </w:rPr>
              <w:t>36号，国家安全生产监督管理总局令第77号修订）</w:t>
            </w:r>
          </w:p>
        </w:tc>
        <w:tc>
          <w:tcPr>
            <w:tcW w:w="1713" w:type="pct"/>
            <w:vAlign w:val="center"/>
          </w:tcPr>
          <w:p>
            <w:pPr>
              <w:adjustRightInd w:val="0"/>
              <w:snapToGrid w:val="0"/>
              <w:spacing w:line="240" w:lineRule="auto"/>
              <w:ind w:firstLine="0" w:firstLineChars="0"/>
              <w:jc w:val="both"/>
              <w:rPr>
                <w:sz w:val="22"/>
              </w:rPr>
            </w:pPr>
            <w:r>
              <w:rPr>
                <w:rFonts w:hint="eastAsia"/>
                <w:sz w:val="22"/>
              </w:rPr>
              <w:t>由贵州荣基安全科技有限责任公司于2020年7月编制《云南大姚机械配件厂退城入园整体技改搬迁项目安全生产条件和设施综合分析报告》。</w:t>
            </w:r>
          </w:p>
          <w:p>
            <w:pPr>
              <w:adjustRightInd w:val="0"/>
              <w:snapToGrid w:val="0"/>
              <w:spacing w:line="240" w:lineRule="auto"/>
              <w:ind w:firstLine="0" w:firstLineChars="0"/>
              <w:jc w:val="both"/>
              <w:rPr>
                <w:sz w:val="22"/>
              </w:rPr>
            </w:pPr>
            <w:r>
              <w:rPr>
                <w:rFonts w:hint="eastAsia"/>
                <w:sz w:val="22"/>
              </w:rPr>
              <w:t>编制单位资质证书编号：APJ-(国)-122安全评价甲级资质。</w:t>
            </w:r>
          </w:p>
          <w:p>
            <w:pPr>
              <w:adjustRightInd w:val="0"/>
              <w:snapToGrid w:val="0"/>
              <w:spacing w:line="240" w:lineRule="auto"/>
              <w:ind w:firstLine="0" w:firstLineChars="0"/>
              <w:jc w:val="both"/>
              <w:rPr>
                <w:sz w:val="22"/>
              </w:rPr>
            </w:pPr>
            <w:r>
              <w:rPr>
                <w:rFonts w:hint="eastAsia"/>
                <w:sz w:val="22"/>
              </w:rPr>
              <w:t>2021年7月9日经大姚县工业信息化商务科学技术局组织专家和有关单位审查后，出具安全条件审查意见书《工业企业建设项目安全条件审查意见书大工业项目》（安条审字〔2021〕1号）。</w:t>
            </w:r>
          </w:p>
        </w:tc>
        <w:tc>
          <w:tcPr>
            <w:tcW w:w="468" w:type="pct"/>
            <w:vAlign w:val="center"/>
          </w:tcPr>
          <w:p>
            <w:pPr>
              <w:adjustRightInd w:val="0"/>
              <w:snapToGrid w:val="0"/>
              <w:spacing w:line="240" w:lineRule="auto"/>
              <w:ind w:firstLine="0" w:firstLineChars="0"/>
              <w:jc w:val="center"/>
              <w:rPr>
                <w:rFonts w:ascii="Arial" w:hAnsi="Arial" w:cs="Arial"/>
                <w:sz w:val="22"/>
              </w:rPr>
            </w:pPr>
            <w:r>
              <w:rPr>
                <w:rFonts w:hint="eastAsia" w:ascii="宋体" w:hAnsi="宋体"/>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5" w:hRule="atLeast"/>
        </w:trPr>
        <w:tc>
          <w:tcPr>
            <w:tcW w:w="510" w:type="pct"/>
            <w:vAlign w:val="center"/>
          </w:tcPr>
          <w:p>
            <w:pPr>
              <w:numPr>
                <w:ilvl w:val="0"/>
                <w:numId w:val="54"/>
              </w:numPr>
              <w:tabs>
                <w:tab w:val="left" w:pos="397"/>
                <w:tab w:val="clear" w:pos="0"/>
              </w:tabs>
              <w:snapToGrid w:val="0"/>
              <w:spacing w:before="156" w:beforeLines="50" w:line="240" w:lineRule="auto"/>
              <w:ind w:left="0" w:firstLine="0" w:firstLineChars="0"/>
              <w:jc w:val="center"/>
              <w:rPr>
                <w:sz w:val="22"/>
              </w:rPr>
            </w:pPr>
          </w:p>
        </w:tc>
        <w:tc>
          <w:tcPr>
            <w:tcW w:w="1383" w:type="pct"/>
            <w:vAlign w:val="center"/>
          </w:tcPr>
          <w:p>
            <w:pPr>
              <w:snapToGrid w:val="0"/>
              <w:spacing w:line="240" w:lineRule="auto"/>
              <w:ind w:firstLine="0" w:firstLineChars="0"/>
              <w:jc w:val="both"/>
              <w:rPr>
                <w:sz w:val="22"/>
              </w:rPr>
            </w:pPr>
            <w:r>
              <w:rPr>
                <w:rFonts w:hint="eastAsia"/>
                <w:sz w:val="22"/>
              </w:rPr>
              <w:t>安全设施设计</w:t>
            </w:r>
          </w:p>
        </w:tc>
        <w:tc>
          <w:tcPr>
            <w:tcW w:w="924" w:type="pct"/>
            <w:vAlign w:val="center"/>
          </w:tcPr>
          <w:p>
            <w:pPr>
              <w:snapToGrid w:val="0"/>
              <w:spacing w:line="240" w:lineRule="auto"/>
              <w:ind w:firstLine="0" w:firstLineChars="0"/>
              <w:jc w:val="both"/>
              <w:rPr>
                <w:sz w:val="22"/>
              </w:rPr>
            </w:pPr>
            <w:r>
              <w:rPr>
                <w:rFonts w:ascii="宋体" w:hAnsi="宋体"/>
                <w:sz w:val="21"/>
                <w:szCs w:val="21"/>
              </w:rPr>
              <w:t>《建设项目设施“三同时”监督管理办法》（国家安全生产监督管理总局令</w:t>
            </w:r>
            <w:r>
              <w:rPr>
                <w:rFonts w:hint="eastAsia" w:ascii="宋体" w:hAnsi="宋体"/>
                <w:sz w:val="21"/>
                <w:szCs w:val="21"/>
                <w:lang w:val="en-US" w:eastAsia="zh-CN"/>
              </w:rPr>
              <w:t>第</w:t>
            </w:r>
            <w:r>
              <w:rPr>
                <w:rFonts w:ascii="宋体" w:hAnsi="宋体"/>
                <w:sz w:val="21"/>
                <w:szCs w:val="21"/>
              </w:rPr>
              <w:t>36号，国家安全生产监督管理总局令第77号修订）</w:t>
            </w:r>
          </w:p>
        </w:tc>
        <w:tc>
          <w:tcPr>
            <w:tcW w:w="1713" w:type="pct"/>
            <w:vAlign w:val="center"/>
          </w:tcPr>
          <w:p>
            <w:pPr>
              <w:snapToGrid w:val="0"/>
              <w:spacing w:line="240" w:lineRule="auto"/>
              <w:ind w:firstLine="0" w:firstLineChars="0"/>
              <w:jc w:val="both"/>
              <w:rPr>
                <w:sz w:val="22"/>
              </w:rPr>
            </w:pPr>
            <w:r>
              <w:rPr>
                <w:rFonts w:hint="eastAsia"/>
                <w:sz w:val="22"/>
              </w:rPr>
              <w:t>辽宁海慧工程技术有限公司于2022年5</w:t>
            </w:r>
            <w:r>
              <w:rPr>
                <w:rFonts w:hint="eastAsia"/>
                <w:sz w:val="22"/>
                <w:lang w:eastAsia="zh-CN"/>
              </w:rPr>
              <w:t>月</w:t>
            </w:r>
            <w:r>
              <w:rPr>
                <w:rFonts w:hint="eastAsia"/>
                <w:sz w:val="22"/>
              </w:rPr>
              <w:t>编制安全设施设计。</w:t>
            </w:r>
          </w:p>
          <w:p>
            <w:pPr>
              <w:snapToGrid w:val="0"/>
              <w:spacing w:line="240" w:lineRule="auto"/>
              <w:ind w:firstLine="0" w:firstLineChars="0"/>
              <w:jc w:val="both"/>
              <w:rPr>
                <w:sz w:val="22"/>
              </w:rPr>
            </w:pPr>
            <w:r>
              <w:rPr>
                <w:rFonts w:hint="eastAsia"/>
                <w:sz w:val="22"/>
              </w:rPr>
              <w:t>编制单位资质证书编号A221019517：</w:t>
            </w:r>
          </w:p>
          <w:p>
            <w:pPr>
              <w:snapToGrid w:val="0"/>
              <w:spacing w:line="240" w:lineRule="auto"/>
              <w:ind w:firstLine="0" w:firstLineChars="0"/>
              <w:jc w:val="both"/>
              <w:rPr>
                <w:sz w:val="22"/>
              </w:rPr>
            </w:pPr>
            <w:r>
              <w:rPr>
                <w:rFonts w:hint="eastAsia"/>
                <w:sz w:val="22"/>
              </w:rPr>
              <w:t>建筑行业乙级、机械行业乙级、冶金行业乙级、消防设施工程专项乙级。</w:t>
            </w:r>
          </w:p>
          <w:p>
            <w:pPr>
              <w:snapToGrid w:val="0"/>
              <w:spacing w:line="240" w:lineRule="auto"/>
              <w:ind w:firstLine="0" w:firstLineChars="0"/>
              <w:jc w:val="both"/>
              <w:rPr>
                <w:sz w:val="22"/>
              </w:rPr>
            </w:pPr>
            <w:r>
              <w:rPr>
                <w:rFonts w:hint="eastAsia"/>
                <w:sz w:val="22"/>
              </w:rPr>
              <w:t>2021年7月21日大姚县工业信息化商务科学技术局出具安全设施设计审查意见书《工业企业建设项目安全设施设计审查意见书》（大工业项目安设审字〔2021〕1号），同意该建设项目安全设施设计专篇。</w:t>
            </w:r>
          </w:p>
        </w:tc>
        <w:tc>
          <w:tcPr>
            <w:tcW w:w="468" w:type="pct"/>
            <w:vAlign w:val="center"/>
          </w:tcPr>
          <w:p>
            <w:pPr>
              <w:snapToGrid w:val="0"/>
              <w:spacing w:line="240" w:lineRule="auto"/>
              <w:ind w:firstLine="0" w:firstLineChars="0"/>
              <w:jc w:val="center"/>
              <w:rPr>
                <w:rFonts w:ascii="Arial" w:hAnsi="Arial" w:cs="Arial"/>
                <w:sz w:val="22"/>
              </w:rPr>
            </w:pPr>
            <w:r>
              <w:rPr>
                <w:rFonts w:hint="eastAsia" w:ascii="宋体" w:hAnsi="宋体"/>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5" w:hRule="atLeast"/>
        </w:trPr>
        <w:tc>
          <w:tcPr>
            <w:tcW w:w="510" w:type="pct"/>
            <w:vAlign w:val="center"/>
          </w:tcPr>
          <w:p>
            <w:pPr>
              <w:numPr>
                <w:ilvl w:val="0"/>
                <w:numId w:val="54"/>
              </w:numPr>
              <w:tabs>
                <w:tab w:val="left" w:pos="397"/>
                <w:tab w:val="clear" w:pos="0"/>
              </w:tabs>
              <w:snapToGrid w:val="0"/>
              <w:spacing w:before="156" w:beforeLines="50" w:line="240" w:lineRule="auto"/>
              <w:ind w:left="0" w:firstLine="0" w:firstLineChars="0"/>
              <w:jc w:val="center"/>
              <w:rPr>
                <w:sz w:val="22"/>
              </w:rPr>
            </w:pPr>
          </w:p>
        </w:tc>
        <w:tc>
          <w:tcPr>
            <w:tcW w:w="1383" w:type="pct"/>
            <w:vAlign w:val="center"/>
          </w:tcPr>
          <w:p>
            <w:pPr>
              <w:snapToGrid w:val="0"/>
              <w:spacing w:line="240" w:lineRule="auto"/>
              <w:ind w:firstLine="0" w:firstLineChars="0"/>
              <w:jc w:val="both"/>
              <w:rPr>
                <w:sz w:val="22"/>
              </w:rPr>
            </w:pPr>
            <w:r>
              <w:rPr>
                <w:rFonts w:hint="eastAsia"/>
                <w:sz w:val="22"/>
              </w:rPr>
              <w:t>建设项目安全设施的施工应当由取得相应资质的施工单位进行，并与建设项目主体工程同时施工。</w:t>
            </w:r>
          </w:p>
        </w:tc>
        <w:tc>
          <w:tcPr>
            <w:tcW w:w="924" w:type="pct"/>
            <w:vAlign w:val="center"/>
          </w:tcPr>
          <w:p>
            <w:pPr>
              <w:snapToGrid w:val="0"/>
              <w:spacing w:line="240" w:lineRule="auto"/>
              <w:ind w:firstLine="0" w:firstLineChars="0"/>
              <w:jc w:val="both"/>
              <w:rPr>
                <w:sz w:val="22"/>
              </w:rPr>
            </w:pPr>
            <w:r>
              <w:rPr>
                <w:rFonts w:ascii="宋体" w:hAnsi="宋体"/>
                <w:sz w:val="21"/>
                <w:szCs w:val="21"/>
              </w:rPr>
              <w:t>《建设项目设施“三同时”监督管理办法》（国家安全生产监督管理总局</w:t>
            </w:r>
            <w:r>
              <w:rPr>
                <w:rFonts w:hint="eastAsia" w:ascii="宋体" w:hAnsi="宋体"/>
                <w:sz w:val="21"/>
                <w:szCs w:val="21"/>
                <w:lang w:eastAsia="zh-CN"/>
              </w:rPr>
              <w:t>令第36</w:t>
            </w:r>
            <w:r>
              <w:rPr>
                <w:rFonts w:ascii="宋体" w:hAnsi="宋体"/>
                <w:sz w:val="21"/>
                <w:szCs w:val="21"/>
              </w:rPr>
              <w:t>号，国家安全生产监督管理总局令第77号修订）</w:t>
            </w:r>
          </w:p>
        </w:tc>
        <w:tc>
          <w:tcPr>
            <w:tcW w:w="1713" w:type="pct"/>
            <w:vAlign w:val="center"/>
          </w:tcPr>
          <w:p>
            <w:pPr>
              <w:snapToGrid w:val="0"/>
              <w:spacing w:line="240" w:lineRule="auto"/>
              <w:ind w:firstLine="0" w:firstLineChars="0"/>
              <w:jc w:val="both"/>
              <w:rPr>
                <w:sz w:val="22"/>
              </w:rPr>
            </w:pPr>
            <w:r>
              <w:rPr>
                <w:rFonts w:hint="eastAsia"/>
                <w:sz w:val="22"/>
              </w:rPr>
              <w:t>由昆明三合钢结构制造有限公司建设施工。</w:t>
            </w:r>
          </w:p>
          <w:p>
            <w:pPr>
              <w:snapToGrid w:val="0"/>
              <w:spacing w:line="240" w:lineRule="auto"/>
              <w:ind w:left="220" w:hanging="220" w:hangingChars="100"/>
              <w:jc w:val="both"/>
              <w:rPr>
                <w:sz w:val="22"/>
              </w:rPr>
            </w:pPr>
            <w:r>
              <w:rPr>
                <w:rFonts w:hint="eastAsia"/>
                <w:sz w:val="22"/>
              </w:rPr>
              <w:t>施工单位资质证书编号：</w:t>
            </w:r>
          </w:p>
          <w:p>
            <w:pPr>
              <w:snapToGrid w:val="0"/>
              <w:spacing w:line="240" w:lineRule="auto"/>
              <w:ind w:left="220" w:hanging="220" w:hangingChars="100"/>
              <w:jc w:val="both"/>
              <w:rPr>
                <w:sz w:val="22"/>
              </w:rPr>
            </w:pPr>
            <w:r>
              <w:rPr>
                <w:rFonts w:hint="eastAsia"/>
                <w:sz w:val="22"/>
              </w:rPr>
              <w:t>DW353000019建筑工程施工总承包叁级；</w:t>
            </w:r>
          </w:p>
          <w:p>
            <w:pPr>
              <w:snapToGrid w:val="0"/>
              <w:spacing w:line="240" w:lineRule="auto"/>
              <w:ind w:left="220" w:hanging="220" w:hangingChars="100"/>
              <w:jc w:val="both"/>
              <w:rPr>
                <w:sz w:val="22"/>
              </w:rPr>
            </w:pPr>
            <w:r>
              <w:rPr>
                <w:rFonts w:hint="eastAsia"/>
                <w:sz w:val="22"/>
              </w:rPr>
              <w:t>DW153047145钢结构工程专业承包壹级</w:t>
            </w:r>
          </w:p>
        </w:tc>
        <w:tc>
          <w:tcPr>
            <w:tcW w:w="468" w:type="pct"/>
            <w:vAlign w:val="center"/>
          </w:tcPr>
          <w:p>
            <w:pPr>
              <w:snapToGrid w:val="0"/>
              <w:spacing w:line="240" w:lineRule="auto"/>
              <w:ind w:firstLine="0" w:firstLineChars="0"/>
              <w:jc w:val="center"/>
              <w:rPr>
                <w:sz w:val="22"/>
              </w:rPr>
            </w:pPr>
            <w:r>
              <w:rPr>
                <w:rFonts w:hint="eastAsia" w:ascii="宋体" w:hAnsi="宋体"/>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5" w:hRule="atLeast"/>
        </w:trPr>
        <w:tc>
          <w:tcPr>
            <w:tcW w:w="510" w:type="pct"/>
            <w:vAlign w:val="center"/>
          </w:tcPr>
          <w:p>
            <w:pPr>
              <w:numPr>
                <w:ilvl w:val="0"/>
                <w:numId w:val="54"/>
              </w:numPr>
              <w:tabs>
                <w:tab w:val="left" w:pos="397"/>
                <w:tab w:val="clear" w:pos="0"/>
              </w:tabs>
              <w:snapToGrid w:val="0"/>
              <w:spacing w:before="156" w:beforeLines="50" w:line="240" w:lineRule="auto"/>
              <w:ind w:left="0" w:firstLine="0" w:firstLineChars="0"/>
              <w:jc w:val="center"/>
              <w:rPr>
                <w:sz w:val="22"/>
              </w:rPr>
            </w:pPr>
          </w:p>
        </w:tc>
        <w:tc>
          <w:tcPr>
            <w:tcW w:w="1383" w:type="pct"/>
            <w:vAlign w:val="center"/>
          </w:tcPr>
          <w:p>
            <w:pPr>
              <w:snapToGrid w:val="0"/>
              <w:spacing w:line="240" w:lineRule="auto"/>
              <w:ind w:firstLine="0" w:firstLineChars="0"/>
              <w:jc w:val="both"/>
              <w:rPr>
                <w:sz w:val="22"/>
              </w:rPr>
            </w:pPr>
            <w:r>
              <w:rPr>
                <w:rFonts w:hint="eastAsia"/>
                <w:sz w:val="22"/>
              </w:rPr>
              <w:t>工程监理单位应当审查施工组织设计中的安全技术措施或者专项施工方案是否符合工程建设强制性标准。</w:t>
            </w:r>
          </w:p>
        </w:tc>
        <w:tc>
          <w:tcPr>
            <w:tcW w:w="924" w:type="pct"/>
            <w:vAlign w:val="center"/>
          </w:tcPr>
          <w:p>
            <w:pPr>
              <w:snapToGrid w:val="0"/>
              <w:spacing w:line="240" w:lineRule="auto"/>
              <w:ind w:firstLine="0" w:firstLineChars="0"/>
              <w:jc w:val="center"/>
              <w:rPr>
                <w:sz w:val="22"/>
              </w:rPr>
            </w:pPr>
            <w:r>
              <w:rPr>
                <w:rFonts w:ascii="宋体" w:hAnsi="宋体"/>
                <w:sz w:val="21"/>
                <w:szCs w:val="21"/>
              </w:rPr>
              <w:t>《建设项目设施“三同时”监督管理办法》（国家安全生产监督管理总局</w:t>
            </w:r>
            <w:r>
              <w:rPr>
                <w:rFonts w:hint="eastAsia" w:ascii="宋体" w:hAnsi="宋体"/>
                <w:sz w:val="21"/>
                <w:szCs w:val="21"/>
                <w:lang w:eastAsia="zh-CN"/>
              </w:rPr>
              <w:t>令第36</w:t>
            </w:r>
            <w:r>
              <w:rPr>
                <w:rFonts w:ascii="宋体" w:hAnsi="宋体"/>
                <w:sz w:val="21"/>
                <w:szCs w:val="21"/>
              </w:rPr>
              <w:t>号，国家安全生产监督管理总局令第77号修订）</w:t>
            </w:r>
          </w:p>
        </w:tc>
        <w:tc>
          <w:tcPr>
            <w:tcW w:w="1713" w:type="pct"/>
            <w:vAlign w:val="center"/>
          </w:tcPr>
          <w:p>
            <w:pPr>
              <w:snapToGrid w:val="0"/>
              <w:spacing w:line="240" w:lineRule="auto"/>
              <w:ind w:left="220" w:hanging="220" w:hangingChars="100"/>
              <w:jc w:val="both"/>
              <w:rPr>
                <w:sz w:val="22"/>
              </w:rPr>
            </w:pPr>
            <w:r>
              <w:rPr>
                <w:rFonts w:hint="eastAsia"/>
                <w:sz w:val="22"/>
              </w:rPr>
              <w:t>由楚雄市华联建设项目管理有限公司对工程进行监理。</w:t>
            </w:r>
          </w:p>
          <w:p>
            <w:pPr>
              <w:snapToGrid w:val="0"/>
              <w:spacing w:line="240" w:lineRule="auto"/>
              <w:ind w:left="220" w:hanging="220" w:hangingChars="100"/>
              <w:jc w:val="both"/>
              <w:rPr>
                <w:sz w:val="22"/>
              </w:rPr>
            </w:pPr>
            <w:r>
              <w:rPr>
                <w:rFonts w:hint="eastAsia"/>
                <w:sz w:val="22"/>
              </w:rPr>
              <w:t>监理单位资质证书编号：</w:t>
            </w:r>
          </w:p>
          <w:p>
            <w:pPr>
              <w:snapToGrid w:val="0"/>
              <w:spacing w:line="240" w:lineRule="auto"/>
              <w:ind w:left="220" w:hanging="220" w:hangingChars="100"/>
              <w:jc w:val="both"/>
              <w:rPr>
                <w:sz w:val="22"/>
              </w:rPr>
            </w:pPr>
            <w:r>
              <w:rPr>
                <w:sz w:val="22"/>
              </w:rPr>
              <w:t>E253010306-4房屋建筑工程专业资质乙级</w:t>
            </w:r>
          </w:p>
        </w:tc>
        <w:tc>
          <w:tcPr>
            <w:tcW w:w="468" w:type="pct"/>
            <w:vAlign w:val="center"/>
          </w:tcPr>
          <w:p>
            <w:pPr>
              <w:snapToGrid w:val="0"/>
              <w:spacing w:line="240" w:lineRule="auto"/>
              <w:ind w:firstLine="0" w:firstLineChars="0"/>
              <w:jc w:val="center"/>
              <w:rPr>
                <w:sz w:val="22"/>
              </w:rPr>
            </w:pPr>
            <w:r>
              <w:rPr>
                <w:rFonts w:hint="eastAsia" w:ascii="宋体" w:hAnsi="宋体"/>
                <w:sz w:val="21"/>
                <w:szCs w:val="21"/>
              </w:rPr>
              <w:t>符合</w:t>
            </w:r>
          </w:p>
        </w:tc>
      </w:tr>
    </w:tbl>
    <w:p>
      <w:pPr>
        <w:pStyle w:val="20"/>
        <w:ind w:firstLine="560"/>
      </w:pPr>
      <w:r>
        <w:rPr>
          <w:rFonts w:hint="eastAsia"/>
        </w:rPr>
        <w:t>云南大姚机械配件厂退城入园整体技改搬迁项目，建设程序符合《中华人民共和国安全生产法》（</w:t>
      </w:r>
      <w:r>
        <w:rPr>
          <w:rFonts w:hint="eastAsia"/>
          <w:lang w:eastAsia="zh-CN"/>
        </w:rPr>
        <w:t>中华人民共和国</w:t>
      </w:r>
      <w:r>
        <w:rPr>
          <w:rFonts w:hint="eastAsia"/>
        </w:rPr>
        <w:t>主席令88号）、《建设项目安全设施“三同时”监督管理办法》（原国家安全生产监督管理总局令第36号，第77号修正）要求。建设项目经有关部门核准，安全生产条件和设施综合分析报告、安全设施设计由资质单位进行编制，得到主管部门的认可。建设项目安全设施的施工、监理符合要求，主体工程做到同时设计、同时施工、同时投入生产和使用，满足建设项目“三同时”的要求。针对</w:t>
      </w:r>
      <w:r>
        <w:rPr>
          <w:rFonts w:hint="eastAsia" w:ascii="宋体" w:hAnsi="宋体" w:cs="宋体"/>
        </w:rPr>
        <w:t>项目法律法规符合性的5个项检查均符合法律法规和安全设施设计要求，</w:t>
      </w:r>
      <w:r>
        <w:rPr>
          <w:rFonts w:hint="eastAsia"/>
        </w:rPr>
        <w:t>项目建设“三同时”</w:t>
      </w:r>
      <w:r>
        <w:rPr>
          <w:rFonts w:hint="eastAsia"/>
          <w:szCs w:val="28"/>
        </w:rPr>
        <w:t>符合</w:t>
      </w:r>
      <w:r>
        <w:rPr>
          <w:rFonts w:hint="eastAsia" w:ascii="宋体" w:hAnsi="宋体" w:cs="宋体"/>
        </w:rPr>
        <w:t>法律法规要求</w:t>
      </w:r>
      <w:r>
        <w:rPr>
          <w:rFonts w:hint="eastAsia"/>
        </w:rPr>
        <w:t>。</w:t>
      </w:r>
    </w:p>
    <w:p>
      <w:pPr>
        <w:pStyle w:val="6"/>
        <w:spacing w:before="156" w:after="156"/>
      </w:pPr>
      <w:bookmarkStart w:id="262" w:name="_Toc498519825"/>
      <w:bookmarkStart w:id="263" w:name="_Toc498299355"/>
      <w:bookmarkStart w:id="264" w:name="_Toc500007162"/>
      <w:bookmarkStart w:id="265" w:name="_Toc17490"/>
      <w:r>
        <w:t>安全设施专项投资情况</w:t>
      </w:r>
      <w:bookmarkEnd w:id="262"/>
      <w:bookmarkEnd w:id="263"/>
      <w:bookmarkEnd w:id="264"/>
      <w:bookmarkEnd w:id="265"/>
    </w:p>
    <w:p>
      <w:pPr>
        <w:ind w:firstLine="560"/>
      </w:pPr>
      <w:r>
        <w:rPr>
          <w:rFonts w:hint="eastAsia"/>
        </w:rPr>
        <w:t>根据《云南大姚祥华工业制造股份公司云南大姚机械配件厂退城入园整体技改搬迁项目安全设施设计》，采用安全检查表对以下专项投资情况进行评价：（1）安全设施投资及其占总投资的比例是否符合《安全设施设计》进行评价；（2）建设项目安全设施分类投资及其占安全设施投资的比例。</w:t>
      </w:r>
    </w:p>
    <w:p>
      <w:pPr>
        <w:pStyle w:val="16"/>
        <w:ind w:firstLine="560"/>
      </w:pPr>
      <w:r>
        <w:rPr>
          <w:rFonts w:hint="eastAsia" w:ascii="宋体" w:hAnsi="宋体" w:cs="宋体"/>
          <w:szCs w:val="28"/>
        </w:rPr>
        <w:t>本项目设计总投资12487.17万元，其中安全设施投资110万元，安全设施投资占项目固定资产投资的0.9%。实际安全投资118.3万元，占项目固定资产投资的0.95%。</w:t>
      </w:r>
    </w:p>
    <w:p>
      <w:pPr>
        <w:spacing w:line="360" w:lineRule="auto"/>
        <w:ind w:firstLine="482"/>
        <w:jc w:val="center"/>
        <w:rPr>
          <w:rFonts w:ascii="宋体" w:hAnsi="宋体" w:cs="宋体"/>
          <w:b/>
          <w:bCs/>
          <w:sz w:val="24"/>
          <w:szCs w:val="24"/>
        </w:rPr>
      </w:pPr>
      <w:r>
        <w:rPr>
          <w:b/>
          <w:bCs/>
          <w:sz w:val="24"/>
          <w:szCs w:val="24"/>
        </w:rPr>
        <w:t xml:space="preserve">表 </w:t>
      </w:r>
      <w:r>
        <w:rPr>
          <w:b/>
          <w:bCs/>
          <w:sz w:val="24"/>
          <w:szCs w:val="24"/>
        </w:rPr>
        <w:fldChar w:fldCharType="begin"/>
      </w:r>
      <w:r>
        <w:rPr>
          <w:b/>
          <w:bCs/>
          <w:sz w:val="24"/>
          <w:szCs w:val="24"/>
        </w:rPr>
        <w:instrText xml:space="preserve"> STYLEREF 2 \s </w:instrText>
      </w:r>
      <w:r>
        <w:rPr>
          <w:b/>
          <w:bCs/>
          <w:sz w:val="24"/>
          <w:szCs w:val="24"/>
        </w:rPr>
        <w:fldChar w:fldCharType="separate"/>
      </w:r>
      <w:r>
        <w:rPr>
          <w:b/>
          <w:bCs/>
          <w:sz w:val="24"/>
          <w:szCs w:val="24"/>
        </w:rPr>
        <w:t>5.1</w:t>
      </w:r>
      <w:r>
        <w:rPr>
          <w:b/>
          <w:bCs/>
          <w:sz w:val="24"/>
          <w:szCs w:val="24"/>
        </w:rPr>
        <w:fldChar w:fldCharType="end"/>
      </w:r>
      <w:r>
        <w:rPr>
          <w:rFonts w:hint="eastAsia"/>
          <w:b/>
          <w:bCs/>
          <w:sz w:val="24"/>
          <w:szCs w:val="24"/>
        </w:rPr>
        <w:t>-</w:t>
      </w:r>
      <w:r>
        <w:rPr>
          <w:b/>
          <w:bCs/>
          <w:sz w:val="24"/>
          <w:szCs w:val="24"/>
        </w:rPr>
        <w:fldChar w:fldCharType="begin"/>
      </w:r>
      <w:r>
        <w:rPr>
          <w:b/>
          <w:bCs/>
          <w:sz w:val="24"/>
          <w:szCs w:val="24"/>
        </w:rPr>
        <w:instrText xml:space="preserve"> SEQ 表 \* ARABIC \s 2 </w:instrText>
      </w:r>
      <w:r>
        <w:rPr>
          <w:b/>
          <w:bCs/>
          <w:sz w:val="24"/>
          <w:szCs w:val="24"/>
        </w:rPr>
        <w:fldChar w:fldCharType="separate"/>
      </w:r>
      <w:r>
        <w:rPr>
          <w:b/>
          <w:bCs/>
          <w:sz w:val="24"/>
          <w:szCs w:val="24"/>
        </w:rPr>
        <w:t>2</w:t>
      </w:r>
      <w:r>
        <w:rPr>
          <w:b/>
          <w:bCs/>
          <w:sz w:val="24"/>
          <w:szCs w:val="24"/>
        </w:rPr>
        <w:fldChar w:fldCharType="end"/>
      </w:r>
      <w:r>
        <w:rPr>
          <w:rFonts w:hint="eastAsia"/>
          <w:b/>
          <w:bCs/>
          <w:sz w:val="24"/>
          <w:szCs w:val="24"/>
        </w:rPr>
        <w:t>安全设施专项投资符合性检查表</w:t>
      </w:r>
    </w:p>
    <w:tbl>
      <w:tblPr>
        <w:tblStyle w:val="29"/>
        <w:tblW w:w="4997"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28" w:type="dxa"/>
          <w:bottom w:w="0" w:type="dxa"/>
          <w:right w:w="28" w:type="dxa"/>
        </w:tblCellMar>
      </w:tblPr>
      <w:tblGrid>
        <w:gridCol w:w="485"/>
        <w:gridCol w:w="782"/>
        <w:gridCol w:w="746"/>
        <w:gridCol w:w="916"/>
        <w:gridCol w:w="811"/>
        <w:gridCol w:w="891"/>
        <w:gridCol w:w="3076"/>
        <w:gridCol w:w="65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990" w:hRule="atLeast"/>
          <w:tblHeader/>
          <w:jc w:val="center"/>
        </w:trPr>
        <w:tc>
          <w:tcPr>
            <w:tcW w:w="290" w:type="pct"/>
            <w:vAlign w:val="center"/>
          </w:tcPr>
          <w:p>
            <w:pPr>
              <w:pStyle w:val="18"/>
              <w:adjustRightInd w:val="0"/>
              <w:snapToGrid w:val="0"/>
              <w:spacing w:line="240" w:lineRule="auto"/>
              <w:ind w:firstLine="0" w:firstLineChars="0"/>
              <w:jc w:val="center"/>
              <w:rPr>
                <w:rFonts w:ascii="Times New Roman" w:hAnsi="Times New Roman"/>
                <w:b/>
                <w:sz w:val="21"/>
                <w:szCs w:val="21"/>
              </w:rPr>
            </w:pPr>
            <w:r>
              <w:rPr>
                <w:rFonts w:ascii="Times New Roman" w:hAnsi="Times New Roman"/>
                <w:b/>
                <w:sz w:val="21"/>
                <w:szCs w:val="21"/>
              </w:rPr>
              <w:t>序号</w:t>
            </w:r>
          </w:p>
        </w:tc>
        <w:tc>
          <w:tcPr>
            <w:tcW w:w="467" w:type="pct"/>
            <w:vAlign w:val="center"/>
          </w:tcPr>
          <w:p>
            <w:pPr>
              <w:pStyle w:val="18"/>
              <w:adjustRightInd w:val="0"/>
              <w:snapToGrid w:val="0"/>
              <w:spacing w:line="240" w:lineRule="auto"/>
              <w:ind w:firstLine="0" w:firstLineChars="0"/>
              <w:jc w:val="center"/>
              <w:rPr>
                <w:rFonts w:ascii="Times New Roman" w:hAnsi="Times New Roman"/>
                <w:b/>
                <w:sz w:val="21"/>
                <w:szCs w:val="21"/>
              </w:rPr>
            </w:pPr>
            <w:r>
              <w:rPr>
                <w:rFonts w:ascii="Times New Roman" w:hAnsi="Times New Roman"/>
                <w:b/>
                <w:sz w:val="21"/>
                <w:szCs w:val="21"/>
              </w:rPr>
              <w:t>安全设施名称</w:t>
            </w:r>
          </w:p>
        </w:tc>
        <w:tc>
          <w:tcPr>
            <w:tcW w:w="446" w:type="pct"/>
            <w:vAlign w:val="center"/>
          </w:tcPr>
          <w:p>
            <w:pPr>
              <w:pStyle w:val="18"/>
              <w:adjustRightInd w:val="0"/>
              <w:snapToGrid w:val="0"/>
              <w:spacing w:line="240" w:lineRule="auto"/>
              <w:ind w:firstLine="0" w:firstLineChars="0"/>
              <w:jc w:val="center"/>
              <w:rPr>
                <w:rFonts w:ascii="Times New Roman" w:hAnsi="Times New Roman"/>
                <w:b/>
                <w:sz w:val="21"/>
                <w:szCs w:val="21"/>
              </w:rPr>
            </w:pPr>
            <w:r>
              <w:rPr>
                <w:rFonts w:hint="eastAsia" w:ascii="Times New Roman" w:hAnsi="Times New Roman"/>
                <w:b/>
                <w:sz w:val="21"/>
                <w:szCs w:val="21"/>
              </w:rPr>
              <w:t>设计</w:t>
            </w:r>
            <w:r>
              <w:rPr>
                <w:rFonts w:ascii="Times New Roman" w:hAnsi="Times New Roman"/>
                <w:b/>
                <w:sz w:val="21"/>
                <w:szCs w:val="21"/>
              </w:rPr>
              <w:t>安全设施投资（万元）</w:t>
            </w:r>
          </w:p>
        </w:tc>
        <w:tc>
          <w:tcPr>
            <w:tcW w:w="548" w:type="pct"/>
            <w:vAlign w:val="center"/>
          </w:tcPr>
          <w:p>
            <w:pPr>
              <w:pStyle w:val="18"/>
              <w:adjustRightInd w:val="0"/>
              <w:snapToGrid w:val="0"/>
              <w:spacing w:line="240" w:lineRule="auto"/>
              <w:ind w:firstLine="0" w:firstLineChars="0"/>
              <w:jc w:val="center"/>
              <w:rPr>
                <w:rFonts w:ascii="Times New Roman" w:hAnsi="Times New Roman"/>
                <w:b/>
                <w:sz w:val="21"/>
                <w:szCs w:val="21"/>
              </w:rPr>
            </w:pPr>
            <w:r>
              <w:rPr>
                <w:rFonts w:hint="eastAsia"/>
                <w:b/>
                <w:sz w:val="21"/>
                <w:szCs w:val="21"/>
              </w:rPr>
              <w:t>占</w:t>
            </w:r>
            <w:r>
              <w:rPr>
                <w:b/>
                <w:sz w:val="21"/>
                <w:szCs w:val="21"/>
              </w:rPr>
              <w:t>安全设施投资比例</w:t>
            </w:r>
          </w:p>
        </w:tc>
        <w:tc>
          <w:tcPr>
            <w:tcW w:w="485" w:type="pct"/>
            <w:vAlign w:val="center"/>
          </w:tcPr>
          <w:p>
            <w:pPr>
              <w:pStyle w:val="18"/>
              <w:adjustRightInd w:val="0"/>
              <w:snapToGrid w:val="0"/>
              <w:spacing w:line="240" w:lineRule="auto"/>
              <w:ind w:firstLine="0" w:firstLineChars="0"/>
              <w:jc w:val="center"/>
              <w:rPr>
                <w:b/>
                <w:sz w:val="21"/>
                <w:szCs w:val="21"/>
              </w:rPr>
            </w:pPr>
            <w:r>
              <w:rPr>
                <w:rFonts w:hint="eastAsia" w:ascii="Times New Roman" w:hAnsi="Times New Roman"/>
                <w:b/>
                <w:sz w:val="21"/>
                <w:szCs w:val="21"/>
              </w:rPr>
              <w:t>实际</w:t>
            </w:r>
            <w:r>
              <w:rPr>
                <w:rFonts w:ascii="Times New Roman" w:hAnsi="Times New Roman"/>
                <w:b/>
                <w:sz w:val="21"/>
                <w:szCs w:val="21"/>
              </w:rPr>
              <w:t>安全设施投资（万元）</w:t>
            </w:r>
          </w:p>
        </w:tc>
        <w:tc>
          <w:tcPr>
            <w:tcW w:w="533" w:type="pct"/>
            <w:vAlign w:val="center"/>
          </w:tcPr>
          <w:p>
            <w:pPr>
              <w:pStyle w:val="18"/>
              <w:adjustRightInd w:val="0"/>
              <w:snapToGrid w:val="0"/>
              <w:spacing w:line="240" w:lineRule="auto"/>
              <w:ind w:firstLine="0" w:firstLineChars="0"/>
              <w:jc w:val="center"/>
              <w:rPr>
                <w:b/>
                <w:sz w:val="21"/>
                <w:szCs w:val="21"/>
              </w:rPr>
            </w:pPr>
            <w:r>
              <w:rPr>
                <w:rFonts w:hint="eastAsia"/>
                <w:b/>
                <w:sz w:val="21"/>
                <w:szCs w:val="21"/>
              </w:rPr>
              <w:t>占</w:t>
            </w:r>
            <w:r>
              <w:rPr>
                <w:b/>
                <w:sz w:val="21"/>
                <w:szCs w:val="21"/>
              </w:rPr>
              <w:t>安全设施投资比例</w:t>
            </w:r>
          </w:p>
        </w:tc>
        <w:tc>
          <w:tcPr>
            <w:tcW w:w="1840" w:type="pct"/>
            <w:vAlign w:val="center"/>
          </w:tcPr>
          <w:p>
            <w:pPr>
              <w:pStyle w:val="18"/>
              <w:adjustRightInd w:val="0"/>
              <w:snapToGrid w:val="0"/>
              <w:spacing w:line="240" w:lineRule="auto"/>
              <w:ind w:firstLine="0" w:firstLineChars="0"/>
              <w:jc w:val="center"/>
              <w:rPr>
                <w:rFonts w:ascii="Times New Roman" w:hAnsi="Times New Roman"/>
                <w:b/>
                <w:sz w:val="21"/>
                <w:szCs w:val="21"/>
              </w:rPr>
            </w:pPr>
            <w:r>
              <w:rPr>
                <w:rFonts w:ascii="Times New Roman" w:hAnsi="Times New Roman"/>
                <w:b/>
                <w:sz w:val="21"/>
                <w:szCs w:val="21"/>
              </w:rPr>
              <w:t>备注</w:t>
            </w:r>
          </w:p>
        </w:tc>
        <w:tc>
          <w:tcPr>
            <w:tcW w:w="388" w:type="pct"/>
            <w:vAlign w:val="center"/>
          </w:tcPr>
          <w:p>
            <w:pPr>
              <w:pStyle w:val="18"/>
              <w:adjustRightInd w:val="0"/>
              <w:snapToGrid w:val="0"/>
              <w:spacing w:line="240" w:lineRule="auto"/>
              <w:ind w:firstLine="0" w:firstLineChars="0"/>
              <w:jc w:val="center"/>
              <w:rPr>
                <w:rFonts w:ascii="Times New Roman" w:hAnsi="Times New Roman"/>
                <w:b/>
                <w:sz w:val="21"/>
                <w:szCs w:val="21"/>
              </w:rPr>
            </w:pPr>
            <w:r>
              <w:rPr>
                <w:rFonts w:hint="eastAsia" w:ascii="Times New Roman" w:hAnsi="Times New Roman"/>
                <w:sz w:val="22"/>
                <w:szCs w:val="22"/>
              </w:rPr>
              <w:t>检查结果</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1106" w:hRule="atLeast"/>
          <w:jc w:val="center"/>
        </w:trPr>
        <w:tc>
          <w:tcPr>
            <w:tcW w:w="290" w:type="pct"/>
            <w:vAlign w:val="center"/>
          </w:tcPr>
          <w:p>
            <w:pPr>
              <w:pStyle w:val="18"/>
              <w:adjustRightInd w:val="0"/>
              <w:snapToGrid w:val="0"/>
              <w:spacing w:line="240" w:lineRule="auto"/>
              <w:ind w:firstLine="0" w:firstLineChars="0"/>
              <w:jc w:val="center"/>
              <w:rPr>
                <w:rFonts w:ascii="Times New Roman" w:hAnsi="Times New Roman"/>
                <w:sz w:val="21"/>
                <w:szCs w:val="21"/>
              </w:rPr>
            </w:pPr>
            <w:r>
              <w:rPr>
                <w:rFonts w:ascii="Times New Roman" w:hAnsi="Times New Roman"/>
                <w:sz w:val="21"/>
                <w:szCs w:val="21"/>
              </w:rPr>
              <w:t>1</w:t>
            </w:r>
          </w:p>
        </w:tc>
        <w:tc>
          <w:tcPr>
            <w:tcW w:w="467" w:type="pct"/>
            <w:vAlign w:val="center"/>
          </w:tcPr>
          <w:p>
            <w:pPr>
              <w:pStyle w:val="18"/>
              <w:adjustRightInd w:val="0"/>
              <w:snapToGrid w:val="0"/>
              <w:spacing w:line="240" w:lineRule="auto"/>
              <w:ind w:firstLine="0" w:firstLineChars="0"/>
              <w:jc w:val="center"/>
              <w:rPr>
                <w:rFonts w:ascii="Times New Roman" w:hAnsi="Times New Roman"/>
                <w:sz w:val="21"/>
                <w:szCs w:val="21"/>
              </w:rPr>
            </w:pPr>
            <w:r>
              <w:rPr>
                <w:rFonts w:ascii="Times New Roman" w:hAnsi="Times New Roman"/>
                <w:sz w:val="21"/>
                <w:szCs w:val="21"/>
              </w:rPr>
              <w:t>主要安全设施</w:t>
            </w:r>
          </w:p>
        </w:tc>
        <w:tc>
          <w:tcPr>
            <w:tcW w:w="446" w:type="pct"/>
            <w:vAlign w:val="center"/>
          </w:tcPr>
          <w:p>
            <w:pPr>
              <w:pStyle w:val="18"/>
              <w:adjustRightInd w:val="0"/>
              <w:snapToGrid w:val="0"/>
              <w:spacing w:line="240" w:lineRule="auto"/>
              <w:ind w:firstLine="0" w:firstLineChars="0"/>
              <w:jc w:val="center"/>
              <w:rPr>
                <w:rFonts w:ascii="Times New Roman" w:hAnsi="Times New Roman"/>
                <w:sz w:val="21"/>
                <w:szCs w:val="21"/>
              </w:rPr>
            </w:pPr>
            <w:r>
              <w:rPr>
                <w:rFonts w:hint="eastAsia" w:ascii="Times New Roman" w:hAnsi="Times New Roman"/>
                <w:sz w:val="21"/>
                <w:szCs w:val="21"/>
              </w:rPr>
              <w:t>20.5</w:t>
            </w:r>
          </w:p>
        </w:tc>
        <w:tc>
          <w:tcPr>
            <w:tcW w:w="548" w:type="pct"/>
            <w:vAlign w:val="center"/>
          </w:tcPr>
          <w:p>
            <w:pPr>
              <w:pStyle w:val="18"/>
              <w:adjustRightInd w:val="0"/>
              <w:snapToGrid w:val="0"/>
              <w:spacing w:line="240" w:lineRule="auto"/>
              <w:ind w:firstLine="0" w:firstLineChars="0"/>
              <w:jc w:val="center"/>
              <w:rPr>
                <w:rFonts w:ascii="Times New Roman" w:hAnsi="Times New Roman"/>
                <w:sz w:val="21"/>
                <w:szCs w:val="21"/>
              </w:rPr>
            </w:pPr>
            <w:r>
              <w:rPr>
                <w:rFonts w:hint="eastAsia" w:ascii="Times New Roman" w:hAnsi="Times New Roman"/>
                <w:sz w:val="21"/>
                <w:szCs w:val="21"/>
              </w:rPr>
              <w:t>18.6%</w:t>
            </w:r>
          </w:p>
        </w:tc>
        <w:tc>
          <w:tcPr>
            <w:tcW w:w="485" w:type="pct"/>
            <w:vAlign w:val="center"/>
          </w:tcPr>
          <w:p>
            <w:pPr>
              <w:pStyle w:val="18"/>
              <w:adjustRightInd w:val="0"/>
              <w:snapToGrid w:val="0"/>
              <w:spacing w:line="240" w:lineRule="auto"/>
              <w:ind w:firstLine="0" w:firstLineChars="0"/>
              <w:jc w:val="center"/>
              <w:rPr>
                <w:rFonts w:ascii="Times New Roman" w:hAnsi="Times New Roman"/>
                <w:sz w:val="21"/>
                <w:szCs w:val="21"/>
              </w:rPr>
            </w:pPr>
            <w:r>
              <w:rPr>
                <w:rFonts w:hint="eastAsia" w:ascii="Times New Roman" w:hAnsi="Times New Roman"/>
                <w:sz w:val="21"/>
                <w:szCs w:val="21"/>
              </w:rPr>
              <w:t>22.7</w:t>
            </w:r>
          </w:p>
        </w:tc>
        <w:tc>
          <w:tcPr>
            <w:tcW w:w="533" w:type="pct"/>
            <w:vAlign w:val="center"/>
          </w:tcPr>
          <w:p>
            <w:pPr>
              <w:widowControl/>
              <w:ind w:firstLine="0" w:firstLineChars="0"/>
              <w:jc w:val="center"/>
              <w:textAlignment w:val="center"/>
              <w:rPr>
                <w:rFonts w:cs="Times New Roman"/>
                <w:sz w:val="21"/>
                <w:szCs w:val="21"/>
              </w:rPr>
            </w:pPr>
            <w:r>
              <w:rPr>
                <w:rFonts w:hint="eastAsia" w:cs="Times New Roman"/>
                <w:sz w:val="21"/>
                <w:szCs w:val="21"/>
              </w:rPr>
              <w:t>19.19%</w:t>
            </w:r>
          </w:p>
        </w:tc>
        <w:tc>
          <w:tcPr>
            <w:tcW w:w="1840" w:type="pct"/>
            <w:vAlign w:val="center"/>
          </w:tcPr>
          <w:p>
            <w:pPr>
              <w:pStyle w:val="18"/>
              <w:adjustRightInd w:val="0"/>
              <w:snapToGrid w:val="0"/>
              <w:spacing w:line="240" w:lineRule="auto"/>
              <w:ind w:firstLine="0" w:firstLineChars="0"/>
              <w:rPr>
                <w:rFonts w:ascii="Times New Roman" w:hAnsi="Times New Roman"/>
                <w:color w:val="FF0000"/>
                <w:sz w:val="21"/>
                <w:szCs w:val="21"/>
              </w:rPr>
            </w:pPr>
            <w:r>
              <w:rPr>
                <w:rFonts w:hint="eastAsia" w:ascii="Times New Roman" w:hAnsi="Times New Roman"/>
                <w:sz w:val="21"/>
                <w:szCs w:val="21"/>
              </w:rPr>
              <w:t>包括：</w:t>
            </w:r>
            <w:r>
              <w:rPr>
                <w:rFonts w:ascii="Times New Roman" w:hAnsi="Times New Roman"/>
                <w:sz w:val="21"/>
                <w:szCs w:val="21"/>
              </w:rPr>
              <w:t>灭火器</w:t>
            </w:r>
            <w:r>
              <w:rPr>
                <w:rFonts w:hint="eastAsia" w:ascii="Times New Roman" w:hAnsi="Times New Roman"/>
                <w:sz w:val="21"/>
                <w:szCs w:val="21"/>
              </w:rPr>
              <w:t>、防火墙、</w:t>
            </w:r>
            <w:r>
              <w:rPr>
                <w:rFonts w:ascii="Times New Roman" w:hAnsi="Times New Roman"/>
                <w:sz w:val="21"/>
                <w:szCs w:val="21"/>
              </w:rPr>
              <w:t>消防管道及消火栓</w:t>
            </w:r>
            <w:r>
              <w:rPr>
                <w:rFonts w:hint="eastAsia" w:ascii="Times New Roman" w:hAnsi="Times New Roman"/>
                <w:sz w:val="21"/>
                <w:szCs w:val="21"/>
              </w:rPr>
              <w:t>、</w:t>
            </w:r>
            <w:r>
              <w:rPr>
                <w:rFonts w:ascii="Times New Roman" w:hAnsi="Times New Roman"/>
                <w:sz w:val="21"/>
                <w:szCs w:val="21"/>
              </w:rPr>
              <w:t>隔热保温设施</w:t>
            </w:r>
            <w:r>
              <w:rPr>
                <w:rFonts w:hint="eastAsia" w:ascii="Times New Roman" w:hAnsi="Times New Roman"/>
                <w:sz w:val="21"/>
                <w:szCs w:val="21"/>
              </w:rPr>
              <w:t>及</w:t>
            </w:r>
            <w:r>
              <w:rPr>
                <w:rFonts w:ascii="Times New Roman" w:hAnsi="Times New Roman"/>
                <w:sz w:val="21"/>
                <w:szCs w:val="21"/>
              </w:rPr>
              <w:t>其它费用</w:t>
            </w:r>
            <w:r>
              <w:rPr>
                <w:rFonts w:hint="eastAsia" w:ascii="Times New Roman" w:hAnsi="Times New Roman"/>
                <w:sz w:val="21"/>
                <w:szCs w:val="21"/>
              </w:rPr>
              <w:t>。</w:t>
            </w:r>
          </w:p>
        </w:tc>
        <w:tc>
          <w:tcPr>
            <w:tcW w:w="388" w:type="pct"/>
            <w:vAlign w:val="center"/>
          </w:tcPr>
          <w:p>
            <w:pPr>
              <w:pStyle w:val="18"/>
              <w:adjustRightInd w:val="0"/>
              <w:snapToGrid w:val="0"/>
              <w:spacing w:line="240" w:lineRule="auto"/>
              <w:ind w:firstLine="0" w:firstLineChars="0"/>
              <w:jc w:val="center"/>
              <w:rPr>
                <w:rFonts w:ascii="Times New Roman" w:hAnsi="Times New Roman"/>
                <w:color w:val="FF0000"/>
                <w:sz w:val="21"/>
                <w:szCs w:val="21"/>
              </w:rPr>
            </w:pPr>
            <w:r>
              <w:rPr>
                <w:rFonts w:hint="eastAsia" w:ascii="Times New Roman" w:hAnsi="Times New Roman"/>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114" w:hRule="atLeast"/>
          <w:jc w:val="center"/>
        </w:trPr>
        <w:tc>
          <w:tcPr>
            <w:tcW w:w="290" w:type="pct"/>
            <w:vAlign w:val="center"/>
          </w:tcPr>
          <w:p>
            <w:pPr>
              <w:pStyle w:val="18"/>
              <w:adjustRightInd w:val="0"/>
              <w:snapToGrid w:val="0"/>
              <w:spacing w:line="240" w:lineRule="auto"/>
              <w:ind w:firstLine="0" w:firstLineChars="0"/>
              <w:jc w:val="center"/>
              <w:rPr>
                <w:rFonts w:ascii="Times New Roman" w:hAnsi="Times New Roman"/>
                <w:sz w:val="21"/>
                <w:szCs w:val="21"/>
              </w:rPr>
            </w:pPr>
            <w:r>
              <w:rPr>
                <w:rFonts w:ascii="Times New Roman" w:hAnsi="Times New Roman"/>
                <w:sz w:val="21"/>
                <w:szCs w:val="21"/>
              </w:rPr>
              <w:t>2</w:t>
            </w:r>
          </w:p>
        </w:tc>
        <w:tc>
          <w:tcPr>
            <w:tcW w:w="467" w:type="pct"/>
            <w:vAlign w:val="center"/>
          </w:tcPr>
          <w:p>
            <w:pPr>
              <w:pStyle w:val="18"/>
              <w:adjustRightInd w:val="0"/>
              <w:snapToGrid w:val="0"/>
              <w:spacing w:line="240" w:lineRule="auto"/>
              <w:ind w:firstLine="0" w:firstLineChars="0"/>
              <w:jc w:val="center"/>
              <w:rPr>
                <w:rFonts w:ascii="Times New Roman" w:hAnsi="Times New Roman"/>
                <w:sz w:val="21"/>
                <w:szCs w:val="21"/>
              </w:rPr>
            </w:pPr>
            <w:r>
              <w:rPr>
                <w:rFonts w:ascii="Times New Roman" w:hAnsi="Times New Roman"/>
                <w:sz w:val="21"/>
                <w:szCs w:val="21"/>
              </w:rPr>
              <w:t>监测、检测装备</w:t>
            </w:r>
            <w:r>
              <w:rPr>
                <w:rFonts w:hint="eastAsia" w:ascii="Times New Roman" w:hAnsi="Times New Roman"/>
                <w:sz w:val="21"/>
                <w:szCs w:val="21"/>
              </w:rPr>
              <w:t>、</w:t>
            </w:r>
            <w:r>
              <w:rPr>
                <w:rFonts w:ascii="Times New Roman" w:hAnsi="Times New Roman"/>
                <w:sz w:val="21"/>
                <w:szCs w:val="21"/>
              </w:rPr>
              <w:t>电气安全设施</w:t>
            </w:r>
            <w:r>
              <w:rPr>
                <w:rFonts w:hint="eastAsia" w:ascii="Times New Roman" w:hAnsi="Times New Roman"/>
                <w:sz w:val="21"/>
                <w:szCs w:val="21"/>
              </w:rPr>
              <w:t>、</w:t>
            </w:r>
            <w:r>
              <w:rPr>
                <w:rFonts w:ascii="Times New Roman" w:hAnsi="Times New Roman"/>
                <w:sz w:val="21"/>
                <w:szCs w:val="21"/>
              </w:rPr>
              <w:t>监控安全设施</w:t>
            </w:r>
          </w:p>
        </w:tc>
        <w:tc>
          <w:tcPr>
            <w:tcW w:w="446" w:type="pct"/>
            <w:vAlign w:val="center"/>
          </w:tcPr>
          <w:p>
            <w:pPr>
              <w:pStyle w:val="18"/>
              <w:adjustRightInd w:val="0"/>
              <w:snapToGrid w:val="0"/>
              <w:spacing w:line="240" w:lineRule="auto"/>
              <w:ind w:firstLine="0" w:firstLineChars="0"/>
              <w:jc w:val="center"/>
              <w:rPr>
                <w:rFonts w:ascii="Times New Roman" w:hAnsi="Times New Roman"/>
                <w:sz w:val="21"/>
                <w:szCs w:val="21"/>
              </w:rPr>
            </w:pPr>
            <w:r>
              <w:rPr>
                <w:rFonts w:hint="eastAsia" w:ascii="Times New Roman" w:hAnsi="Times New Roman"/>
                <w:sz w:val="21"/>
                <w:szCs w:val="21"/>
              </w:rPr>
              <w:t>24.5</w:t>
            </w:r>
          </w:p>
        </w:tc>
        <w:tc>
          <w:tcPr>
            <w:tcW w:w="548" w:type="pct"/>
            <w:vAlign w:val="center"/>
          </w:tcPr>
          <w:p>
            <w:pPr>
              <w:pStyle w:val="18"/>
              <w:adjustRightInd w:val="0"/>
              <w:snapToGrid w:val="0"/>
              <w:spacing w:line="240" w:lineRule="auto"/>
              <w:ind w:firstLine="0" w:firstLineChars="0"/>
              <w:jc w:val="center"/>
              <w:rPr>
                <w:rFonts w:ascii="Times New Roman" w:hAnsi="Times New Roman"/>
                <w:sz w:val="21"/>
                <w:szCs w:val="21"/>
              </w:rPr>
            </w:pPr>
            <w:r>
              <w:rPr>
                <w:rFonts w:hint="eastAsia" w:ascii="Times New Roman" w:hAnsi="Times New Roman"/>
                <w:sz w:val="21"/>
                <w:szCs w:val="21"/>
              </w:rPr>
              <w:t>22.3%</w:t>
            </w:r>
          </w:p>
        </w:tc>
        <w:tc>
          <w:tcPr>
            <w:tcW w:w="485" w:type="pct"/>
            <w:vAlign w:val="center"/>
          </w:tcPr>
          <w:p>
            <w:pPr>
              <w:pStyle w:val="18"/>
              <w:adjustRightInd w:val="0"/>
              <w:snapToGrid w:val="0"/>
              <w:spacing w:line="240" w:lineRule="auto"/>
              <w:ind w:firstLine="0" w:firstLineChars="0"/>
              <w:jc w:val="center"/>
              <w:rPr>
                <w:rFonts w:ascii="Times New Roman" w:hAnsi="Times New Roman"/>
                <w:sz w:val="21"/>
                <w:szCs w:val="21"/>
              </w:rPr>
            </w:pPr>
            <w:r>
              <w:rPr>
                <w:rFonts w:hint="eastAsia" w:ascii="Times New Roman" w:hAnsi="Times New Roman"/>
                <w:sz w:val="21"/>
                <w:szCs w:val="21"/>
              </w:rPr>
              <w:t>25</w:t>
            </w:r>
          </w:p>
        </w:tc>
        <w:tc>
          <w:tcPr>
            <w:tcW w:w="533" w:type="pct"/>
            <w:vAlign w:val="center"/>
          </w:tcPr>
          <w:p>
            <w:pPr>
              <w:widowControl/>
              <w:ind w:firstLine="0" w:firstLineChars="0"/>
              <w:jc w:val="center"/>
              <w:textAlignment w:val="center"/>
              <w:rPr>
                <w:rFonts w:cs="Times New Roman"/>
                <w:sz w:val="21"/>
                <w:szCs w:val="21"/>
              </w:rPr>
            </w:pPr>
            <w:r>
              <w:rPr>
                <w:rFonts w:hint="eastAsia" w:cs="Times New Roman"/>
                <w:sz w:val="21"/>
                <w:szCs w:val="21"/>
              </w:rPr>
              <w:t>21.13%</w:t>
            </w:r>
          </w:p>
        </w:tc>
        <w:tc>
          <w:tcPr>
            <w:tcW w:w="1840" w:type="pct"/>
            <w:vAlign w:val="center"/>
          </w:tcPr>
          <w:p>
            <w:pPr>
              <w:pStyle w:val="18"/>
              <w:adjustRightInd w:val="0"/>
              <w:snapToGrid w:val="0"/>
              <w:spacing w:line="240" w:lineRule="auto"/>
              <w:ind w:firstLine="0" w:firstLineChars="0"/>
              <w:rPr>
                <w:rFonts w:ascii="Times New Roman" w:hAnsi="Times New Roman"/>
                <w:sz w:val="21"/>
                <w:szCs w:val="21"/>
              </w:rPr>
            </w:pPr>
            <w:r>
              <w:rPr>
                <w:rFonts w:hint="eastAsia" w:ascii="Times New Roman" w:hAnsi="Times New Roman"/>
                <w:sz w:val="21"/>
                <w:szCs w:val="21"/>
              </w:rPr>
              <w:t>包括：</w:t>
            </w:r>
            <w:r>
              <w:rPr>
                <w:rFonts w:ascii="Times New Roman" w:hAnsi="Times New Roman"/>
                <w:sz w:val="21"/>
                <w:szCs w:val="21"/>
              </w:rPr>
              <w:t>流量、温度、压力、液位</w:t>
            </w:r>
            <w:r>
              <w:rPr>
                <w:rFonts w:hint="eastAsia" w:ascii="Times New Roman" w:hAnsi="Times New Roman"/>
                <w:sz w:val="21"/>
                <w:szCs w:val="21"/>
              </w:rPr>
              <w:t>监测</w:t>
            </w:r>
            <w:r>
              <w:rPr>
                <w:rFonts w:ascii="Times New Roman" w:hAnsi="Times New Roman"/>
                <w:sz w:val="21"/>
                <w:szCs w:val="21"/>
              </w:rPr>
              <w:t>报警装置</w:t>
            </w:r>
            <w:r>
              <w:rPr>
                <w:rFonts w:hint="eastAsia" w:ascii="Times New Roman" w:hAnsi="Times New Roman"/>
                <w:sz w:val="21"/>
                <w:szCs w:val="21"/>
              </w:rPr>
              <w:t>；</w:t>
            </w:r>
            <w:r>
              <w:rPr>
                <w:rFonts w:ascii="Times New Roman" w:hAnsi="Times New Roman"/>
                <w:sz w:val="21"/>
                <w:szCs w:val="21"/>
              </w:rPr>
              <w:t>电缆</w:t>
            </w:r>
            <w:r>
              <w:rPr>
                <w:rFonts w:hint="eastAsia" w:ascii="Times New Roman" w:hAnsi="Times New Roman"/>
                <w:sz w:val="21"/>
                <w:szCs w:val="21"/>
              </w:rPr>
              <w:t>；</w:t>
            </w:r>
          </w:p>
          <w:p>
            <w:pPr>
              <w:pStyle w:val="18"/>
              <w:adjustRightInd w:val="0"/>
              <w:snapToGrid w:val="0"/>
              <w:spacing w:line="240" w:lineRule="auto"/>
              <w:ind w:firstLine="0" w:firstLineChars="0"/>
              <w:rPr>
                <w:rFonts w:ascii="Times New Roman" w:hAnsi="Times New Roman"/>
                <w:color w:val="FF0000"/>
                <w:sz w:val="21"/>
                <w:szCs w:val="21"/>
              </w:rPr>
            </w:pPr>
            <w:r>
              <w:rPr>
                <w:rFonts w:ascii="Times New Roman" w:hAnsi="Times New Roman"/>
                <w:sz w:val="21"/>
                <w:szCs w:val="21"/>
              </w:rPr>
              <w:t>避雷、防静电接地</w:t>
            </w:r>
            <w:r>
              <w:rPr>
                <w:rFonts w:hint="eastAsia" w:ascii="Times New Roman" w:hAnsi="Times New Roman"/>
                <w:sz w:val="21"/>
                <w:szCs w:val="21"/>
              </w:rPr>
              <w:t>；工业电视、应急广播及</w:t>
            </w:r>
            <w:r>
              <w:rPr>
                <w:rFonts w:ascii="Times New Roman" w:hAnsi="Times New Roman"/>
                <w:sz w:val="21"/>
                <w:szCs w:val="21"/>
              </w:rPr>
              <w:t>其它费用</w:t>
            </w:r>
            <w:r>
              <w:rPr>
                <w:rFonts w:hint="eastAsia" w:ascii="Times New Roman" w:hAnsi="Times New Roman"/>
                <w:sz w:val="21"/>
                <w:szCs w:val="21"/>
              </w:rPr>
              <w:t>。</w:t>
            </w:r>
          </w:p>
        </w:tc>
        <w:tc>
          <w:tcPr>
            <w:tcW w:w="388" w:type="pct"/>
            <w:vAlign w:val="center"/>
          </w:tcPr>
          <w:p>
            <w:pPr>
              <w:pStyle w:val="18"/>
              <w:adjustRightInd w:val="0"/>
              <w:snapToGrid w:val="0"/>
              <w:spacing w:line="240" w:lineRule="auto"/>
              <w:ind w:firstLine="0" w:firstLineChars="0"/>
              <w:jc w:val="center"/>
              <w:rPr>
                <w:rFonts w:ascii="Times New Roman" w:hAnsi="Times New Roman"/>
                <w:color w:val="FF0000"/>
                <w:sz w:val="21"/>
                <w:szCs w:val="21"/>
              </w:rPr>
            </w:pPr>
            <w:r>
              <w:rPr>
                <w:rFonts w:hint="eastAsia" w:ascii="Times New Roman" w:hAnsi="Times New Roman"/>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0" w:hRule="atLeast"/>
          <w:jc w:val="center"/>
        </w:trPr>
        <w:tc>
          <w:tcPr>
            <w:tcW w:w="290" w:type="pct"/>
            <w:vAlign w:val="center"/>
          </w:tcPr>
          <w:p>
            <w:pPr>
              <w:pStyle w:val="18"/>
              <w:adjustRightInd w:val="0"/>
              <w:snapToGrid w:val="0"/>
              <w:spacing w:line="240" w:lineRule="auto"/>
              <w:ind w:firstLine="0" w:firstLineChars="0"/>
              <w:jc w:val="center"/>
              <w:rPr>
                <w:rFonts w:ascii="Times New Roman" w:hAnsi="Times New Roman"/>
                <w:sz w:val="21"/>
                <w:szCs w:val="21"/>
              </w:rPr>
            </w:pPr>
            <w:r>
              <w:rPr>
                <w:rFonts w:ascii="Times New Roman" w:hAnsi="Times New Roman"/>
                <w:sz w:val="21"/>
                <w:szCs w:val="21"/>
              </w:rPr>
              <w:t>3</w:t>
            </w:r>
          </w:p>
        </w:tc>
        <w:tc>
          <w:tcPr>
            <w:tcW w:w="467" w:type="pct"/>
            <w:vAlign w:val="center"/>
          </w:tcPr>
          <w:p>
            <w:pPr>
              <w:pStyle w:val="18"/>
              <w:adjustRightInd w:val="0"/>
              <w:snapToGrid w:val="0"/>
              <w:spacing w:line="240" w:lineRule="auto"/>
              <w:ind w:firstLine="0" w:firstLineChars="0"/>
              <w:jc w:val="center"/>
              <w:rPr>
                <w:rFonts w:ascii="Times New Roman" w:hAnsi="Times New Roman"/>
                <w:sz w:val="21"/>
                <w:szCs w:val="21"/>
              </w:rPr>
            </w:pPr>
            <w:r>
              <w:rPr>
                <w:rFonts w:ascii="Times New Roman" w:hAnsi="Times New Roman"/>
                <w:sz w:val="21"/>
                <w:szCs w:val="21"/>
              </w:rPr>
              <w:t>安全教育装备和安全检测费用</w:t>
            </w:r>
          </w:p>
        </w:tc>
        <w:tc>
          <w:tcPr>
            <w:tcW w:w="446" w:type="pct"/>
            <w:vAlign w:val="center"/>
          </w:tcPr>
          <w:p>
            <w:pPr>
              <w:pStyle w:val="18"/>
              <w:adjustRightInd w:val="0"/>
              <w:snapToGrid w:val="0"/>
              <w:spacing w:line="240" w:lineRule="auto"/>
              <w:ind w:firstLine="0" w:firstLineChars="0"/>
              <w:jc w:val="center"/>
              <w:rPr>
                <w:rFonts w:ascii="Times New Roman" w:hAnsi="Times New Roman"/>
                <w:sz w:val="21"/>
                <w:szCs w:val="21"/>
              </w:rPr>
            </w:pPr>
            <w:r>
              <w:rPr>
                <w:rFonts w:hint="eastAsia" w:ascii="Times New Roman" w:hAnsi="Times New Roman"/>
                <w:sz w:val="21"/>
                <w:szCs w:val="21"/>
              </w:rPr>
              <w:t>19.2</w:t>
            </w:r>
          </w:p>
        </w:tc>
        <w:tc>
          <w:tcPr>
            <w:tcW w:w="548" w:type="pct"/>
            <w:vAlign w:val="center"/>
          </w:tcPr>
          <w:p>
            <w:pPr>
              <w:pStyle w:val="18"/>
              <w:adjustRightInd w:val="0"/>
              <w:snapToGrid w:val="0"/>
              <w:spacing w:line="240" w:lineRule="auto"/>
              <w:ind w:firstLine="0" w:firstLineChars="0"/>
              <w:jc w:val="center"/>
              <w:rPr>
                <w:rFonts w:ascii="Times New Roman" w:hAnsi="Times New Roman"/>
                <w:sz w:val="21"/>
                <w:szCs w:val="21"/>
              </w:rPr>
            </w:pPr>
            <w:r>
              <w:rPr>
                <w:rFonts w:hint="eastAsia" w:ascii="Times New Roman" w:hAnsi="Times New Roman"/>
                <w:sz w:val="21"/>
                <w:szCs w:val="21"/>
              </w:rPr>
              <w:t>17.5%</w:t>
            </w:r>
          </w:p>
        </w:tc>
        <w:tc>
          <w:tcPr>
            <w:tcW w:w="485" w:type="pct"/>
            <w:vAlign w:val="center"/>
          </w:tcPr>
          <w:p>
            <w:pPr>
              <w:pStyle w:val="18"/>
              <w:adjustRightInd w:val="0"/>
              <w:snapToGrid w:val="0"/>
              <w:spacing w:line="240" w:lineRule="auto"/>
              <w:ind w:firstLine="0" w:firstLineChars="0"/>
              <w:jc w:val="center"/>
              <w:rPr>
                <w:rFonts w:ascii="Times New Roman" w:hAnsi="Times New Roman"/>
                <w:sz w:val="21"/>
                <w:szCs w:val="21"/>
              </w:rPr>
            </w:pPr>
            <w:r>
              <w:rPr>
                <w:rFonts w:hint="eastAsia" w:ascii="Times New Roman" w:hAnsi="Times New Roman"/>
                <w:sz w:val="21"/>
                <w:szCs w:val="21"/>
              </w:rPr>
              <w:t>20.3</w:t>
            </w:r>
          </w:p>
        </w:tc>
        <w:tc>
          <w:tcPr>
            <w:tcW w:w="533" w:type="pct"/>
            <w:vAlign w:val="center"/>
          </w:tcPr>
          <w:p>
            <w:pPr>
              <w:widowControl/>
              <w:ind w:firstLine="0" w:firstLineChars="0"/>
              <w:jc w:val="center"/>
              <w:textAlignment w:val="center"/>
              <w:rPr>
                <w:rFonts w:cs="Times New Roman"/>
                <w:sz w:val="21"/>
                <w:szCs w:val="21"/>
              </w:rPr>
            </w:pPr>
            <w:r>
              <w:rPr>
                <w:rFonts w:hint="eastAsia" w:cs="Times New Roman"/>
                <w:sz w:val="21"/>
                <w:szCs w:val="21"/>
              </w:rPr>
              <w:t>17.16%</w:t>
            </w:r>
          </w:p>
        </w:tc>
        <w:tc>
          <w:tcPr>
            <w:tcW w:w="1840" w:type="pct"/>
            <w:vAlign w:val="center"/>
          </w:tcPr>
          <w:p>
            <w:pPr>
              <w:pStyle w:val="18"/>
              <w:adjustRightInd w:val="0"/>
              <w:snapToGrid w:val="0"/>
              <w:spacing w:line="240" w:lineRule="auto"/>
              <w:ind w:firstLine="0" w:firstLineChars="0"/>
              <w:rPr>
                <w:rFonts w:ascii="Times New Roman" w:hAnsi="Times New Roman"/>
                <w:color w:val="FF0000"/>
                <w:sz w:val="21"/>
                <w:szCs w:val="21"/>
              </w:rPr>
            </w:pPr>
            <w:r>
              <w:rPr>
                <w:rFonts w:ascii="Times New Roman" w:hAnsi="Times New Roman"/>
                <w:sz w:val="21"/>
                <w:szCs w:val="21"/>
              </w:rPr>
              <w:t>包括：新员工教育培训费用，特种作业人员培训费用、特种设备作业人员培训费用，主要负责人和安全管理人员培训费用；安全设施（特种设备、防雷、防静电、职业卫生）检测费用。</w:t>
            </w:r>
          </w:p>
        </w:tc>
        <w:tc>
          <w:tcPr>
            <w:tcW w:w="388" w:type="pct"/>
            <w:vAlign w:val="center"/>
          </w:tcPr>
          <w:p>
            <w:pPr>
              <w:pStyle w:val="18"/>
              <w:adjustRightInd w:val="0"/>
              <w:snapToGrid w:val="0"/>
              <w:spacing w:line="240" w:lineRule="auto"/>
              <w:ind w:firstLine="0" w:firstLineChars="0"/>
              <w:jc w:val="center"/>
              <w:rPr>
                <w:rFonts w:ascii="Times New Roman" w:hAnsi="Times New Roman"/>
                <w:color w:val="FF0000"/>
                <w:sz w:val="21"/>
                <w:szCs w:val="21"/>
              </w:rPr>
            </w:pPr>
            <w:r>
              <w:rPr>
                <w:rFonts w:hint="eastAsia" w:ascii="Times New Roman" w:hAnsi="Times New Roman"/>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643" w:hRule="atLeast"/>
          <w:jc w:val="center"/>
        </w:trPr>
        <w:tc>
          <w:tcPr>
            <w:tcW w:w="290" w:type="pct"/>
            <w:vAlign w:val="center"/>
          </w:tcPr>
          <w:p>
            <w:pPr>
              <w:pStyle w:val="18"/>
              <w:adjustRightInd w:val="0"/>
              <w:snapToGrid w:val="0"/>
              <w:spacing w:line="240" w:lineRule="auto"/>
              <w:ind w:firstLine="0" w:firstLineChars="0"/>
              <w:jc w:val="center"/>
              <w:rPr>
                <w:rFonts w:ascii="Times New Roman" w:hAnsi="Times New Roman"/>
                <w:sz w:val="21"/>
                <w:szCs w:val="21"/>
              </w:rPr>
            </w:pPr>
            <w:r>
              <w:rPr>
                <w:rFonts w:ascii="Times New Roman" w:hAnsi="Times New Roman"/>
                <w:sz w:val="21"/>
                <w:szCs w:val="21"/>
              </w:rPr>
              <w:t>4</w:t>
            </w:r>
          </w:p>
        </w:tc>
        <w:tc>
          <w:tcPr>
            <w:tcW w:w="467" w:type="pct"/>
            <w:vAlign w:val="center"/>
          </w:tcPr>
          <w:p>
            <w:pPr>
              <w:pStyle w:val="18"/>
              <w:adjustRightInd w:val="0"/>
              <w:snapToGrid w:val="0"/>
              <w:spacing w:line="240" w:lineRule="auto"/>
              <w:ind w:firstLine="0" w:firstLineChars="0"/>
              <w:jc w:val="center"/>
              <w:rPr>
                <w:rFonts w:ascii="Times New Roman" w:hAnsi="Times New Roman"/>
                <w:sz w:val="21"/>
                <w:szCs w:val="21"/>
              </w:rPr>
            </w:pPr>
            <w:r>
              <w:rPr>
                <w:rFonts w:ascii="Times New Roman" w:hAnsi="Times New Roman"/>
                <w:sz w:val="21"/>
                <w:szCs w:val="21"/>
              </w:rPr>
              <w:t>事故应急防护费用</w:t>
            </w:r>
          </w:p>
        </w:tc>
        <w:tc>
          <w:tcPr>
            <w:tcW w:w="446" w:type="pct"/>
            <w:vAlign w:val="center"/>
          </w:tcPr>
          <w:p>
            <w:pPr>
              <w:pStyle w:val="18"/>
              <w:adjustRightInd w:val="0"/>
              <w:snapToGrid w:val="0"/>
              <w:spacing w:line="240" w:lineRule="auto"/>
              <w:ind w:firstLine="0" w:firstLineChars="0"/>
              <w:jc w:val="center"/>
              <w:rPr>
                <w:rFonts w:ascii="Times New Roman" w:hAnsi="Times New Roman"/>
                <w:sz w:val="21"/>
                <w:szCs w:val="21"/>
              </w:rPr>
            </w:pPr>
            <w:r>
              <w:rPr>
                <w:rFonts w:hint="eastAsia" w:ascii="Times New Roman" w:hAnsi="Times New Roman"/>
                <w:sz w:val="21"/>
                <w:szCs w:val="21"/>
              </w:rPr>
              <w:t>5.8</w:t>
            </w:r>
          </w:p>
        </w:tc>
        <w:tc>
          <w:tcPr>
            <w:tcW w:w="548" w:type="pct"/>
            <w:vAlign w:val="center"/>
          </w:tcPr>
          <w:p>
            <w:pPr>
              <w:pStyle w:val="18"/>
              <w:tabs>
                <w:tab w:val="left" w:pos="1410"/>
              </w:tabs>
              <w:adjustRightInd w:val="0"/>
              <w:snapToGrid w:val="0"/>
              <w:spacing w:line="240" w:lineRule="auto"/>
              <w:ind w:firstLine="0" w:firstLineChars="0"/>
              <w:jc w:val="center"/>
              <w:rPr>
                <w:rFonts w:ascii="Times New Roman" w:hAnsi="Times New Roman"/>
                <w:sz w:val="21"/>
                <w:szCs w:val="21"/>
              </w:rPr>
            </w:pPr>
            <w:r>
              <w:rPr>
                <w:rFonts w:hint="eastAsia" w:ascii="Times New Roman" w:hAnsi="Times New Roman"/>
                <w:sz w:val="21"/>
                <w:szCs w:val="21"/>
              </w:rPr>
              <w:t>5.3%</w:t>
            </w:r>
          </w:p>
        </w:tc>
        <w:tc>
          <w:tcPr>
            <w:tcW w:w="485" w:type="pct"/>
            <w:vAlign w:val="center"/>
          </w:tcPr>
          <w:p>
            <w:pPr>
              <w:pStyle w:val="18"/>
              <w:tabs>
                <w:tab w:val="left" w:pos="1410"/>
              </w:tabs>
              <w:adjustRightInd w:val="0"/>
              <w:snapToGrid w:val="0"/>
              <w:spacing w:line="240" w:lineRule="auto"/>
              <w:ind w:firstLine="0" w:firstLineChars="0"/>
              <w:jc w:val="center"/>
              <w:rPr>
                <w:rFonts w:ascii="Times New Roman" w:hAnsi="Times New Roman"/>
                <w:sz w:val="21"/>
                <w:szCs w:val="21"/>
              </w:rPr>
            </w:pPr>
            <w:r>
              <w:rPr>
                <w:rFonts w:hint="eastAsia" w:ascii="Times New Roman" w:hAnsi="Times New Roman"/>
                <w:sz w:val="21"/>
                <w:szCs w:val="21"/>
              </w:rPr>
              <w:t>6.5</w:t>
            </w:r>
          </w:p>
        </w:tc>
        <w:tc>
          <w:tcPr>
            <w:tcW w:w="533" w:type="pct"/>
            <w:vAlign w:val="center"/>
          </w:tcPr>
          <w:p>
            <w:pPr>
              <w:widowControl/>
              <w:ind w:firstLine="0" w:firstLineChars="0"/>
              <w:jc w:val="center"/>
              <w:textAlignment w:val="center"/>
              <w:rPr>
                <w:rFonts w:cs="Times New Roman"/>
                <w:sz w:val="21"/>
                <w:szCs w:val="21"/>
              </w:rPr>
            </w:pPr>
            <w:r>
              <w:rPr>
                <w:rFonts w:hint="eastAsia" w:cs="Times New Roman"/>
                <w:sz w:val="21"/>
                <w:szCs w:val="21"/>
              </w:rPr>
              <w:t>5.49%</w:t>
            </w:r>
          </w:p>
        </w:tc>
        <w:tc>
          <w:tcPr>
            <w:tcW w:w="1840" w:type="pct"/>
            <w:vAlign w:val="center"/>
          </w:tcPr>
          <w:p>
            <w:pPr>
              <w:pStyle w:val="18"/>
              <w:tabs>
                <w:tab w:val="left" w:pos="1410"/>
              </w:tabs>
              <w:adjustRightInd w:val="0"/>
              <w:snapToGrid w:val="0"/>
              <w:spacing w:line="240" w:lineRule="auto"/>
              <w:ind w:firstLine="0" w:firstLineChars="0"/>
              <w:rPr>
                <w:rFonts w:ascii="Times New Roman" w:hAnsi="Times New Roman"/>
                <w:color w:val="FF0000"/>
                <w:sz w:val="21"/>
                <w:szCs w:val="21"/>
              </w:rPr>
            </w:pPr>
            <w:r>
              <w:rPr>
                <w:rFonts w:hint="eastAsia" w:ascii="Times New Roman" w:hAnsi="Times New Roman"/>
                <w:sz w:val="21"/>
                <w:szCs w:val="21"/>
              </w:rPr>
              <w:t>包括：</w:t>
            </w:r>
            <w:r>
              <w:rPr>
                <w:rFonts w:ascii="Times New Roman" w:hAnsi="Times New Roman"/>
                <w:sz w:val="21"/>
                <w:szCs w:val="21"/>
              </w:rPr>
              <w:t>应急救援（消防、医疗、环保）</w:t>
            </w:r>
          </w:p>
        </w:tc>
        <w:tc>
          <w:tcPr>
            <w:tcW w:w="388" w:type="pct"/>
            <w:vAlign w:val="center"/>
          </w:tcPr>
          <w:p>
            <w:pPr>
              <w:pStyle w:val="18"/>
              <w:adjustRightInd w:val="0"/>
              <w:snapToGrid w:val="0"/>
              <w:spacing w:line="240" w:lineRule="auto"/>
              <w:ind w:firstLine="0" w:firstLineChars="0"/>
              <w:jc w:val="center"/>
              <w:rPr>
                <w:rFonts w:ascii="Times New Roman" w:hAnsi="Times New Roman"/>
                <w:color w:val="FF0000"/>
                <w:sz w:val="21"/>
                <w:szCs w:val="21"/>
              </w:rPr>
            </w:pPr>
            <w:r>
              <w:rPr>
                <w:rFonts w:hint="eastAsia" w:ascii="Times New Roman" w:hAnsi="Times New Roman"/>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0" w:hRule="atLeast"/>
          <w:jc w:val="center"/>
        </w:trPr>
        <w:tc>
          <w:tcPr>
            <w:tcW w:w="290" w:type="pct"/>
            <w:vAlign w:val="center"/>
          </w:tcPr>
          <w:p>
            <w:pPr>
              <w:pStyle w:val="18"/>
              <w:adjustRightInd w:val="0"/>
              <w:snapToGrid w:val="0"/>
              <w:spacing w:line="240" w:lineRule="auto"/>
              <w:ind w:firstLine="0" w:firstLineChars="0"/>
              <w:jc w:val="center"/>
              <w:rPr>
                <w:rFonts w:ascii="Times New Roman" w:hAnsi="Times New Roman"/>
                <w:sz w:val="21"/>
                <w:szCs w:val="21"/>
              </w:rPr>
            </w:pPr>
            <w:r>
              <w:rPr>
                <w:rFonts w:hint="eastAsia" w:ascii="Times New Roman" w:hAnsi="Times New Roman"/>
                <w:sz w:val="21"/>
                <w:szCs w:val="21"/>
              </w:rPr>
              <w:t>5</w:t>
            </w:r>
          </w:p>
        </w:tc>
        <w:tc>
          <w:tcPr>
            <w:tcW w:w="467" w:type="pct"/>
            <w:vAlign w:val="center"/>
          </w:tcPr>
          <w:p>
            <w:pPr>
              <w:pStyle w:val="18"/>
              <w:adjustRightInd w:val="0"/>
              <w:snapToGrid w:val="0"/>
              <w:spacing w:line="240" w:lineRule="auto"/>
              <w:ind w:firstLine="0" w:firstLineChars="0"/>
              <w:jc w:val="center"/>
              <w:rPr>
                <w:rFonts w:ascii="Times New Roman" w:hAnsi="Times New Roman"/>
                <w:sz w:val="21"/>
                <w:szCs w:val="21"/>
              </w:rPr>
            </w:pPr>
            <w:r>
              <w:rPr>
                <w:rFonts w:hint="eastAsia" w:ascii="Times New Roman" w:hAnsi="Times New Roman"/>
                <w:sz w:val="21"/>
                <w:szCs w:val="21"/>
              </w:rPr>
              <w:t>职业卫生防护费用</w:t>
            </w:r>
          </w:p>
        </w:tc>
        <w:tc>
          <w:tcPr>
            <w:tcW w:w="446" w:type="pct"/>
            <w:vAlign w:val="center"/>
          </w:tcPr>
          <w:p>
            <w:pPr>
              <w:pStyle w:val="18"/>
              <w:adjustRightInd w:val="0"/>
              <w:snapToGrid w:val="0"/>
              <w:spacing w:line="240" w:lineRule="auto"/>
              <w:ind w:firstLine="0" w:firstLineChars="0"/>
              <w:jc w:val="center"/>
              <w:rPr>
                <w:rFonts w:ascii="Times New Roman" w:hAnsi="Times New Roman"/>
                <w:sz w:val="21"/>
                <w:szCs w:val="21"/>
              </w:rPr>
            </w:pPr>
            <w:r>
              <w:rPr>
                <w:rFonts w:hint="eastAsia" w:ascii="Times New Roman" w:hAnsi="Times New Roman"/>
                <w:sz w:val="21"/>
                <w:szCs w:val="21"/>
              </w:rPr>
              <w:t>10</w:t>
            </w:r>
          </w:p>
        </w:tc>
        <w:tc>
          <w:tcPr>
            <w:tcW w:w="548" w:type="pct"/>
            <w:vAlign w:val="center"/>
          </w:tcPr>
          <w:p>
            <w:pPr>
              <w:pStyle w:val="18"/>
              <w:tabs>
                <w:tab w:val="left" w:pos="1410"/>
              </w:tabs>
              <w:adjustRightInd w:val="0"/>
              <w:snapToGrid w:val="0"/>
              <w:spacing w:line="240" w:lineRule="auto"/>
              <w:ind w:firstLine="0" w:firstLineChars="0"/>
              <w:jc w:val="center"/>
              <w:rPr>
                <w:rFonts w:ascii="Times New Roman" w:hAnsi="Times New Roman"/>
                <w:sz w:val="21"/>
                <w:szCs w:val="21"/>
              </w:rPr>
            </w:pPr>
            <w:r>
              <w:rPr>
                <w:rFonts w:hint="eastAsia" w:ascii="Times New Roman" w:hAnsi="Times New Roman"/>
                <w:sz w:val="21"/>
                <w:szCs w:val="21"/>
              </w:rPr>
              <w:t>9%</w:t>
            </w:r>
          </w:p>
        </w:tc>
        <w:tc>
          <w:tcPr>
            <w:tcW w:w="485" w:type="pct"/>
            <w:vAlign w:val="center"/>
          </w:tcPr>
          <w:p>
            <w:pPr>
              <w:pStyle w:val="18"/>
              <w:tabs>
                <w:tab w:val="left" w:pos="1410"/>
              </w:tabs>
              <w:adjustRightInd w:val="0"/>
              <w:snapToGrid w:val="0"/>
              <w:spacing w:line="240" w:lineRule="auto"/>
              <w:ind w:firstLine="0" w:firstLineChars="0"/>
              <w:jc w:val="center"/>
              <w:rPr>
                <w:rFonts w:ascii="Times New Roman" w:hAnsi="Times New Roman"/>
                <w:sz w:val="21"/>
                <w:szCs w:val="21"/>
              </w:rPr>
            </w:pPr>
            <w:r>
              <w:rPr>
                <w:rFonts w:hint="eastAsia" w:ascii="Times New Roman" w:hAnsi="Times New Roman"/>
                <w:sz w:val="21"/>
                <w:szCs w:val="21"/>
              </w:rPr>
              <w:t>11.8</w:t>
            </w:r>
          </w:p>
        </w:tc>
        <w:tc>
          <w:tcPr>
            <w:tcW w:w="533" w:type="pct"/>
            <w:vAlign w:val="center"/>
          </w:tcPr>
          <w:p>
            <w:pPr>
              <w:widowControl/>
              <w:ind w:firstLine="0" w:firstLineChars="0"/>
              <w:jc w:val="center"/>
              <w:textAlignment w:val="center"/>
              <w:rPr>
                <w:rFonts w:cs="Times New Roman"/>
                <w:sz w:val="21"/>
                <w:szCs w:val="21"/>
              </w:rPr>
            </w:pPr>
            <w:r>
              <w:rPr>
                <w:rFonts w:hint="eastAsia" w:cs="Times New Roman"/>
                <w:sz w:val="21"/>
                <w:szCs w:val="21"/>
              </w:rPr>
              <w:t>9.97%</w:t>
            </w:r>
          </w:p>
        </w:tc>
        <w:tc>
          <w:tcPr>
            <w:tcW w:w="1840" w:type="pct"/>
            <w:vAlign w:val="center"/>
          </w:tcPr>
          <w:p>
            <w:pPr>
              <w:pStyle w:val="18"/>
              <w:tabs>
                <w:tab w:val="left" w:pos="1410"/>
              </w:tabs>
              <w:adjustRightInd w:val="0"/>
              <w:snapToGrid w:val="0"/>
              <w:spacing w:line="240" w:lineRule="auto"/>
              <w:ind w:firstLine="0" w:firstLineChars="0"/>
              <w:rPr>
                <w:rFonts w:ascii="Times New Roman" w:hAnsi="Times New Roman"/>
                <w:color w:val="FF0000"/>
                <w:sz w:val="21"/>
                <w:szCs w:val="21"/>
              </w:rPr>
            </w:pPr>
            <w:r>
              <w:rPr>
                <w:rFonts w:hint="eastAsia" w:ascii="Times New Roman" w:hAnsi="Times New Roman"/>
                <w:sz w:val="21"/>
                <w:szCs w:val="21"/>
              </w:rPr>
              <w:t>包括：防护帽、防护服、防护手套、防护眼镜、防护口（面）罩、防护耳塞（罩）。</w:t>
            </w:r>
          </w:p>
        </w:tc>
        <w:tc>
          <w:tcPr>
            <w:tcW w:w="388" w:type="pct"/>
            <w:vAlign w:val="center"/>
          </w:tcPr>
          <w:p>
            <w:pPr>
              <w:pStyle w:val="18"/>
              <w:adjustRightInd w:val="0"/>
              <w:snapToGrid w:val="0"/>
              <w:spacing w:line="240" w:lineRule="auto"/>
              <w:ind w:firstLine="0" w:firstLineChars="0"/>
              <w:jc w:val="center"/>
              <w:rPr>
                <w:rFonts w:ascii="Times New Roman" w:hAnsi="Times New Roman"/>
                <w:color w:val="FF0000"/>
                <w:sz w:val="21"/>
                <w:szCs w:val="21"/>
              </w:rPr>
            </w:pPr>
            <w:r>
              <w:rPr>
                <w:rFonts w:hint="eastAsia" w:ascii="Times New Roman" w:hAnsi="Times New Roman"/>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0" w:hRule="atLeast"/>
          <w:jc w:val="center"/>
        </w:trPr>
        <w:tc>
          <w:tcPr>
            <w:tcW w:w="290" w:type="pct"/>
            <w:vAlign w:val="center"/>
          </w:tcPr>
          <w:p>
            <w:pPr>
              <w:pStyle w:val="18"/>
              <w:adjustRightInd w:val="0"/>
              <w:snapToGrid w:val="0"/>
              <w:spacing w:line="240" w:lineRule="auto"/>
              <w:ind w:firstLine="0" w:firstLineChars="0"/>
              <w:jc w:val="center"/>
              <w:rPr>
                <w:rFonts w:ascii="Times New Roman" w:hAnsi="Times New Roman"/>
                <w:sz w:val="21"/>
                <w:szCs w:val="21"/>
              </w:rPr>
            </w:pPr>
            <w:r>
              <w:rPr>
                <w:rFonts w:hint="eastAsia" w:ascii="Times New Roman" w:hAnsi="Times New Roman"/>
                <w:sz w:val="21"/>
                <w:szCs w:val="21"/>
              </w:rPr>
              <w:t>6</w:t>
            </w:r>
          </w:p>
        </w:tc>
        <w:tc>
          <w:tcPr>
            <w:tcW w:w="467" w:type="pct"/>
            <w:vAlign w:val="center"/>
          </w:tcPr>
          <w:p>
            <w:pPr>
              <w:pStyle w:val="18"/>
              <w:adjustRightInd w:val="0"/>
              <w:snapToGrid w:val="0"/>
              <w:spacing w:line="240" w:lineRule="auto"/>
              <w:ind w:firstLine="0" w:firstLineChars="0"/>
              <w:jc w:val="center"/>
              <w:rPr>
                <w:rFonts w:ascii="Times New Roman" w:hAnsi="Times New Roman"/>
                <w:sz w:val="21"/>
                <w:szCs w:val="21"/>
              </w:rPr>
            </w:pPr>
            <w:r>
              <w:rPr>
                <w:rFonts w:ascii="Times New Roman" w:hAnsi="Times New Roman"/>
                <w:sz w:val="21"/>
                <w:szCs w:val="21"/>
              </w:rPr>
              <w:t>其它安全设施费用</w:t>
            </w:r>
          </w:p>
        </w:tc>
        <w:tc>
          <w:tcPr>
            <w:tcW w:w="446" w:type="pct"/>
            <w:vAlign w:val="center"/>
          </w:tcPr>
          <w:p>
            <w:pPr>
              <w:pStyle w:val="18"/>
              <w:adjustRightInd w:val="0"/>
              <w:snapToGrid w:val="0"/>
              <w:spacing w:line="240" w:lineRule="auto"/>
              <w:ind w:firstLine="0" w:firstLineChars="0"/>
              <w:jc w:val="center"/>
              <w:rPr>
                <w:rFonts w:ascii="Times New Roman" w:hAnsi="Times New Roman"/>
                <w:sz w:val="21"/>
                <w:szCs w:val="21"/>
              </w:rPr>
            </w:pPr>
            <w:r>
              <w:rPr>
                <w:rFonts w:hint="eastAsia" w:ascii="Times New Roman" w:hAnsi="Times New Roman"/>
                <w:sz w:val="21"/>
                <w:szCs w:val="21"/>
              </w:rPr>
              <w:t>30</w:t>
            </w:r>
          </w:p>
        </w:tc>
        <w:tc>
          <w:tcPr>
            <w:tcW w:w="548" w:type="pct"/>
            <w:vAlign w:val="center"/>
          </w:tcPr>
          <w:p>
            <w:pPr>
              <w:pStyle w:val="18"/>
              <w:adjustRightInd w:val="0"/>
              <w:snapToGrid w:val="0"/>
              <w:spacing w:line="240" w:lineRule="auto"/>
              <w:ind w:firstLine="0" w:firstLineChars="0"/>
              <w:jc w:val="center"/>
              <w:rPr>
                <w:rFonts w:ascii="Times New Roman" w:hAnsi="Times New Roman"/>
                <w:sz w:val="21"/>
                <w:szCs w:val="21"/>
              </w:rPr>
            </w:pPr>
            <w:r>
              <w:rPr>
                <w:rFonts w:hint="eastAsia" w:ascii="Times New Roman" w:hAnsi="Times New Roman"/>
                <w:sz w:val="21"/>
                <w:szCs w:val="21"/>
              </w:rPr>
              <w:t>27.3%</w:t>
            </w:r>
          </w:p>
        </w:tc>
        <w:tc>
          <w:tcPr>
            <w:tcW w:w="485" w:type="pct"/>
            <w:vAlign w:val="center"/>
          </w:tcPr>
          <w:p>
            <w:pPr>
              <w:pStyle w:val="18"/>
              <w:adjustRightInd w:val="0"/>
              <w:snapToGrid w:val="0"/>
              <w:spacing w:line="240" w:lineRule="auto"/>
              <w:ind w:firstLine="0" w:firstLineChars="0"/>
              <w:jc w:val="center"/>
              <w:rPr>
                <w:rFonts w:ascii="Times New Roman" w:hAnsi="Times New Roman"/>
                <w:sz w:val="21"/>
                <w:szCs w:val="21"/>
              </w:rPr>
            </w:pPr>
            <w:r>
              <w:rPr>
                <w:rFonts w:hint="eastAsia" w:ascii="Times New Roman" w:hAnsi="Times New Roman"/>
                <w:sz w:val="21"/>
                <w:szCs w:val="21"/>
              </w:rPr>
              <w:t>32</w:t>
            </w:r>
          </w:p>
        </w:tc>
        <w:tc>
          <w:tcPr>
            <w:tcW w:w="533" w:type="pct"/>
            <w:vAlign w:val="center"/>
          </w:tcPr>
          <w:p>
            <w:pPr>
              <w:widowControl/>
              <w:ind w:firstLine="0" w:firstLineChars="0"/>
              <w:jc w:val="center"/>
              <w:textAlignment w:val="center"/>
              <w:rPr>
                <w:rFonts w:cs="Times New Roman"/>
                <w:sz w:val="21"/>
                <w:szCs w:val="21"/>
              </w:rPr>
            </w:pPr>
            <w:r>
              <w:rPr>
                <w:rFonts w:hint="eastAsia" w:cs="Times New Roman"/>
                <w:sz w:val="21"/>
                <w:szCs w:val="21"/>
              </w:rPr>
              <w:t>27.05%</w:t>
            </w:r>
          </w:p>
        </w:tc>
        <w:tc>
          <w:tcPr>
            <w:tcW w:w="1840" w:type="pct"/>
            <w:vAlign w:val="center"/>
          </w:tcPr>
          <w:p>
            <w:pPr>
              <w:pStyle w:val="18"/>
              <w:adjustRightInd w:val="0"/>
              <w:snapToGrid w:val="0"/>
              <w:spacing w:line="240" w:lineRule="auto"/>
              <w:ind w:firstLine="0" w:firstLineChars="0"/>
              <w:rPr>
                <w:rFonts w:ascii="Times New Roman" w:hAnsi="Times New Roman"/>
                <w:color w:val="FF0000"/>
                <w:sz w:val="21"/>
                <w:szCs w:val="21"/>
              </w:rPr>
            </w:pPr>
            <w:r>
              <w:rPr>
                <w:rFonts w:hint="eastAsia" w:ascii="Times New Roman" w:hAnsi="Times New Roman"/>
                <w:sz w:val="21"/>
                <w:szCs w:val="21"/>
              </w:rPr>
              <w:t>包括：</w:t>
            </w:r>
            <w:r>
              <w:rPr>
                <w:rFonts w:ascii="Times New Roman" w:hAnsi="Times New Roman"/>
                <w:sz w:val="21"/>
                <w:szCs w:val="21"/>
              </w:rPr>
              <w:t>起重设备行走限位急停装置、消声器、事故应急照明、应急疏散灯光、</w:t>
            </w:r>
            <w:r>
              <w:rPr>
                <w:rFonts w:hint="eastAsia" w:ascii="Times New Roman" w:hAnsi="Times New Roman"/>
                <w:sz w:val="21"/>
                <w:szCs w:val="21"/>
              </w:rPr>
              <w:t>消防道路建设、</w:t>
            </w:r>
            <w:r>
              <w:rPr>
                <w:rFonts w:ascii="Times New Roman" w:hAnsi="Times New Roman"/>
                <w:sz w:val="21"/>
                <w:szCs w:val="21"/>
              </w:rPr>
              <w:t>安全标识、防护栏杆、钢直梯、钢斜梯、防护罩，劳保用品。</w:t>
            </w:r>
          </w:p>
        </w:tc>
        <w:tc>
          <w:tcPr>
            <w:tcW w:w="388" w:type="pct"/>
            <w:vAlign w:val="center"/>
          </w:tcPr>
          <w:p>
            <w:pPr>
              <w:pStyle w:val="18"/>
              <w:adjustRightInd w:val="0"/>
              <w:snapToGrid w:val="0"/>
              <w:spacing w:line="240" w:lineRule="auto"/>
              <w:ind w:firstLine="0" w:firstLineChars="0"/>
              <w:jc w:val="center"/>
              <w:rPr>
                <w:rFonts w:ascii="Times New Roman" w:hAnsi="Times New Roman"/>
                <w:color w:val="FF0000"/>
                <w:sz w:val="21"/>
                <w:szCs w:val="21"/>
              </w:rPr>
            </w:pPr>
            <w:r>
              <w:rPr>
                <w:rFonts w:hint="eastAsia" w:ascii="Times New Roman" w:hAnsi="Times New Roman"/>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0" w:hRule="atLeast"/>
          <w:jc w:val="center"/>
        </w:trPr>
        <w:tc>
          <w:tcPr>
            <w:tcW w:w="758" w:type="pct"/>
            <w:gridSpan w:val="2"/>
            <w:vAlign w:val="center"/>
          </w:tcPr>
          <w:p>
            <w:pPr>
              <w:pStyle w:val="18"/>
              <w:adjustRightInd w:val="0"/>
              <w:snapToGrid w:val="0"/>
              <w:spacing w:line="240" w:lineRule="auto"/>
              <w:ind w:firstLine="0" w:firstLineChars="0"/>
              <w:jc w:val="center"/>
              <w:rPr>
                <w:rFonts w:ascii="Times New Roman" w:hAnsi="Times New Roman"/>
                <w:sz w:val="21"/>
                <w:szCs w:val="21"/>
              </w:rPr>
            </w:pPr>
            <w:r>
              <w:rPr>
                <w:rFonts w:ascii="Times New Roman" w:hAnsi="Times New Roman"/>
                <w:sz w:val="21"/>
                <w:szCs w:val="21"/>
              </w:rPr>
              <w:t>总计</w:t>
            </w:r>
          </w:p>
        </w:tc>
        <w:tc>
          <w:tcPr>
            <w:tcW w:w="446" w:type="pct"/>
            <w:vAlign w:val="center"/>
          </w:tcPr>
          <w:p>
            <w:pPr>
              <w:pStyle w:val="18"/>
              <w:adjustRightInd w:val="0"/>
              <w:snapToGrid w:val="0"/>
              <w:spacing w:line="240" w:lineRule="auto"/>
              <w:ind w:firstLine="0" w:firstLineChars="0"/>
              <w:jc w:val="center"/>
              <w:rPr>
                <w:rFonts w:ascii="Times New Roman" w:hAnsi="Times New Roman"/>
                <w:sz w:val="21"/>
                <w:szCs w:val="21"/>
              </w:rPr>
            </w:pPr>
            <w:r>
              <w:rPr>
                <w:rFonts w:hint="eastAsia" w:ascii="Times New Roman" w:hAnsi="Times New Roman"/>
                <w:sz w:val="21"/>
                <w:szCs w:val="21"/>
              </w:rPr>
              <w:t>110</w:t>
            </w:r>
          </w:p>
        </w:tc>
        <w:tc>
          <w:tcPr>
            <w:tcW w:w="548" w:type="pct"/>
            <w:vAlign w:val="center"/>
          </w:tcPr>
          <w:p>
            <w:pPr>
              <w:pStyle w:val="18"/>
              <w:adjustRightInd w:val="0"/>
              <w:snapToGrid w:val="0"/>
              <w:spacing w:line="240" w:lineRule="auto"/>
              <w:ind w:firstLine="0" w:firstLineChars="0"/>
              <w:jc w:val="center"/>
              <w:rPr>
                <w:rFonts w:ascii="Times New Roman" w:hAnsi="Times New Roman"/>
                <w:sz w:val="21"/>
                <w:szCs w:val="21"/>
              </w:rPr>
            </w:pPr>
            <w:r>
              <w:rPr>
                <w:rFonts w:hint="eastAsia" w:ascii="Times New Roman" w:hAnsi="Times New Roman"/>
                <w:sz w:val="21"/>
                <w:szCs w:val="21"/>
              </w:rPr>
              <w:t>100%</w:t>
            </w:r>
          </w:p>
        </w:tc>
        <w:tc>
          <w:tcPr>
            <w:tcW w:w="485" w:type="pct"/>
            <w:vAlign w:val="center"/>
          </w:tcPr>
          <w:p>
            <w:pPr>
              <w:pStyle w:val="18"/>
              <w:adjustRightInd w:val="0"/>
              <w:snapToGrid w:val="0"/>
              <w:spacing w:line="240" w:lineRule="auto"/>
              <w:ind w:firstLine="0" w:firstLineChars="0"/>
              <w:jc w:val="center"/>
              <w:rPr>
                <w:rFonts w:ascii="Times New Roman" w:hAnsi="Times New Roman"/>
                <w:sz w:val="21"/>
                <w:szCs w:val="21"/>
              </w:rPr>
            </w:pPr>
            <w:r>
              <w:rPr>
                <w:rFonts w:hint="eastAsia" w:ascii="Times New Roman" w:hAnsi="Times New Roman"/>
                <w:sz w:val="21"/>
                <w:szCs w:val="21"/>
              </w:rPr>
              <w:t>118.3</w:t>
            </w:r>
          </w:p>
        </w:tc>
        <w:tc>
          <w:tcPr>
            <w:tcW w:w="533" w:type="pct"/>
            <w:vAlign w:val="center"/>
          </w:tcPr>
          <w:p>
            <w:pPr>
              <w:pStyle w:val="18"/>
              <w:adjustRightInd w:val="0"/>
              <w:snapToGrid w:val="0"/>
              <w:spacing w:line="240" w:lineRule="auto"/>
              <w:ind w:firstLine="0" w:firstLineChars="0"/>
              <w:jc w:val="center"/>
              <w:rPr>
                <w:rFonts w:ascii="Times New Roman" w:hAnsi="Times New Roman"/>
                <w:sz w:val="21"/>
                <w:szCs w:val="21"/>
              </w:rPr>
            </w:pPr>
            <w:r>
              <w:rPr>
                <w:rFonts w:hint="eastAsia" w:ascii="Times New Roman" w:hAnsi="Times New Roman"/>
                <w:sz w:val="21"/>
                <w:szCs w:val="21"/>
              </w:rPr>
              <w:t>100%</w:t>
            </w:r>
          </w:p>
        </w:tc>
        <w:tc>
          <w:tcPr>
            <w:tcW w:w="1840" w:type="pct"/>
            <w:vAlign w:val="center"/>
          </w:tcPr>
          <w:p>
            <w:pPr>
              <w:pStyle w:val="18"/>
              <w:adjustRightInd w:val="0"/>
              <w:snapToGrid w:val="0"/>
              <w:spacing w:line="240" w:lineRule="auto"/>
              <w:ind w:firstLine="0" w:firstLineChars="0"/>
              <w:jc w:val="center"/>
              <w:rPr>
                <w:rFonts w:ascii="Times New Roman" w:hAnsi="Times New Roman"/>
                <w:sz w:val="21"/>
                <w:szCs w:val="21"/>
              </w:rPr>
            </w:pPr>
          </w:p>
        </w:tc>
        <w:tc>
          <w:tcPr>
            <w:tcW w:w="388" w:type="pct"/>
            <w:vAlign w:val="center"/>
          </w:tcPr>
          <w:p>
            <w:pPr>
              <w:pStyle w:val="18"/>
              <w:adjustRightInd w:val="0"/>
              <w:snapToGrid w:val="0"/>
              <w:spacing w:line="240" w:lineRule="auto"/>
              <w:ind w:firstLine="0" w:firstLineChars="0"/>
              <w:jc w:val="center"/>
              <w:rPr>
                <w:rFonts w:ascii="Times New Roman" w:hAnsi="Times New Roman"/>
                <w:color w:val="FF0000"/>
                <w:sz w:val="21"/>
                <w:szCs w:val="21"/>
              </w:rPr>
            </w:pPr>
            <w:r>
              <w:rPr>
                <w:rFonts w:hint="eastAsia" w:ascii="Times New Roman" w:hAnsi="Times New Roman"/>
                <w:sz w:val="21"/>
                <w:szCs w:val="21"/>
              </w:rPr>
              <w:t>符合</w:t>
            </w:r>
          </w:p>
        </w:tc>
      </w:tr>
    </w:tbl>
    <w:p>
      <w:pPr>
        <w:ind w:firstLine="560"/>
      </w:pPr>
      <w:bookmarkStart w:id="266" w:name="_Toc498519826"/>
      <w:bookmarkStart w:id="267" w:name="_Toc500007163"/>
      <w:bookmarkStart w:id="268" w:name="_Toc498299356"/>
      <w:r>
        <w:t>该项目安全设施投资纳入了建设项目概算</w:t>
      </w:r>
      <w:r>
        <w:rPr>
          <w:rFonts w:hint="eastAsia"/>
        </w:rPr>
        <w:t>，</w:t>
      </w:r>
      <w:r>
        <w:t>建设过程中</w:t>
      </w:r>
      <w:r>
        <w:rPr>
          <w:rFonts w:hint="eastAsia"/>
        </w:rPr>
        <w:t>按设计要求</w:t>
      </w:r>
      <w:r>
        <w:t>投入</w:t>
      </w:r>
      <w:r>
        <w:rPr>
          <w:rFonts w:hint="eastAsia"/>
        </w:rPr>
        <w:t>，安全设施专项投资</w:t>
      </w:r>
      <w:r>
        <w:t>符合</w:t>
      </w:r>
      <w:r>
        <w:rPr>
          <w:rFonts w:hint="eastAsia"/>
        </w:rPr>
        <w:t>安全设施设计要求</w:t>
      </w:r>
      <w:r>
        <w:t>。</w:t>
      </w:r>
    </w:p>
    <w:p>
      <w:pPr>
        <w:pStyle w:val="6"/>
        <w:tabs>
          <w:tab w:val="left" w:pos="0"/>
          <w:tab w:val="left" w:pos="420"/>
          <w:tab w:val="clear" w:pos="2101"/>
        </w:tabs>
        <w:spacing w:before="156" w:after="156"/>
      </w:pPr>
      <w:bookmarkStart w:id="269" w:name="_Toc12505"/>
      <w:bookmarkStart w:id="270" w:name="_Toc1515"/>
      <w:r>
        <w:t>重大隐患判定</w:t>
      </w:r>
      <w:bookmarkEnd w:id="269"/>
      <w:bookmarkEnd w:id="270"/>
    </w:p>
    <w:p>
      <w:pPr>
        <w:ind w:firstLine="560"/>
        <w:rPr>
          <w:rFonts w:ascii="宋体" w:hAnsi="宋体" w:cs="宋体"/>
          <w:szCs w:val="28"/>
        </w:rPr>
      </w:pPr>
      <w:r>
        <w:rPr>
          <w:rFonts w:hint="eastAsia" w:ascii="宋体" w:hAnsi="宋体" w:cs="宋体"/>
          <w:szCs w:val="28"/>
        </w:rPr>
        <w:t>根据《工贸企业重大事故隐患判定标准》（中华人民共和国应急管理部令第10号）要求，对该项目的设备设施、事故隐患进行符合性安全分析，具体情况见下表所示。</w:t>
      </w:r>
    </w:p>
    <w:p>
      <w:pPr>
        <w:pStyle w:val="14"/>
        <w:spacing w:before="156" w:after="156"/>
      </w:pPr>
      <w:r>
        <w:t xml:space="preserve">表 </w:t>
      </w:r>
      <w:r>
        <w:fldChar w:fldCharType="begin"/>
      </w:r>
      <w:r>
        <w:instrText xml:space="preserve"> STYLEREF 1 \s </w:instrText>
      </w:r>
      <w:r>
        <w:fldChar w:fldCharType="separate"/>
      </w:r>
      <w:r>
        <w:t>5</w:t>
      </w:r>
      <w:r>
        <w:fldChar w:fldCharType="end"/>
      </w:r>
      <w:r>
        <w:rPr>
          <w:rFonts w:hint="eastAsia"/>
        </w:rPr>
        <w:t>.1-3其他法律法规符合性检查及重大隐患判定表</w:t>
      </w:r>
    </w:p>
    <w:tbl>
      <w:tblPr>
        <w:tblStyle w:val="29"/>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696"/>
        <w:gridCol w:w="2801"/>
        <w:gridCol w:w="2090"/>
        <w:gridCol w:w="2273"/>
        <w:gridCol w:w="66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408" w:type="pct"/>
            <w:tcBorders>
              <w:tl2br w:val="nil"/>
              <w:tr2bl w:val="nil"/>
            </w:tcBorders>
            <w:vAlign w:val="center"/>
          </w:tcPr>
          <w:p>
            <w:pPr>
              <w:spacing w:line="240" w:lineRule="auto"/>
              <w:ind w:firstLine="0" w:firstLineChars="0"/>
              <w:jc w:val="center"/>
              <w:rPr>
                <w:rFonts w:ascii="宋体" w:hAnsi="宋体" w:cs="宋体"/>
                <w:b/>
                <w:sz w:val="21"/>
                <w:szCs w:val="21"/>
              </w:rPr>
            </w:pPr>
            <w:r>
              <w:rPr>
                <w:rFonts w:hint="eastAsia" w:ascii="宋体" w:hAnsi="宋体" w:cs="宋体"/>
                <w:b/>
                <w:sz w:val="21"/>
                <w:szCs w:val="21"/>
              </w:rPr>
              <w:t>序号</w:t>
            </w:r>
          </w:p>
        </w:tc>
        <w:tc>
          <w:tcPr>
            <w:tcW w:w="1643" w:type="pct"/>
            <w:tcBorders>
              <w:tl2br w:val="nil"/>
              <w:tr2bl w:val="nil"/>
            </w:tcBorders>
            <w:vAlign w:val="center"/>
          </w:tcPr>
          <w:p>
            <w:pPr>
              <w:spacing w:line="240" w:lineRule="auto"/>
              <w:ind w:firstLine="0" w:firstLineChars="0"/>
              <w:jc w:val="center"/>
              <w:rPr>
                <w:rFonts w:ascii="宋体" w:hAnsi="宋体" w:cs="宋体"/>
                <w:b/>
                <w:sz w:val="21"/>
                <w:szCs w:val="21"/>
              </w:rPr>
            </w:pPr>
            <w:r>
              <w:rPr>
                <w:rFonts w:hint="eastAsia" w:ascii="宋体" w:hAnsi="宋体" w:cs="宋体"/>
                <w:b/>
                <w:sz w:val="21"/>
                <w:szCs w:val="21"/>
              </w:rPr>
              <w:t>检查内容</w:t>
            </w:r>
          </w:p>
        </w:tc>
        <w:tc>
          <w:tcPr>
            <w:tcW w:w="1226" w:type="pct"/>
            <w:tcBorders>
              <w:tl2br w:val="nil"/>
              <w:tr2bl w:val="nil"/>
            </w:tcBorders>
            <w:vAlign w:val="center"/>
          </w:tcPr>
          <w:p>
            <w:pPr>
              <w:suppressAutoHyphens/>
              <w:spacing w:line="240" w:lineRule="auto"/>
              <w:ind w:firstLine="0" w:firstLineChars="0"/>
              <w:jc w:val="center"/>
              <w:rPr>
                <w:rFonts w:ascii="宋体" w:hAnsi="宋体" w:cs="宋体"/>
                <w:b/>
                <w:snapToGrid w:val="0"/>
                <w:kern w:val="0"/>
                <w:sz w:val="21"/>
                <w:szCs w:val="21"/>
              </w:rPr>
            </w:pPr>
            <w:r>
              <w:rPr>
                <w:rFonts w:hint="eastAsia" w:ascii="宋体" w:hAnsi="宋体" w:cs="宋体"/>
                <w:b/>
                <w:snapToGrid w:val="0"/>
                <w:kern w:val="0"/>
                <w:sz w:val="21"/>
                <w:szCs w:val="21"/>
              </w:rPr>
              <w:t>检查依据</w:t>
            </w:r>
          </w:p>
        </w:tc>
        <w:tc>
          <w:tcPr>
            <w:tcW w:w="1333" w:type="pct"/>
            <w:tcBorders>
              <w:tl2br w:val="nil"/>
              <w:tr2bl w:val="nil"/>
            </w:tcBorders>
            <w:vAlign w:val="center"/>
          </w:tcPr>
          <w:p>
            <w:pPr>
              <w:suppressAutoHyphens/>
              <w:spacing w:line="240" w:lineRule="auto"/>
              <w:ind w:firstLine="0" w:firstLineChars="0"/>
              <w:jc w:val="center"/>
              <w:rPr>
                <w:rFonts w:ascii="宋体" w:hAnsi="宋体" w:cs="宋体"/>
                <w:b/>
                <w:snapToGrid w:val="0"/>
                <w:kern w:val="0"/>
                <w:sz w:val="21"/>
                <w:szCs w:val="21"/>
              </w:rPr>
            </w:pPr>
            <w:r>
              <w:rPr>
                <w:rFonts w:hint="eastAsia" w:ascii="宋体" w:hAnsi="宋体" w:cs="宋体"/>
                <w:b/>
                <w:snapToGrid w:val="0"/>
                <w:kern w:val="0"/>
                <w:sz w:val="21"/>
                <w:szCs w:val="21"/>
              </w:rPr>
              <w:t>检查情况</w:t>
            </w:r>
          </w:p>
        </w:tc>
        <w:tc>
          <w:tcPr>
            <w:tcW w:w="388" w:type="pct"/>
            <w:tcBorders>
              <w:tl2br w:val="nil"/>
              <w:tr2bl w:val="nil"/>
            </w:tcBorders>
            <w:vAlign w:val="center"/>
          </w:tcPr>
          <w:p>
            <w:pPr>
              <w:suppressAutoHyphens/>
              <w:spacing w:line="240" w:lineRule="auto"/>
              <w:ind w:firstLine="0" w:firstLineChars="0"/>
              <w:jc w:val="center"/>
              <w:rPr>
                <w:rFonts w:ascii="宋体" w:hAnsi="宋体" w:cs="宋体"/>
                <w:b/>
                <w:snapToGrid w:val="0"/>
                <w:kern w:val="0"/>
                <w:sz w:val="21"/>
                <w:szCs w:val="21"/>
              </w:rPr>
            </w:pPr>
            <w:r>
              <w:rPr>
                <w:rFonts w:hint="eastAsia" w:ascii="宋体" w:hAnsi="宋体" w:cs="宋体"/>
                <w:b/>
                <w:snapToGrid w:val="0"/>
                <w:kern w:val="0"/>
                <w:sz w:val="21"/>
                <w:szCs w:val="21"/>
              </w:rPr>
              <w:t>检查结论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55" w:hRule="atLeast"/>
          <w:jc w:val="center"/>
        </w:trPr>
        <w:tc>
          <w:tcPr>
            <w:tcW w:w="408" w:type="pct"/>
            <w:tcBorders>
              <w:tl2br w:val="nil"/>
              <w:tr2bl w:val="nil"/>
            </w:tcBorders>
            <w:vAlign w:val="center"/>
          </w:tcPr>
          <w:p>
            <w:pPr>
              <w:numPr>
                <w:ilvl w:val="0"/>
                <w:numId w:val="55"/>
              </w:numPr>
              <w:spacing w:line="240" w:lineRule="auto"/>
              <w:ind w:firstLine="0" w:firstLineChars="0"/>
              <w:jc w:val="center"/>
              <w:rPr>
                <w:rFonts w:ascii="宋体" w:hAnsi="宋体" w:cs="宋体"/>
                <w:bCs/>
                <w:sz w:val="21"/>
                <w:szCs w:val="21"/>
              </w:rPr>
            </w:pPr>
          </w:p>
        </w:tc>
        <w:tc>
          <w:tcPr>
            <w:tcW w:w="1643" w:type="pct"/>
            <w:tcBorders>
              <w:tl2br w:val="nil"/>
              <w:tr2bl w:val="nil"/>
            </w:tcBorders>
            <w:vAlign w:val="center"/>
          </w:tcPr>
          <w:p>
            <w:pPr>
              <w:spacing w:line="240" w:lineRule="auto"/>
              <w:ind w:firstLine="0" w:firstLineChars="0"/>
              <w:rPr>
                <w:rFonts w:ascii="宋体" w:hAnsi="宋体" w:cs="宋体"/>
                <w:bCs/>
                <w:sz w:val="21"/>
                <w:szCs w:val="21"/>
              </w:rPr>
            </w:pPr>
            <w:r>
              <w:rPr>
                <w:rFonts w:hint="eastAsia" w:ascii="宋体" w:hAnsi="宋体" w:cs="宋体"/>
                <w:color w:val="444444"/>
                <w:sz w:val="21"/>
                <w:szCs w:val="21"/>
                <w:shd w:val="clear" w:color="auto" w:fill="FFFFFF"/>
              </w:rPr>
              <w:t>未对承包单位、承租单位的安全生产工作统一协调、管理，或者未定期进行安全检查的；</w:t>
            </w:r>
          </w:p>
        </w:tc>
        <w:tc>
          <w:tcPr>
            <w:tcW w:w="1226" w:type="pct"/>
            <w:vMerge w:val="restart"/>
            <w:tcBorders>
              <w:tl2br w:val="nil"/>
              <w:tr2bl w:val="nil"/>
            </w:tcBorders>
            <w:vAlign w:val="center"/>
          </w:tcPr>
          <w:p>
            <w:pPr>
              <w:spacing w:line="240" w:lineRule="auto"/>
              <w:ind w:firstLine="0" w:firstLineChars="0"/>
              <w:rPr>
                <w:rFonts w:ascii="宋体" w:hAnsi="宋体" w:cs="宋体"/>
                <w:sz w:val="21"/>
                <w:szCs w:val="21"/>
              </w:rPr>
            </w:pPr>
            <w:r>
              <w:rPr>
                <w:rFonts w:hint="eastAsia" w:ascii="宋体" w:hAnsi="宋体" w:cs="宋体"/>
                <w:sz w:val="21"/>
                <w:szCs w:val="21"/>
              </w:rPr>
              <w:t>《工贸企业重大事故隐患判定标准》（中华人民共和国应急管理部令第10号）</w:t>
            </w:r>
          </w:p>
          <w:p>
            <w:pPr>
              <w:spacing w:line="240" w:lineRule="auto"/>
              <w:ind w:firstLine="0" w:firstLineChars="0"/>
              <w:rPr>
                <w:rFonts w:ascii="宋体" w:hAnsi="宋体" w:cs="宋体"/>
                <w:sz w:val="21"/>
                <w:szCs w:val="21"/>
              </w:rPr>
            </w:pPr>
            <w:r>
              <w:rPr>
                <w:rFonts w:hint="eastAsia" w:ascii="宋体" w:hAnsi="宋体" w:cs="宋体"/>
                <w:sz w:val="21"/>
                <w:szCs w:val="21"/>
              </w:rPr>
              <w:t>第三条 工贸企业判定为重大事故隐患的情形</w:t>
            </w:r>
          </w:p>
          <w:p>
            <w:pPr>
              <w:spacing w:line="240" w:lineRule="auto"/>
              <w:ind w:firstLine="0" w:firstLineChars="0"/>
              <w:rPr>
                <w:rFonts w:ascii="宋体" w:hAnsi="宋体" w:cs="宋体"/>
                <w:sz w:val="21"/>
                <w:szCs w:val="21"/>
              </w:rPr>
            </w:pPr>
          </w:p>
        </w:tc>
        <w:tc>
          <w:tcPr>
            <w:tcW w:w="1333" w:type="pct"/>
            <w:tcBorders>
              <w:tl2br w:val="nil"/>
              <w:tr2bl w:val="nil"/>
            </w:tcBorders>
            <w:vAlign w:val="center"/>
          </w:tcPr>
          <w:p>
            <w:pPr>
              <w:spacing w:line="240" w:lineRule="auto"/>
              <w:ind w:firstLine="0" w:firstLineChars="0"/>
              <w:rPr>
                <w:rFonts w:ascii="宋体" w:hAnsi="宋体" w:cs="宋体"/>
                <w:bCs/>
                <w:sz w:val="21"/>
                <w:szCs w:val="21"/>
              </w:rPr>
            </w:pPr>
            <w:r>
              <w:rPr>
                <w:rFonts w:hint="eastAsia" w:ascii="宋体" w:hAnsi="宋体" w:cs="宋体"/>
                <w:bCs/>
                <w:sz w:val="21"/>
                <w:szCs w:val="21"/>
              </w:rPr>
              <w:t>对项目</w:t>
            </w:r>
            <w:r>
              <w:rPr>
                <w:rFonts w:hint="eastAsia" w:ascii="宋体" w:hAnsi="宋体" w:cs="宋体"/>
                <w:color w:val="444444"/>
                <w:sz w:val="21"/>
                <w:szCs w:val="21"/>
                <w:shd w:val="clear" w:color="auto" w:fill="FFFFFF"/>
              </w:rPr>
              <w:t>承包单位安全生产工作统一协调、管理</w:t>
            </w:r>
            <w:r>
              <w:rPr>
                <w:rFonts w:hint="eastAsia" w:ascii="宋体" w:hAnsi="宋体" w:cs="宋体"/>
                <w:bCs/>
                <w:sz w:val="21"/>
                <w:szCs w:val="21"/>
              </w:rPr>
              <w:t>。</w:t>
            </w:r>
          </w:p>
        </w:tc>
        <w:tc>
          <w:tcPr>
            <w:tcW w:w="388" w:type="pct"/>
            <w:tcBorders>
              <w:tl2br w:val="nil"/>
              <w:tr2bl w:val="nil"/>
            </w:tcBorders>
            <w:vAlign w:val="center"/>
          </w:tcPr>
          <w:p>
            <w:pPr>
              <w:spacing w:line="240" w:lineRule="auto"/>
              <w:ind w:firstLine="0" w:firstLineChars="0"/>
              <w:rPr>
                <w:rFonts w:ascii="宋体" w:hAnsi="宋体" w:cs="宋体"/>
                <w:bCs/>
                <w:sz w:val="21"/>
                <w:szCs w:val="21"/>
              </w:rPr>
            </w:pPr>
            <w:r>
              <w:rPr>
                <w:rFonts w:hint="eastAsia" w:ascii="宋体" w:hAnsi="宋体" w:cs="宋体"/>
                <w:bCs/>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8" w:type="pct"/>
            <w:tcBorders>
              <w:tl2br w:val="nil"/>
              <w:tr2bl w:val="nil"/>
            </w:tcBorders>
            <w:vAlign w:val="center"/>
          </w:tcPr>
          <w:p>
            <w:pPr>
              <w:numPr>
                <w:ilvl w:val="0"/>
                <w:numId w:val="55"/>
              </w:numPr>
              <w:spacing w:line="240" w:lineRule="auto"/>
              <w:ind w:firstLine="0" w:firstLineChars="0"/>
              <w:jc w:val="center"/>
              <w:rPr>
                <w:rFonts w:ascii="宋体" w:hAnsi="宋体" w:cs="宋体"/>
                <w:bCs/>
                <w:sz w:val="21"/>
                <w:szCs w:val="21"/>
              </w:rPr>
            </w:pPr>
          </w:p>
        </w:tc>
        <w:tc>
          <w:tcPr>
            <w:tcW w:w="1643" w:type="pct"/>
            <w:tcBorders>
              <w:tl2br w:val="nil"/>
              <w:tr2bl w:val="nil"/>
            </w:tcBorders>
            <w:vAlign w:val="center"/>
          </w:tcPr>
          <w:p>
            <w:pPr>
              <w:spacing w:line="240" w:lineRule="auto"/>
              <w:ind w:firstLine="0" w:firstLineChars="0"/>
              <w:rPr>
                <w:rFonts w:ascii="宋体" w:hAnsi="宋体" w:cs="宋体"/>
                <w:bCs/>
                <w:sz w:val="21"/>
                <w:szCs w:val="21"/>
              </w:rPr>
            </w:pPr>
            <w:r>
              <w:rPr>
                <w:rFonts w:hint="eastAsia" w:ascii="宋体" w:hAnsi="宋体" w:cs="宋体"/>
                <w:color w:val="444444"/>
                <w:sz w:val="21"/>
                <w:szCs w:val="21"/>
                <w:shd w:val="clear" w:color="auto" w:fill="FFFFFF"/>
              </w:rPr>
              <w:t>特种作业人员未按照规定经专门的安全作业培训并取得相应资格，上岗作业的；</w:t>
            </w:r>
          </w:p>
        </w:tc>
        <w:tc>
          <w:tcPr>
            <w:tcW w:w="1226" w:type="pct"/>
            <w:vMerge w:val="continue"/>
            <w:tcBorders>
              <w:tl2br w:val="nil"/>
              <w:tr2bl w:val="nil"/>
            </w:tcBorders>
            <w:vAlign w:val="center"/>
          </w:tcPr>
          <w:p>
            <w:pPr>
              <w:spacing w:line="240" w:lineRule="auto"/>
              <w:ind w:firstLine="0" w:firstLineChars="0"/>
              <w:rPr>
                <w:rFonts w:ascii="宋体" w:hAnsi="宋体" w:cs="宋体"/>
                <w:sz w:val="21"/>
                <w:szCs w:val="21"/>
              </w:rPr>
            </w:pPr>
          </w:p>
        </w:tc>
        <w:tc>
          <w:tcPr>
            <w:tcW w:w="1333" w:type="pct"/>
            <w:tcBorders>
              <w:tl2br w:val="nil"/>
              <w:tr2bl w:val="nil"/>
            </w:tcBorders>
            <w:vAlign w:val="center"/>
          </w:tcPr>
          <w:p>
            <w:pPr>
              <w:spacing w:line="240" w:lineRule="auto"/>
              <w:ind w:firstLine="0" w:firstLineChars="0"/>
              <w:rPr>
                <w:rFonts w:ascii="宋体" w:hAnsi="宋体" w:cs="宋体"/>
                <w:color w:val="444444"/>
                <w:sz w:val="21"/>
                <w:szCs w:val="21"/>
                <w:shd w:val="clear" w:color="auto" w:fill="FFFFFF"/>
              </w:rPr>
            </w:pPr>
            <w:r>
              <w:rPr>
                <w:rFonts w:hint="eastAsia" w:ascii="宋体" w:hAnsi="宋体" w:cs="宋体"/>
                <w:color w:val="444444"/>
                <w:sz w:val="21"/>
                <w:szCs w:val="21"/>
                <w:shd w:val="clear" w:color="auto" w:fill="FFFFFF"/>
              </w:rPr>
              <w:t>特种作业人员按照规定经专门的安全作业培训并取得相应资格，持证上岗作业。</w:t>
            </w:r>
          </w:p>
        </w:tc>
        <w:tc>
          <w:tcPr>
            <w:tcW w:w="388" w:type="pct"/>
            <w:tcBorders>
              <w:tl2br w:val="nil"/>
              <w:tr2bl w:val="nil"/>
            </w:tcBorders>
            <w:vAlign w:val="center"/>
          </w:tcPr>
          <w:p>
            <w:pPr>
              <w:spacing w:line="240" w:lineRule="auto"/>
              <w:ind w:firstLine="0" w:firstLineChars="0"/>
              <w:rPr>
                <w:rFonts w:ascii="宋体" w:hAnsi="宋体" w:cs="宋体"/>
                <w:bCs/>
                <w:sz w:val="21"/>
                <w:szCs w:val="21"/>
              </w:rPr>
            </w:pPr>
            <w:r>
              <w:rPr>
                <w:rFonts w:hint="eastAsia" w:ascii="宋体" w:hAnsi="宋体" w:cs="宋体"/>
                <w:bCs/>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8" w:type="pct"/>
            <w:tcBorders>
              <w:tl2br w:val="nil"/>
              <w:tr2bl w:val="nil"/>
            </w:tcBorders>
            <w:vAlign w:val="center"/>
          </w:tcPr>
          <w:p>
            <w:pPr>
              <w:numPr>
                <w:ilvl w:val="0"/>
                <w:numId w:val="55"/>
              </w:numPr>
              <w:spacing w:line="240" w:lineRule="auto"/>
              <w:ind w:firstLine="0" w:firstLineChars="0"/>
              <w:jc w:val="center"/>
              <w:rPr>
                <w:rFonts w:ascii="宋体" w:hAnsi="宋体" w:cs="宋体"/>
                <w:bCs/>
                <w:sz w:val="21"/>
                <w:szCs w:val="21"/>
              </w:rPr>
            </w:pPr>
          </w:p>
        </w:tc>
        <w:tc>
          <w:tcPr>
            <w:tcW w:w="1643" w:type="pct"/>
            <w:tcBorders>
              <w:tl2br w:val="nil"/>
              <w:tr2bl w:val="nil"/>
            </w:tcBorders>
            <w:vAlign w:val="center"/>
          </w:tcPr>
          <w:p>
            <w:pPr>
              <w:spacing w:line="240" w:lineRule="auto"/>
              <w:ind w:firstLine="0" w:firstLineChars="0"/>
              <w:rPr>
                <w:rFonts w:ascii="宋体" w:hAnsi="宋体" w:cs="宋体"/>
                <w:color w:val="444444"/>
                <w:sz w:val="21"/>
                <w:szCs w:val="21"/>
                <w:shd w:val="clear" w:color="auto" w:fill="FFFFFF"/>
              </w:rPr>
            </w:pPr>
            <w:r>
              <w:rPr>
                <w:rFonts w:hint="eastAsia" w:ascii="宋体" w:hAnsi="宋体" w:cs="宋体"/>
                <w:color w:val="444444"/>
                <w:sz w:val="21"/>
                <w:szCs w:val="21"/>
                <w:shd w:val="clear" w:color="auto" w:fill="FFFFFF"/>
              </w:rPr>
              <w:t>金属冶炼企业主要负责人、安全生产管理人员未按照规定经考核合格的。</w:t>
            </w:r>
          </w:p>
        </w:tc>
        <w:tc>
          <w:tcPr>
            <w:tcW w:w="1226" w:type="pct"/>
            <w:vMerge w:val="continue"/>
            <w:tcBorders>
              <w:tl2br w:val="nil"/>
              <w:tr2bl w:val="nil"/>
            </w:tcBorders>
            <w:vAlign w:val="center"/>
          </w:tcPr>
          <w:p>
            <w:pPr>
              <w:spacing w:line="240" w:lineRule="auto"/>
              <w:ind w:firstLine="0" w:firstLineChars="0"/>
              <w:rPr>
                <w:rFonts w:ascii="宋体" w:hAnsi="宋体" w:cs="宋体"/>
                <w:sz w:val="21"/>
                <w:szCs w:val="21"/>
              </w:rPr>
            </w:pPr>
          </w:p>
        </w:tc>
        <w:tc>
          <w:tcPr>
            <w:tcW w:w="1333" w:type="pct"/>
            <w:tcBorders>
              <w:tl2br w:val="nil"/>
              <w:tr2bl w:val="nil"/>
            </w:tcBorders>
            <w:vAlign w:val="center"/>
          </w:tcPr>
          <w:p>
            <w:pPr>
              <w:spacing w:line="240" w:lineRule="auto"/>
              <w:ind w:firstLine="0" w:firstLineChars="0"/>
              <w:rPr>
                <w:rFonts w:ascii="宋体" w:hAnsi="宋体" w:cs="宋体"/>
                <w:color w:val="444444"/>
                <w:sz w:val="21"/>
                <w:szCs w:val="21"/>
                <w:shd w:val="clear" w:color="auto" w:fill="FFFFFF"/>
              </w:rPr>
            </w:pPr>
            <w:r>
              <w:rPr>
                <w:rFonts w:hint="eastAsia" w:ascii="宋体" w:hAnsi="宋体" w:cs="宋体"/>
                <w:color w:val="444444"/>
                <w:sz w:val="21"/>
                <w:szCs w:val="21"/>
                <w:shd w:val="clear" w:color="auto" w:fill="FFFFFF"/>
              </w:rPr>
              <w:t>主要负责人、安全生</w:t>
            </w:r>
            <w:r>
              <w:rPr>
                <w:rFonts w:hint="eastAsia" w:ascii="宋体" w:hAnsi="宋体" w:cs="宋体"/>
                <w:sz w:val="21"/>
                <w:szCs w:val="21"/>
                <w:shd w:val="clear" w:color="auto" w:fill="FFFFFF"/>
              </w:rPr>
              <w:t>产管理人员按照规定经考核合格。</w:t>
            </w:r>
          </w:p>
        </w:tc>
        <w:tc>
          <w:tcPr>
            <w:tcW w:w="388" w:type="pct"/>
            <w:tcBorders>
              <w:tl2br w:val="nil"/>
              <w:tr2bl w:val="nil"/>
            </w:tcBorders>
            <w:vAlign w:val="center"/>
          </w:tcPr>
          <w:p>
            <w:pPr>
              <w:spacing w:line="240" w:lineRule="auto"/>
              <w:ind w:firstLine="0" w:firstLineChars="0"/>
              <w:rPr>
                <w:rFonts w:ascii="宋体" w:hAnsi="宋体" w:cs="宋体"/>
                <w:bCs/>
                <w:sz w:val="21"/>
                <w:szCs w:val="21"/>
              </w:rPr>
            </w:pPr>
            <w:r>
              <w:rPr>
                <w:rFonts w:hint="eastAsia" w:ascii="宋体" w:hAnsi="宋体" w:cs="宋体"/>
                <w:bCs/>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8" w:type="pct"/>
            <w:tcBorders>
              <w:tl2br w:val="nil"/>
              <w:tr2bl w:val="nil"/>
            </w:tcBorders>
            <w:vAlign w:val="center"/>
          </w:tcPr>
          <w:p>
            <w:pPr>
              <w:numPr>
                <w:ilvl w:val="0"/>
                <w:numId w:val="55"/>
              </w:numPr>
              <w:spacing w:line="240" w:lineRule="auto"/>
              <w:ind w:firstLine="0" w:firstLineChars="0"/>
              <w:jc w:val="center"/>
              <w:rPr>
                <w:rFonts w:ascii="宋体" w:hAnsi="宋体" w:cs="宋体"/>
                <w:bCs/>
                <w:sz w:val="21"/>
                <w:szCs w:val="21"/>
              </w:rPr>
            </w:pPr>
          </w:p>
        </w:tc>
        <w:tc>
          <w:tcPr>
            <w:tcW w:w="1643" w:type="pct"/>
            <w:tcBorders>
              <w:tl2br w:val="nil"/>
              <w:tr2bl w:val="nil"/>
            </w:tcBorders>
            <w:vAlign w:val="center"/>
          </w:tcPr>
          <w:p>
            <w:pPr>
              <w:spacing w:line="240" w:lineRule="auto"/>
              <w:ind w:firstLine="0" w:firstLineChars="0"/>
              <w:rPr>
                <w:rFonts w:ascii="宋体" w:hAnsi="宋体" w:cs="宋体"/>
                <w:color w:val="444444"/>
                <w:sz w:val="21"/>
                <w:szCs w:val="21"/>
                <w:shd w:val="clear" w:color="auto" w:fill="FFFFFF"/>
              </w:rPr>
            </w:pPr>
            <w:r>
              <w:rPr>
                <w:rFonts w:hint="eastAsia" w:ascii="宋体" w:hAnsi="宋体" w:cs="宋体"/>
                <w:color w:val="444444"/>
                <w:sz w:val="21"/>
                <w:szCs w:val="21"/>
                <w:shd w:val="clear" w:color="auto" w:fill="FFFFFF"/>
              </w:rPr>
              <w:t>会议室、活动室、休息室、更衣室、交接班室等5类人员聚集场所设置在熔融金属吊运跨或者浇注跨的地坪区域内的；</w:t>
            </w:r>
          </w:p>
        </w:tc>
        <w:tc>
          <w:tcPr>
            <w:tcW w:w="1226" w:type="pct"/>
            <w:vMerge w:val="restart"/>
            <w:tcBorders>
              <w:tl2br w:val="nil"/>
              <w:tr2bl w:val="nil"/>
            </w:tcBorders>
            <w:vAlign w:val="center"/>
          </w:tcPr>
          <w:p>
            <w:pPr>
              <w:spacing w:line="240" w:lineRule="auto"/>
              <w:ind w:firstLine="0" w:firstLineChars="0"/>
              <w:rPr>
                <w:rFonts w:ascii="宋体" w:hAnsi="宋体" w:cs="宋体"/>
                <w:sz w:val="21"/>
                <w:szCs w:val="21"/>
              </w:rPr>
            </w:pPr>
            <w:r>
              <w:rPr>
                <w:rFonts w:hint="eastAsia" w:ascii="宋体" w:hAnsi="宋体" w:cs="宋体"/>
                <w:sz w:val="21"/>
                <w:szCs w:val="21"/>
              </w:rPr>
              <w:t xml:space="preserve">《工贸企业重大事故隐患判定标准》（中华人民共和国应急管理部令第10号）第七条  </w:t>
            </w:r>
          </w:p>
        </w:tc>
        <w:tc>
          <w:tcPr>
            <w:tcW w:w="1333" w:type="pct"/>
            <w:tcBorders>
              <w:tl2br w:val="nil"/>
              <w:tr2bl w:val="nil"/>
            </w:tcBorders>
            <w:vAlign w:val="center"/>
          </w:tcPr>
          <w:p>
            <w:pPr>
              <w:spacing w:line="240" w:lineRule="auto"/>
              <w:ind w:firstLine="0" w:firstLineChars="0"/>
              <w:rPr>
                <w:rFonts w:ascii="宋体" w:hAnsi="宋体" w:cs="宋体"/>
                <w:color w:val="444444"/>
                <w:sz w:val="21"/>
                <w:szCs w:val="21"/>
                <w:shd w:val="clear" w:color="auto" w:fill="FFFFFF"/>
              </w:rPr>
            </w:pPr>
            <w:r>
              <w:rPr>
                <w:rFonts w:hint="eastAsia" w:ascii="宋体" w:hAnsi="宋体" w:cs="宋体"/>
                <w:color w:val="444444"/>
                <w:sz w:val="21"/>
                <w:szCs w:val="21"/>
                <w:shd w:val="clear" w:color="auto" w:fill="FFFFFF"/>
              </w:rPr>
              <w:t>熔融金属吊运跨或者浇注跨的地坪区域内未设置会议室、活动室、休息室、更衣室、交接班室。</w:t>
            </w:r>
          </w:p>
        </w:tc>
        <w:tc>
          <w:tcPr>
            <w:tcW w:w="388" w:type="pct"/>
            <w:tcBorders>
              <w:tl2br w:val="nil"/>
              <w:tr2bl w:val="nil"/>
            </w:tcBorders>
            <w:vAlign w:val="center"/>
          </w:tcPr>
          <w:p>
            <w:pPr>
              <w:spacing w:line="240" w:lineRule="auto"/>
              <w:ind w:firstLine="0" w:firstLineChars="0"/>
              <w:rPr>
                <w:rFonts w:ascii="宋体" w:hAnsi="宋体" w:cs="宋体"/>
                <w:bCs/>
                <w:sz w:val="21"/>
                <w:szCs w:val="21"/>
              </w:rPr>
            </w:pPr>
            <w:r>
              <w:rPr>
                <w:rFonts w:hint="eastAsia" w:ascii="宋体" w:hAnsi="宋体" w:cs="宋体"/>
                <w:bCs/>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8" w:type="pct"/>
            <w:tcBorders>
              <w:tl2br w:val="nil"/>
              <w:tr2bl w:val="nil"/>
            </w:tcBorders>
            <w:vAlign w:val="center"/>
          </w:tcPr>
          <w:p>
            <w:pPr>
              <w:numPr>
                <w:ilvl w:val="0"/>
                <w:numId w:val="55"/>
              </w:numPr>
              <w:spacing w:line="240" w:lineRule="auto"/>
              <w:ind w:firstLine="0" w:firstLineChars="0"/>
              <w:jc w:val="center"/>
              <w:rPr>
                <w:rFonts w:ascii="宋体" w:hAnsi="宋体" w:cs="宋体"/>
                <w:bCs/>
                <w:sz w:val="21"/>
                <w:szCs w:val="21"/>
              </w:rPr>
            </w:pPr>
          </w:p>
        </w:tc>
        <w:tc>
          <w:tcPr>
            <w:tcW w:w="1643" w:type="pct"/>
            <w:tcBorders>
              <w:tl2br w:val="nil"/>
              <w:tr2bl w:val="nil"/>
            </w:tcBorders>
            <w:vAlign w:val="center"/>
          </w:tcPr>
          <w:p>
            <w:pPr>
              <w:spacing w:line="240" w:lineRule="auto"/>
              <w:ind w:firstLine="0" w:firstLineChars="0"/>
              <w:rPr>
                <w:rFonts w:ascii="宋体" w:hAnsi="宋体" w:cs="宋体"/>
                <w:color w:val="444444"/>
                <w:sz w:val="21"/>
                <w:szCs w:val="21"/>
                <w:shd w:val="clear" w:color="auto" w:fill="FFFFFF"/>
              </w:rPr>
            </w:pPr>
            <w:r>
              <w:rPr>
                <w:rFonts w:hint="eastAsia" w:ascii="宋体" w:hAnsi="宋体" w:cs="宋体"/>
                <w:color w:val="444444"/>
                <w:sz w:val="21"/>
                <w:szCs w:val="21"/>
                <w:shd w:val="clear" w:color="auto" w:fill="FFFFFF"/>
              </w:rPr>
              <w:t>铸造用熔炼炉、精炼炉、保温炉未设置紧急排放和应急储存设施的；</w:t>
            </w:r>
          </w:p>
        </w:tc>
        <w:tc>
          <w:tcPr>
            <w:tcW w:w="1226" w:type="pct"/>
            <w:vMerge w:val="continue"/>
            <w:tcBorders>
              <w:tl2br w:val="nil"/>
              <w:tr2bl w:val="nil"/>
            </w:tcBorders>
            <w:vAlign w:val="center"/>
          </w:tcPr>
          <w:p>
            <w:pPr>
              <w:spacing w:line="240" w:lineRule="auto"/>
              <w:ind w:firstLine="0" w:firstLineChars="0"/>
              <w:rPr>
                <w:rFonts w:ascii="宋体" w:hAnsi="宋体" w:cs="宋体"/>
                <w:sz w:val="21"/>
                <w:szCs w:val="21"/>
              </w:rPr>
            </w:pPr>
          </w:p>
        </w:tc>
        <w:tc>
          <w:tcPr>
            <w:tcW w:w="1333" w:type="pct"/>
            <w:tcBorders>
              <w:tl2br w:val="nil"/>
              <w:tr2bl w:val="nil"/>
            </w:tcBorders>
            <w:vAlign w:val="center"/>
          </w:tcPr>
          <w:p>
            <w:pPr>
              <w:spacing w:line="240" w:lineRule="auto"/>
              <w:ind w:firstLine="0" w:firstLineChars="0"/>
              <w:rPr>
                <w:rFonts w:ascii="宋体" w:hAnsi="宋体" w:cs="宋体"/>
                <w:color w:val="444444"/>
                <w:sz w:val="21"/>
                <w:szCs w:val="21"/>
                <w:shd w:val="clear" w:color="auto" w:fill="FFFFFF"/>
              </w:rPr>
            </w:pPr>
            <w:r>
              <w:rPr>
                <w:rFonts w:hint="eastAsia" w:ascii="宋体" w:hAnsi="宋体" w:cs="宋体"/>
                <w:color w:val="444444"/>
                <w:sz w:val="21"/>
                <w:szCs w:val="21"/>
                <w:shd w:val="clear" w:color="auto" w:fill="FFFFFF"/>
              </w:rPr>
              <w:t>中频炉设置有紧急排放和应急储存设施的</w:t>
            </w:r>
          </w:p>
        </w:tc>
        <w:tc>
          <w:tcPr>
            <w:tcW w:w="388" w:type="pct"/>
            <w:tcBorders>
              <w:tl2br w:val="nil"/>
              <w:tr2bl w:val="nil"/>
            </w:tcBorders>
            <w:vAlign w:val="center"/>
          </w:tcPr>
          <w:p>
            <w:pPr>
              <w:spacing w:line="240" w:lineRule="auto"/>
              <w:ind w:firstLine="0" w:firstLineChars="0"/>
              <w:rPr>
                <w:rFonts w:ascii="宋体" w:hAnsi="宋体" w:cs="宋体"/>
                <w:bCs/>
                <w:sz w:val="21"/>
                <w:szCs w:val="21"/>
              </w:rPr>
            </w:pPr>
            <w:r>
              <w:rPr>
                <w:rFonts w:hint="eastAsia" w:ascii="宋体" w:hAnsi="宋体" w:cs="宋体"/>
                <w:bCs/>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8" w:type="pct"/>
            <w:tcBorders>
              <w:tl2br w:val="nil"/>
              <w:tr2bl w:val="nil"/>
            </w:tcBorders>
            <w:vAlign w:val="center"/>
          </w:tcPr>
          <w:p>
            <w:pPr>
              <w:numPr>
                <w:ilvl w:val="0"/>
                <w:numId w:val="55"/>
              </w:numPr>
              <w:spacing w:line="240" w:lineRule="auto"/>
              <w:ind w:firstLine="0" w:firstLineChars="0"/>
              <w:jc w:val="center"/>
              <w:rPr>
                <w:rFonts w:ascii="宋体" w:hAnsi="宋体" w:cs="宋体"/>
                <w:bCs/>
                <w:sz w:val="21"/>
                <w:szCs w:val="21"/>
              </w:rPr>
            </w:pPr>
          </w:p>
        </w:tc>
        <w:tc>
          <w:tcPr>
            <w:tcW w:w="1643" w:type="pct"/>
            <w:tcBorders>
              <w:tl2br w:val="nil"/>
              <w:tr2bl w:val="nil"/>
            </w:tcBorders>
            <w:vAlign w:val="center"/>
          </w:tcPr>
          <w:p>
            <w:pPr>
              <w:spacing w:line="240" w:lineRule="auto"/>
              <w:ind w:firstLine="0" w:firstLineChars="0"/>
              <w:rPr>
                <w:rFonts w:ascii="宋体" w:hAnsi="宋体" w:cs="宋体"/>
                <w:color w:val="444444"/>
                <w:sz w:val="21"/>
                <w:szCs w:val="21"/>
                <w:shd w:val="clear" w:color="auto" w:fill="FFFFFF"/>
              </w:rPr>
            </w:pPr>
            <w:r>
              <w:rPr>
                <w:rFonts w:hint="eastAsia" w:ascii="宋体" w:hAnsi="宋体" w:cs="宋体"/>
                <w:color w:val="444444"/>
                <w:sz w:val="21"/>
                <w:szCs w:val="21"/>
                <w:shd w:val="clear" w:color="auto" w:fill="FFFFFF"/>
              </w:rPr>
              <w:t>生产期间铸造用熔炼炉、精炼炉、保温炉的炉底、炉坑和事故坑，以及熔融金属泄漏、喷溅影响范围内的炉前平台、炉基区域、造型地坑、浇注作业坑和熔融金属转运通道等8类区域存在积水的；</w:t>
            </w:r>
          </w:p>
        </w:tc>
        <w:tc>
          <w:tcPr>
            <w:tcW w:w="1226" w:type="pct"/>
            <w:vMerge w:val="continue"/>
            <w:tcBorders>
              <w:tl2br w:val="nil"/>
              <w:tr2bl w:val="nil"/>
            </w:tcBorders>
            <w:vAlign w:val="center"/>
          </w:tcPr>
          <w:p>
            <w:pPr>
              <w:spacing w:line="240" w:lineRule="auto"/>
              <w:ind w:firstLine="0" w:firstLineChars="0"/>
              <w:rPr>
                <w:rFonts w:ascii="宋体" w:hAnsi="宋体" w:cs="宋体"/>
                <w:sz w:val="21"/>
                <w:szCs w:val="21"/>
              </w:rPr>
            </w:pPr>
          </w:p>
        </w:tc>
        <w:tc>
          <w:tcPr>
            <w:tcW w:w="1333" w:type="pct"/>
            <w:tcBorders>
              <w:tl2br w:val="nil"/>
              <w:tr2bl w:val="nil"/>
            </w:tcBorders>
            <w:vAlign w:val="center"/>
          </w:tcPr>
          <w:p>
            <w:pPr>
              <w:spacing w:line="240" w:lineRule="auto"/>
              <w:ind w:firstLine="0" w:firstLineChars="0"/>
              <w:rPr>
                <w:rFonts w:ascii="宋体" w:hAnsi="宋体" w:cs="宋体"/>
                <w:color w:val="444444"/>
                <w:sz w:val="21"/>
                <w:szCs w:val="21"/>
                <w:shd w:val="clear" w:color="auto" w:fill="FFFFFF"/>
              </w:rPr>
            </w:pPr>
            <w:r>
              <w:rPr>
                <w:rFonts w:hint="eastAsia" w:ascii="宋体" w:hAnsi="宋体" w:cs="宋体"/>
                <w:color w:val="444444"/>
                <w:sz w:val="21"/>
                <w:szCs w:val="21"/>
                <w:shd w:val="clear" w:color="auto" w:fill="FFFFFF"/>
              </w:rPr>
              <w:t>熔炼炉、事故坝、作业区域无积水炉前平台、炉基区域、造型地坑、浇注作业坑和熔融金属转运通道等8类区域无积水。</w:t>
            </w:r>
          </w:p>
        </w:tc>
        <w:tc>
          <w:tcPr>
            <w:tcW w:w="388" w:type="pct"/>
            <w:tcBorders>
              <w:tl2br w:val="nil"/>
              <w:tr2bl w:val="nil"/>
            </w:tcBorders>
            <w:vAlign w:val="center"/>
          </w:tcPr>
          <w:p>
            <w:pPr>
              <w:spacing w:line="240" w:lineRule="auto"/>
              <w:ind w:firstLine="0" w:firstLineChars="0"/>
              <w:rPr>
                <w:rFonts w:ascii="宋体" w:hAnsi="宋体" w:cs="宋体"/>
                <w:bCs/>
                <w:sz w:val="21"/>
                <w:szCs w:val="21"/>
              </w:rPr>
            </w:pPr>
            <w:r>
              <w:rPr>
                <w:rFonts w:hint="eastAsia" w:ascii="宋体" w:hAnsi="宋体" w:cs="宋体"/>
                <w:bCs/>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8" w:type="pct"/>
            <w:tcBorders>
              <w:tl2br w:val="nil"/>
              <w:tr2bl w:val="nil"/>
            </w:tcBorders>
            <w:vAlign w:val="center"/>
          </w:tcPr>
          <w:p>
            <w:pPr>
              <w:numPr>
                <w:ilvl w:val="0"/>
                <w:numId w:val="55"/>
              </w:numPr>
              <w:spacing w:line="240" w:lineRule="auto"/>
              <w:ind w:firstLine="0" w:firstLineChars="0"/>
              <w:jc w:val="center"/>
              <w:rPr>
                <w:rFonts w:ascii="宋体" w:hAnsi="宋体" w:cs="宋体"/>
                <w:bCs/>
                <w:sz w:val="21"/>
                <w:szCs w:val="21"/>
              </w:rPr>
            </w:pPr>
          </w:p>
        </w:tc>
        <w:tc>
          <w:tcPr>
            <w:tcW w:w="1643" w:type="pct"/>
            <w:tcBorders>
              <w:tl2br w:val="nil"/>
              <w:tr2bl w:val="nil"/>
            </w:tcBorders>
            <w:vAlign w:val="center"/>
          </w:tcPr>
          <w:p>
            <w:pPr>
              <w:spacing w:line="240" w:lineRule="auto"/>
              <w:ind w:firstLine="0" w:firstLineChars="0"/>
              <w:rPr>
                <w:rFonts w:ascii="宋体" w:hAnsi="宋体" w:cs="宋体"/>
                <w:color w:val="444444"/>
                <w:sz w:val="21"/>
                <w:szCs w:val="21"/>
                <w:shd w:val="clear" w:color="auto" w:fill="FFFFFF"/>
              </w:rPr>
            </w:pPr>
            <w:r>
              <w:rPr>
                <w:rFonts w:hint="eastAsia" w:ascii="宋体" w:hAnsi="宋体" w:cs="宋体"/>
                <w:color w:val="444444"/>
                <w:sz w:val="21"/>
                <w:szCs w:val="21"/>
                <w:shd w:val="clear" w:color="auto" w:fill="FFFFFF"/>
              </w:rPr>
              <w:t>铸造用熔炼炉、精炼炉、压铸机、氧枪的冷却水系统未设置出水温度、进出水流量差监测报警装置，或者监测报警装置未与熔融金属加热、输送控制系统联锁的；</w:t>
            </w:r>
          </w:p>
        </w:tc>
        <w:tc>
          <w:tcPr>
            <w:tcW w:w="1226" w:type="pct"/>
            <w:vMerge w:val="continue"/>
            <w:tcBorders>
              <w:tl2br w:val="nil"/>
              <w:tr2bl w:val="nil"/>
            </w:tcBorders>
            <w:vAlign w:val="center"/>
          </w:tcPr>
          <w:p>
            <w:pPr>
              <w:spacing w:line="240" w:lineRule="auto"/>
              <w:ind w:firstLine="0" w:firstLineChars="0"/>
              <w:rPr>
                <w:rFonts w:ascii="宋体" w:hAnsi="宋体" w:cs="宋体"/>
                <w:sz w:val="21"/>
                <w:szCs w:val="21"/>
              </w:rPr>
            </w:pPr>
          </w:p>
        </w:tc>
        <w:tc>
          <w:tcPr>
            <w:tcW w:w="1333" w:type="pct"/>
            <w:tcBorders>
              <w:tl2br w:val="nil"/>
              <w:tr2bl w:val="nil"/>
            </w:tcBorders>
            <w:vAlign w:val="center"/>
          </w:tcPr>
          <w:p>
            <w:pPr>
              <w:spacing w:line="240" w:lineRule="auto"/>
              <w:ind w:firstLine="0" w:firstLineChars="0"/>
              <w:rPr>
                <w:rFonts w:ascii="宋体" w:hAnsi="宋体" w:cs="宋体"/>
                <w:color w:val="444444"/>
                <w:sz w:val="21"/>
                <w:szCs w:val="21"/>
                <w:shd w:val="clear" w:color="auto" w:fill="FFFFFF"/>
              </w:rPr>
            </w:pPr>
            <w:r>
              <w:rPr>
                <w:rFonts w:hint="eastAsia" w:ascii="宋体" w:hAnsi="宋体" w:cs="宋体"/>
                <w:color w:val="444444"/>
                <w:sz w:val="21"/>
                <w:szCs w:val="21"/>
                <w:shd w:val="clear" w:color="auto" w:fill="FFFFFF"/>
              </w:rPr>
              <w:t>熔炼炉冷却水系统设置出水温度、进出水流量差监测报警装置，监测报警装置与熔融金属加热、输送控制系统联锁。</w:t>
            </w:r>
          </w:p>
        </w:tc>
        <w:tc>
          <w:tcPr>
            <w:tcW w:w="388" w:type="pct"/>
            <w:tcBorders>
              <w:tl2br w:val="nil"/>
              <w:tr2bl w:val="nil"/>
            </w:tcBorders>
            <w:vAlign w:val="center"/>
          </w:tcPr>
          <w:p>
            <w:pPr>
              <w:spacing w:line="240" w:lineRule="auto"/>
              <w:ind w:firstLine="0" w:firstLineChars="0"/>
              <w:rPr>
                <w:rFonts w:ascii="宋体" w:hAnsi="宋体" w:cs="宋体"/>
                <w:bCs/>
                <w:sz w:val="21"/>
                <w:szCs w:val="21"/>
              </w:rPr>
            </w:pPr>
            <w:r>
              <w:rPr>
                <w:rFonts w:hint="eastAsia" w:ascii="宋体" w:hAnsi="宋体" w:cs="宋体"/>
                <w:bCs/>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8" w:type="pct"/>
            <w:tcBorders>
              <w:tl2br w:val="nil"/>
              <w:tr2bl w:val="nil"/>
            </w:tcBorders>
            <w:vAlign w:val="center"/>
          </w:tcPr>
          <w:p>
            <w:pPr>
              <w:numPr>
                <w:ilvl w:val="0"/>
                <w:numId w:val="55"/>
              </w:numPr>
              <w:spacing w:line="240" w:lineRule="auto"/>
              <w:ind w:firstLine="0" w:firstLineChars="0"/>
              <w:jc w:val="center"/>
              <w:rPr>
                <w:rFonts w:ascii="宋体" w:hAnsi="宋体" w:cs="宋体"/>
                <w:bCs/>
                <w:sz w:val="21"/>
                <w:szCs w:val="21"/>
              </w:rPr>
            </w:pPr>
          </w:p>
        </w:tc>
        <w:tc>
          <w:tcPr>
            <w:tcW w:w="1643" w:type="pct"/>
            <w:tcBorders>
              <w:tl2br w:val="nil"/>
              <w:tr2bl w:val="nil"/>
            </w:tcBorders>
            <w:vAlign w:val="center"/>
          </w:tcPr>
          <w:p>
            <w:pPr>
              <w:spacing w:line="240" w:lineRule="auto"/>
              <w:ind w:firstLine="0" w:firstLineChars="0"/>
              <w:rPr>
                <w:rFonts w:ascii="宋体" w:hAnsi="宋体" w:cs="宋体"/>
                <w:color w:val="444444"/>
                <w:sz w:val="21"/>
                <w:szCs w:val="21"/>
                <w:shd w:val="clear" w:color="auto" w:fill="FFFFFF"/>
              </w:rPr>
            </w:pPr>
            <w:r>
              <w:rPr>
                <w:rFonts w:hint="eastAsia" w:ascii="宋体" w:hAnsi="宋体" w:cs="宋体"/>
                <w:color w:val="444444"/>
                <w:sz w:val="21"/>
                <w:szCs w:val="21"/>
                <w:shd w:val="clear" w:color="auto" w:fill="FFFFFF"/>
              </w:rPr>
              <w:t>使用煤气（天然气）的燃烧装置的燃气总管未设置管道压力监测报警装置，或者监测报警装置未与紧急自动切断装置联锁，或者燃烧装置未设置火焰监测和熄火保护系统的；</w:t>
            </w:r>
          </w:p>
        </w:tc>
        <w:tc>
          <w:tcPr>
            <w:tcW w:w="1226" w:type="pct"/>
            <w:vMerge w:val="continue"/>
            <w:tcBorders>
              <w:tl2br w:val="nil"/>
              <w:tr2bl w:val="nil"/>
            </w:tcBorders>
            <w:vAlign w:val="center"/>
          </w:tcPr>
          <w:p>
            <w:pPr>
              <w:spacing w:line="240" w:lineRule="auto"/>
              <w:ind w:firstLine="0" w:firstLineChars="0"/>
              <w:rPr>
                <w:rFonts w:ascii="宋体" w:hAnsi="宋体" w:cs="宋体"/>
                <w:sz w:val="21"/>
                <w:szCs w:val="21"/>
              </w:rPr>
            </w:pPr>
          </w:p>
        </w:tc>
        <w:tc>
          <w:tcPr>
            <w:tcW w:w="1333" w:type="pct"/>
            <w:tcBorders>
              <w:tl2br w:val="nil"/>
              <w:tr2bl w:val="nil"/>
            </w:tcBorders>
            <w:vAlign w:val="center"/>
          </w:tcPr>
          <w:p>
            <w:pPr>
              <w:spacing w:line="240" w:lineRule="auto"/>
              <w:ind w:firstLine="0" w:firstLineChars="0"/>
              <w:jc w:val="center"/>
              <w:rPr>
                <w:rFonts w:ascii="宋体" w:hAnsi="宋体" w:cs="宋体"/>
                <w:color w:val="444444"/>
                <w:sz w:val="21"/>
                <w:szCs w:val="21"/>
                <w:shd w:val="clear" w:color="auto" w:fill="FFFFFF"/>
              </w:rPr>
            </w:pPr>
            <w:r>
              <w:rPr>
                <w:rFonts w:hint="eastAsia" w:ascii="宋体" w:hAnsi="宋体" w:cs="宋体"/>
                <w:color w:val="444444"/>
                <w:sz w:val="21"/>
                <w:szCs w:val="21"/>
                <w:shd w:val="clear" w:color="auto" w:fill="FFFFFF"/>
              </w:rPr>
              <w:t>不涉及</w:t>
            </w:r>
          </w:p>
        </w:tc>
        <w:tc>
          <w:tcPr>
            <w:tcW w:w="388" w:type="pct"/>
            <w:tcBorders>
              <w:tl2br w:val="nil"/>
              <w:tr2bl w:val="nil"/>
            </w:tcBorders>
            <w:vAlign w:val="center"/>
          </w:tcPr>
          <w:p>
            <w:pPr>
              <w:spacing w:line="240" w:lineRule="auto"/>
              <w:ind w:firstLine="0" w:firstLineChars="0"/>
              <w:rPr>
                <w:rFonts w:ascii="宋体" w:hAnsi="宋体" w:cs="宋体"/>
                <w:bCs/>
                <w:sz w:val="21"/>
                <w:szCs w:val="21"/>
              </w:rPr>
            </w:pPr>
            <w:r>
              <w:rPr>
                <w:rFonts w:hint="eastAsia" w:ascii="宋体" w:hAnsi="宋体" w:cs="宋体"/>
                <w:bCs/>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8" w:type="pct"/>
            <w:tcBorders>
              <w:tl2br w:val="nil"/>
              <w:tr2bl w:val="nil"/>
            </w:tcBorders>
            <w:vAlign w:val="center"/>
          </w:tcPr>
          <w:p>
            <w:pPr>
              <w:numPr>
                <w:ilvl w:val="0"/>
                <w:numId w:val="55"/>
              </w:numPr>
              <w:spacing w:line="240" w:lineRule="auto"/>
              <w:ind w:firstLine="0" w:firstLineChars="0"/>
              <w:jc w:val="center"/>
              <w:rPr>
                <w:rFonts w:ascii="宋体" w:hAnsi="宋体" w:cs="宋体"/>
                <w:bCs/>
                <w:sz w:val="21"/>
                <w:szCs w:val="21"/>
              </w:rPr>
            </w:pPr>
          </w:p>
        </w:tc>
        <w:tc>
          <w:tcPr>
            <w:tcW w:w="1643" w:type="pct"/>
            <w:tcBorders>
              <w:tl2br w:val="nil"/>
              <w:tr2bl w:val="nil"/>
            </w:tcBorders>
            <w:vAlign w:val="center"/>
          </w:tcPr>
          <w:p>
            <w:pPr>
              <w:spacing w:line="240" w:lineRule="auto"/>
              <w:ind w:firstLine="0" w:firstLineChars="0"/>
              <w:rPr>
                <w:rFonts w:ascii="宋体" w:hAnsi="宋体" w:cs="宋体"/>
                <w:color w:val="444444"/>
                <w:sz w:val="21"/>
                <w:szCs w:val="21"/>
                <w:shd w:val="clear" w:color="auto" w:fill="FFFFFF"/>
              </w:rPr>
            </w:pPr>
            <w:r>
              <w:rPr>
                <w:rFonts w:hint="eastAsia" w:ascii="宋体" w:hAnsi="宋体" w:cs="宋体"/>
                <w:color w:val="444444"/>
                <w:sz w:val="21"/>
                <w:szCs w:val="21"/>
                <w:shd w:val="clear" w:color="auto" w:fill="FFFFFF"/>
              </w:rPr>
              <w:t>使用可燃性有机溶剂清洗设备设施、工装器具、地面时，未采取防止可燃气体在周边密闭或者半密闭空间内积聚措施的；</w:t>
            </w:r>
          </w:p>
        </w:tc>
        <w:tc>
          <w:tcPr>
            <w:tcW w:w="1226" w:type="pct"/>
            <w:vMerge w:val="continue"/>
            <w:tcBorders>
              <w:tl2br w:val="nil"/>
              <w:tr2bl w:val="nil"/>
            </w:tcBorders>
            <w:vAlign w:val="center"/>
          </w:tcPr>
          <w:p>
            <w:pPr>
              <w:spacing w:line="240" w:lineRule="auto"/>
              <w:ind w:firstLine="0" w:firstLineChars="0"/>
              <w:rPr>
                <w:rFonts w:ascii="宋体" w:hAnsi="宋体" w:cs="宋体"/>
                <w:sz w:val="21"/>
                <w:szCs w:val="21"/>
              </w:rPr>
            </w:pPr>
          </w:p>
        </w:tc>
        <w:tc>
          <w:tcPr>
            <w:tcW w:w="1333" w:type="pct"/>
            <w:tcBorders>
              <w:tl2br w:val="nil"/>
              <w:tr2bl w:val="nil"/>
            </w:tcBorders>
            <w:vAlign w:val="center"/>
          </w:tcPr>
          <w:p>
            <w:pPr>
              <w:spacing w:line="240" w:lineRule="auto"/>
              <w:ind w:firstLine="0" w:firstLineChars="0"/>
              <w:jc w:val="center"/>
              <w:rPr>
                <w:rFonts w:ascii="宋体" w:hAnsi="宋体" w:cs="宋体"/>
                <w:color w:val="444444"/>
                <w:sz w:val="21"/>
                <w:szCs w:val="21"/>
                <w:shd w:val="clear" w:color="auto" w:fill="FFFFFF"/>
              </w:rPr>
            </w:pPr>
            <w:r>
              <w:rPr>
                <w:rFonts w:hint="eastAsia" w:ascii="宋体" w:hAnsi="宋体" w:cs="宋体"/>
                <w:color w:val="444444"/>
                <w:sz w:val="21"/>
                <w:szCs w:val="21"/>
                <w:shd w:val="clear" w:color="auto" w:fill="FFFFFF"/>
              </w:rPr>
              <w:t>不涉及</w:t>
            </w:r>
          </w:p>
        </w:tc>
        <w:tc>
          <w:tcPr>
            <w:tcW w:w="388" w:type="pct"/>
            <w:tcBorders>
              <w:tl2br w:val="nil"/>
              <w:tr2bl w:val="nil"/>
            </w:tcBorders>
            <w:vAlign w:val="center"/>
          </w:tcPr>
          <w:p>
            <w:pPr>
              <w:spacing w:line="240" w:lineRule="auto"/>
              <w:ind w:firstLine="0" w:firstLineChars="0"/>
              <w:rPr>
                <w:rFonts w:ascii="宋体" w:hAnsi="宋体" w:cs="宋体"/>
                <w:bCs/>
                <w:sz w:val="21"/>
                <w:szCs w:val="21"/>
              </w:rPr>
            </w:pPr>
            <w:r>
              <w:rPr>
                <w:rFonts w:hint="eastAsia" w:ascii="宋体" w:hAnsi="宋体" w:cs="宋体"/>
                <w:bCs/>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8" w:type="pct"/>
            <w:tcBorders>
              <w:tl2br w:val="nil"/>
              <w:tr2bl w:val="nil"/>
            </w:tcBorders>
            <w:vAlign w:val="center"/>
          </w:tcPr>
          <w:p>
            <w:pPr>
              <w:numPr>
                <w:ilvl w:val="0"/>
                <w:numId w:val="55"/>
              </w:numPr>
              <w:spacing w:line="240" w:lineRule="auto"/>
              <w:ind w:firstLine="0" w:firstLineChars="0"/>
              <w:jc w:val="center"/>
              <w:rPr>
                <w:rFonts w:ascii="宋体" w:hAnsi="宋体" w:cs="宋体"/>
                <w:bCs/>
                <w:sz w:val="21"/>
                <w:szCs w:val="21"/>
              </w:rPr>
            </w:pPr>
          </w:p>
        </w:tc>
        <w:tc>
          <w:tcPr>
            <w:tcW w:w="1643" w:type="pct"/>
            <w:tcBorders>
              <w:tl2br w:val="nil"/>
              <w:tr2bl w:val="nil"/>
            </w:tcBorders>
            <w:vAlign w:val="center"/>
          </w:tcPr>
          <w:p>
            <w:pPr>
              <w:spacing w:line="240" w:lineRule="auto"/>
              <w:ind w:firstLine="0" w:firstLineChars="0"/>
              <w:rPr>
                <w:rFonts w:ascii="宋体" w:hAnsi="宋体" w:cs="宋体"/>
                <w:color w:val="444444"/>
                <w:sz w:val="21"/>
                <w:szCs w:val="21"/>
                <w:shd w:val="clear" w:color="auto" w:fill="FFFFFF"/>
              </w:rPr>
            </w:pPr>
            <w:r>
              <w:rPr>
                <w:rFonts w:hint="eastAsia" w:ascii="宋体" w:hAnsi="宋体" w:cs="宋体"/>
                <w:color w:val="444444"/>
                <w:sz w:val="21"/>
                <w:szCs w:val="21"/>
                <w:shd w:val="clear" w:color="auto" w:fill="FFFFFF"/>
              </w:rPr>
              <w:t>使用非水性漆的调漆间、喷漆室未设置固定式可燃气体浓度监测报警装置或者通风设施的。</w:t>
            </w:r>
          </w:p>
        </w:tc>
        <w:tc>
          <w:tcPr>
            <w:tcW w:w="1226" w:type="pct"/>
            <w:vMerge w:val="continue"/>
            <w:tcBorders>
              <w:tl2br w:val="nil"/>
              <w:tr2bl w:val="nil"/>
            </w:tcBorders>
            <w:vAlign w:val="center"/>
          </w:tcPr>
          <w:p>
            <w:pPr>
              <w:spacing w:line="240" w:lineRule="auto"/>
              <w:ind w:firstLine="0" w:firstLineChars="0"/>
              <w:rPr>
                <w:rFonts w:ascii="宋体" w:hAnsi="宋体" w:cs="宋体"/>
                <w:sz w:val="21"/>
                <w:szCs w:val="21"/>
              </w:rPr>
            </w:pPr>
          </w:p>
        </w:tc>
        <w:tc>
          <w:tcPr>
            <w:tcW w:w="1333" w:type="pct"/>
            <w:tcBorders>
              <w:tl2br w:val="nil"/>
              <w:tr2bl w:val="nil"/>
            </w:tcBorders>
            <w:vAlign w:val="center"/>
          </w:tcPr>
          <w:p>
            <w:pPr>
              <w:spacing w:line="240" w:lineRule="auto"/>
              <w:ind w:firstLine="0" w:firstLineChars="0"/>
              <w:rPr>
                <w:rFonts w:ascii="宋体" w:hAnsi="宋体" w:cs="宋体"/>
                <w:color w:val="444444"/>
                <w:sz w:val="21"/>
                <w:szCs w:val="21"/>
                <w:shd w:val="clear" w:color="auto" w:fill="FFFFFF"/>
              </w:rPr>
            </w:pPr>
            <w:r>
              <w:rPr>
                <w:rFonts w:hint="eastAsia" w:ascii="宋体" w:hAnsi="宋体" w:cs="宋体"/>
                <w:color w:val="444444"/>
                <w:sz w:val="21"/>
                <w:szCs w:val="21"/>
                <w:shd w:val="clear" w:color="auto" w:fill="FFFFFF"/>
              </w:rPr>
              <w:t>使用静电喷涂，未设置调漆室、喷漆室。</w:t>
            </w:r>
          </w:p>
        </w:tc>
        <w:tc>
          <w:tcPr>
            <w:tcW w:w="388" w:type="pct"/>
            <w:tcBorders>
              <w:tl2br w:val="nil"/>
              <w:tr2bl w:val="nil"/>
            </w:tcBorders>
            <w:vAlign w:val="center"/>
          </w:tcPr>
          <w:p>
            <w:pPr>
              <w:spacing w:line="240" w:lineRule="auto"/>
              <w:ind w:firstLine="0" w:firstLineChars="0"/>
              <w:rPr>
                <w:rFonts w:ascii="宋体" w:hAnsi="宋体" w:cs="宋体"/>
                <w:bCs/>
                <w:sz w:val="21"/>
                <w:szCs w:val="21"/>
              </w:rPr>
            </w:pPr>
            <w:r>
              <w:rPr>
                <w:rFonts w:hint="eastAsia" w:ascii="宋体" w:hAnsi="宋体" w:cs="宋体"/>
                <w:bCs/>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8" w:type="pct"/>
            <w:tcBorders>
              <w:tl2br w:val="nil"/>
              <w:tr2bl w:val="nil"/>
            </w:tcBorders>
            <w:vAlign w:val="center"/>
          </w:tcPr>
          <w:p>
            <w:pPr>
              <w:numPr>
                <w:ilvl w:val="0"/>
                <w:numId w:val="55"/>
              </w:numPr>
              <w:spacing w:line="240" w:lineRule="auto"/>
              <w:ind w:firstLine="0" w:firstLineChars="0"/>
              <w:jc w:val="center"/>
              <w:rPr>
                <w:rFonts w:ascii="宋体" w:hAnsi="宋体" w:cs="宋体"/>
                <w:bCs/>
                <w:sz w:val="21"/>
                <w:szCs w:val="21"/>
              </w:rPr>
            </w:pPr>
          </w:p>
        </w:tc>
        <w:tc>
          <w:tcPr>
            <w:tcW w:w="1643" w:type="pct"/>
            <w:tcBorders>
              <w:tl2br w:val="nil"/>
              <w:tr2bl w:val="nil"/>
            </w:tcBorders>
            <w:vAlign w:val="center"/>
          </w:tcPr>
          <w:p>
            <w:pPr>
              <w:spacing w:line="240" w:lineRule="auto"/>
              <w:ind w:firstLine="0" w:firstLineChars="0"/>
              <w:rPr>
                <w:rFonts w:ascii="宋体" w:hAnsi="宋体" w:cs="宋体"/>
                <w:color w:val="444444"/>
                <w:sz w:val="21"/>
                <w:szCs w:val="21"/>
                <w:shd w:val="clear" w:color="auto" w:fill="FFFFFF"/>
              </w:rPr>
            </w:pPr>
            <w:r>
              <w:rPr>
                <w:rFonts w:hint="eastAsia" w:ascii="宋体" w:hAnsi="宋体" w:cs="宋体"/>
                <w:color w:val="444444"/>
                <w:sz w:val="21"/>
                <w:szCs w:val="21"/>
                <w:shd w:val="clear" w:color="auto" w:fill="FFFFFF"/>
              </w:rPr>
              <w:t>未对有限空间进行辨识、建立安全管理台账，并且未设置明显的安全警示标志的；</w:t>
            </w:r>
          </w:p>
        </w:tc>
        <w:tc>
          <w:tcPr>
            <w:tcW w:w="1226" w:type="pct"/>
            <w:vMerge w:val="restart"/>
            <w:tcBorders>
              <w:tl2br w:val="nil"/>
              <w:tr2bl w:val="nil"/>
            </w:tcBorders>
            <w:vAlign w:val="center"/>
          </w:tcPr>
          <w:p>
            <w:pPr>
              <w:spacing w:line="240" w:lineRule="auto"/>
              <w:ind w:firstLine="0" w:firstLineChars="0"/>
              <w:rPr>
                <w:rFonts w:ascii="宋体" w:hAnsi="宋体" w:cs="宋体"/>
                <w:sz w:val="21"/>
                <w:szCs w:val="21"/>
              </w:rPr>
            </w:pPr>
            <w:r>
              <w:rPr>
                <w:rFonts w:hint="eastAsia" w:ascii="宋体" w:hAnsi="宋体" w:cs="宋体"/>
                <w:sz w:val="21"/>
                <w:szCs w:val="21"/>
              </w:rPr>
              <w:t>《工贸企业重大事故隐患判定标准》（中华人民共和国应急管理部令第10号）第十三条</w:t>
            </w:r>
          </w:p>
          <w:p>
            <w:pPr>
              <w:spacing w:line="240" w:lineRule="auto"/>
              <w:ind w:firstLine="0" w:firstLineChars="0"/>
              <w:rPr>
                <w:rFonts w:ascii="宋体" w:hAnsi="宋体" w:cs="宋体"/>
                <w:sz w:val="21"/>
                <w:szCs w:val="21"/>
              </w:rPr>
            </w:pPr>
          </w:p>
        </w:tc>
        <w:tc>
          <w:tcPr>
            <w:tcW w:w="1333" w:type="pct"/>
            <w:tcBorders>
              <w:tl2br w:val="nil"/>
              <w:tr2bl w:val="nil"/>
            </w:tcBorders>
            <w:vAlign w:val="center"/>
          </w:tcPr>
          <w:p>
            <w:pPr>
              <w:spacing w:line="240" w:lineRule="auto"/>
              <w:ind w:firstLine="0" w:firstLineChars="0"/>
              <w:rPr>
                <w:rFonts w:ascii="宋体" w:hAnsi="宋体" w:cs="宋体"/>
                <w:color w:val="444444"/>
                <w:sz w:val="21"/>
                <w:szCs w:val="21"/>
                <w:shd w:val="clear" w:color="auto" w:fill="FFFFFF"/>
              </w:rPr>
            </w:pPr>
            <w:r>
              <w:rPr>
                <w:rFonts w:hint="eastAsia" w:ascii="宋体" w:hAnsi="宋体" w:cs="宋体"/>
                <w:color w:val="444444"/>
                <w:sz w:val="21"/>
                <w:szCs w:val="21"/>
                <w:shd w:val="clear" w:color="auto" w:fill="FFFFFF"/>
              </w:rPr>
              <w:t>企业已对有限空间进行辨识、建立安全管理台账，并设置明显的安全警示标志。</w:t>
            </w:r>
          </w:p>
        </w:tc>
        <w:tc>
          <w:tcPr>
            <w:tcW w:w="388" w:type="pct"/>
            <w:tcBorders>
              <w:tl2br w:val="nil"/>
              <w:tr2bl w:val="nil"/>
            </w:tcBorders>
            <w:vAlign w:val="center"/>
          </w:tcPr>
          <w:p>
            <w:pPr>
              <w:spacing w:line="240" w:lineRule="auto"/>
              <w:ind w:firstLine="0" w:firstLineChars="0"/>
              <w:rPr>
                <w:rFonts w:ascii="宋体" w:hAnsi="宋体" w:cs="宋体"/>
                <w:bCs/>
                <w:sz w:val="21"/>
                <w:szCs w:val="21"/>
              </w:rPr>
            </w:pPr>
            <w:r>
              <w:rPr>
                <w:rFonts w:hint="eastAsia" w:ascii="宋体" w:hAnsi="宋体" w:cs="宋体"/>
                <w:bCs/>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8" w:type="pct"/>
            <w:tcBorders>
              <w:tl2br w:val="nil"/>
              <w:tr2bl w:val="nil"/>
            </w:tcBorders>
            <w:vAlign w:val="center"/>
          </w:tcPr>
          <w:p>
            <w:pPr>
              <w:numPr>
                <w:ilvl w:val="0"/>
                <w:numId w:val="55"/>
              </w:numPr>
              <w:spacing w:line="240" w:lineRule="auto"/>
              <w:ind w:firstLine="0" w:firstLineChars="0"/>
              <w:jc w:val="center"/>
              <w:rPr>
                <w:rFonts w:ascii="宋体" w:hAnsi="宋体" w:cs="宋体"/>
                <w:bCs/>
                <w:sz w:val="21"/>
                <w:szCs w:val="21"/>
              </w:rPr>
            </w:pPr>
          </w:p>
        </w:tc>
        <w:tc>
          <w:tcPr>
            <w:tcW w:w="1643" w:type="pct"/>
            <w:tcBorders>
              <w:tl2br w:val="nil"/>
              <w:tr2bl w:val="nil"/>
            </w:tcBorders>
            <w:vAlign w:val="center"/>
          </w:tcPr>
          <w:p>
            <w:pPr>
              <w:spacing w:line="240" w:lineRule="auto"/>
              <w:ind w:firstLine="0" w:firstLineChars="0"/>
              <w:rPr>
                <w:rFonts w:ascii="宋体" w:hAnsi="宋体" w:cs="宋体"/>
                <w:color w:val="444444"/>
                <w:sz w:val="21"/>
                <w:szCs w:val="21"/>
                <w:shd w:val="clear" w:color="auto" w:fill="FFFFFF"/>
              </w:rPr>
            </w:pPr>
            <w:r>
              <w:rPr>
                <w:rFonts w:hint="eastAsia" w:ascii="宋体" w:hAnsi="宋体" w:cs="宋体"/>
                <w:color w:val="444444"/>
                <w:sz w:val="21"/>
                <w:szCs w:val="21"/>
                <w:shd w:val="clear" w:color="auto" w:fill="FFFFFF"/>
              </w:rPr>
              <w:t>未落实有限空间作业审批，或者未执行“先通风、再检测、后作业”要求，或者作业现场未设置监护人员的。</w:t>
            </w:r>
          </w:p>
        </w:tc>
        <w:tc>
          <w:tcPr>
            <w:tcW w:w="1226" w:type="pct"/>
            <w:vMerge w:val="continue"/>
            <w:tcBorders>
              <w:tl2br w:val="nil"/>
              <w:tr2bl w:val="nil"/>
            </w:tcBorders>
            <w:vAlign w:val="center"/>
          </w:tcPr>
          <w:p>
            <w:pPr>
              <w:spacing w:line="240" w:lineRule="auto"/>
              <w:ind w:firstLine="0" w:firstLineChars="0"/>
              <w:rPr>
                <w:rFonts w:ascii="宋体" w:hAnsi="宋体" w:cs="宋体"/>
                <w:sz w:val="21"/>
                <w:szCs w:val="21"/>
              </w:rPr>
            </w:pPr>
          </w:p>
        </w:tc>
        <w:tc>
          <w:tcPr>
            <w:tcW w:w="1333" w:type="pct"/>
            <w:tcBorders>
              <w:tl2br w:val="nil"/>
              <w:tr2bl w:val="nil"/>
            </w:tcBorders>
            <w:vAlign w:val="center"/>
          </w:tcPr>
          <w:p>
            <w:pPr>
              <w:spacing w:line="240" w:lineRule="auto"/>
              <w:ind w:firstLine="0" w:firstLineChars="0"/>
              <w:rPr>
                <w:rFonts w:ascii="宋体" w:hAnsi="宋体" w:cs="宋体"/>
                <w:color w:val="444444"/>
                <w:sz w:val="21"/>
                <w:szCs w:val="21"/>
                <w:shd w:val="clear" w:color="auto" w:fill="FFFFFF"/>
              </w:rPr>
            </w:pPr>
            <w:r>
              <w:rPr>
                <w:rFonts w:hint="eastAsia" w:ascii="宋体" w:hAnsi="宋体" w:cs="宋体"/>
                <w:color w:val="444444"/>
                <w:sz w:val="21"/>
                <w:szCs w:val="21"/>
                <w:shd w:val="clear" w:color="auto" w:fill="FFFFFF"/>
              </w:rPr>
              <w:t>有限空间作业前已进行审批许可，严格执行“先通风、再检测、后作业”要求，并设专人监护。</w:t>
            </w:r>
          </w:p>
        </w:tc>
        <w:tc>
          <w:tcPr>
            <w:tcW w:w="388" w:type="pct"/>
            <w:tcBorders>
              <w:tl2br w:val="nil"/>
              <w:tr2bl w:val="nil"/>
            </w:tcBorders>
            <w:vAlign w:val="center"/>
          </w:tcPr>
          <w:p>
            <w:pPr>
              <w:spacing w:line="240" w:lineRule="auto"/>
              <w:ind w:firstLine="0" w:firstLineChars="0"/>
              <w:rPr>
                <w:rFonts w:ascii="宋体" w:hAnsi="宋体" w:cs="宋体"/>
                <w:bCs/>
                <w:sz w:val="21"/>
                <w:szCs w:val="21"/>
              </w:rPr>
            </w:pPr>
            <w:r>
              <w:rPr>
                <w:rFonts w:hint="eastAsia" w:ascii="宋体" w:hAnsi="宋体" w:cs="宋体"/>
                <w:bCs/>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8" w:type="pct"/>
            <w:tcBorders>
              <w:tl2br w:val="nil"/>
              <w:tr2bl w:val="nil"/>
            </w:tcBorders>
            <w:vAlign w:val="center"/>
          </w:tcPr>
          <w:p>
            <w:pPr>
              <w:numPr>
                <w:ilvl w:val="0"/>
                <w:numId w:val="55"/>
              </w:numPr>
              <w:spacing w:line="240" w:lineRule="auto"/>
              <w:ind w:firstLine="0" w:firstLineChars="0"/>
              <w:jc w:val="center"/>
              <w:rPr>
                <w:rFonts w:ascii="宋体" w:hAnsi="宋体" w:cs="宋体"/>
                <w:bCs/>
                <w:sz w:val="21"/>
                <w:szCs w:val="21"/>
              </w:rPr>
            </w:pPr>
          </w:p>
        </w:tc>
        <w:tc>
          <w:tcPr>
            <w:tcW w:w="1643" w:type="pct"/>
            <w:tcBorders>
              <w:tl2br w:val="nil"/>
              <w:tr2bl w:val="nil"/>
            </w:tcBorders>
            <w:vAlign w:val="center"/>
          </w:tcPr>
          <w:p>
            <w:pPr>
              <w:spacing w:line="240" w:lineRule="auto"/>
              <w:ind w:firstLine="0" w:firstLineChars="0"/>
              <w:rPr>
                <w:rFonts w:ascii="宋体" w:hAnsi="宋体" w:cs="宋体"/>
                <w:color w:val="444444"/>
                <w:sz w:val="21"/>
                <w:szCs w:val="21"/>
                <w:shd w:val="clear" w:color="auto" w:fill="FFFFFF"/>
              </w:rPr>
            </w:pPr>
            <w:r>
              <w:rPr>
                <w:rFonts w:hint="eastAsia" w:ascii="宋体" w:hAnsi="宋体" w:cs="宋体"/>
                <w:color w:val="444444"/>
                <w:sz w:val="21"/>
                <w:szCs w:val="21"/>
                <w:shd w:val="clear" w:color="auto" w:fill="FFFFFF"/>
              </w:rPr>
              <w:t>本标准所列情形中直接关系生产安全的监控、报警、防护等设施、设备、装置，应当保证正常运行、使用，失效或者无效均判定为重大事故隐患。</w:t>
            </w:r>
          </w:p>
        </w:tc>
        <w:tc>
          <w:tcPr>
            <w:tcW w:w="1226" w:type="pct"/>
            <w:tcBorders>
              <w:tl2br w:val="nil"/>
              <w:tr2bl w:val="nil"/>
            </w:tcBorders>
            <w:vAlign w:val="center"/>
          </w:tcPr>
          <w:p>
            <w:pPr>
              <w:spacing w:line="240" w:lineRule="auto"/>
              <w:ind w:firstLine="0" w:firstLineChars="0"/>
              <w:rPr>
                <w:rFonts w:ascii="宋体" w:hAnsi="宋体" w:cs="宋体"/>
                <w:sz w:val="21"/>
                <w:szCs w:val="21"/>
              </w:rPr>
            </w:pPr>
            <w:r>
              <w:rPr>
                <w:rFonts w:hint="eastAsia" w:ascii="宋体" w:hAnsi="宋体" w:cs="宋体"/>
                <w:sz w:val="21"/>
                <w:szCs w:val="21"/>
              </w:rPr>
              <w:t>《工贸企业重大事故隐患判定标准》（中华人民共和国应急管理部令第10号）第十四条</w:t>
            </w:r>
          </w:p>
        </w:tc>
        <w:tc>
          <w:tcPr>
            <w:tcW w:w="1333" w:type="pct"/>
            <w:tcBorders>
              <w:tl2br w:val="nil"/>
              <w:tr2bl w:val="nil"/>
            </w:tcBorders>
            <w:vAlign w:val="center"/>
          </w:tcPr>
          <w:p>
            <w:pPr>
              <w:spacing w:line="240" w:lineRule="auto"/>
              <w:ind w:firstLine="0" w:firstLineChars="0"/>
              <w:rPr>
                <w:rFonts w:ascii="宋体" w:hAnsi="宋体" w:cs="宋体"/>
                <w:color w:val="444444"/>
                <w:sz w:val="21"/>
                <w:szCs w:val="21"/>
                <w:shd w:val="clear" w:color="auto" w:fill="FFFFFF"/>
              </w:rPr>
            </w:pPr>
            <w:r>
              <w:rPr>
                <w:rFonts w:hint="eastAsia" w:ascii="宋体" w:hAnsi="宋体" w:cs="宋体"/>
                <w:color w:val="444444"/>
                <w:sz w:val="21"/>
                <w:szCs w:val="21"/>
                <w:shd w:val="clear" w:color="auto" w:fill="FFFFFF"/>
              </w:rPr>
              <w:t>项目涉及的监控、报警、防护等设施、设备、装置均正常运行、使用。</w:t>
            </w:r>
          </w:p>
        </w:tc>
        <w:tc>
          <w:tcPr>
            <w:tcW w:w="388" w:type="pct"/>
            <w:tcBorders>
              <w:tl2br w:val="nil"/>
              <w:tr2bl w:val="nil"/>
            </w:tcBorders>
            <w:vAlign w:val="center"/>
          </w:tcPr>
          <w:p>
            <w:pPr>
              <w:spacing w:line="240" w:lineRule="auto"/>
              <w:ind w:firstLine="0" w:firstLineChars="0"/>
              <w:rPr>
                <w:rFonts w:ascii="宋体" w:hAnsi="宋体" w:cs="宋体"/>
                <w:bCs/>
                <w:sz w:val="21"/>
                <w:szCs w:val="21"/>
              </w:rPr>
            </w:pPr>
            <w:r>
              <w:rPr>
                <w:rFonts w:hint="eastAsia" w:ascii="宋体" w:hAnsi="宋体" w:cs="宋体"/>
                <w:bCs/>
                <w:sz w:val="21"/>
                <w:szCs w:val="21"/>
              </w:rPr>
              <w:t>符合</w:t>
            </w:r>
          </w:p>
        </w:tc>
      </w:tr>
    </w:tbl>
    <w:p>
      <w:pPr>
        <w:ind w:firstLine="560"/>
      </w:pPr>
      <w:r>
        <w:rPr>
          <w:rFonts w:hint="eastAsia" w:ascii="宋体" w:hAnsi="宋体" w:cs="宋体"/>
        </w:rPr>
        <w:t>对照《工贸企业重大事故隐患判定标准》（中华人民共和国应急管理部令第10号）检查，该项目无重大事故隐患。</w:t>
      </w:r>
    </w:p>
    <w:p>
      <w:pPr>
        <w:pStyle w:val="5"/>
        <w:spacing w:before="156" w:after="156"/>
      </w:pPr>
      <w:bookmarkStart w:id="271" w:name="_Toc23280"/>
      <w:r>
        <w:t>选址</w:t>
      </w:r>
      <w:r>
        <w:rPr>
          <w:rFonts w:hint="eastAsia"/>
        </w:rPr>
        <w:t>及总图布置</w:t>
      </w:r>
      <w:r>
        <w:t>单元</w:t>
      </w:r>
      <w:bookmarkEnd w:id="266"/>
      <w:bookmarkEnd w:id="267"/>
      <w:bookmarkEnd w:id="268"/>
      <w:bookmarkEnd w:id="271"/>
    </w:p>
    <w:p>
      <w:pPr>
        <w:ind w:firstLine="560"/>
        <w:rPr>
          <w:rFonts w:ascii="宋体" w:hAnsi="宋体"/>
          <w:color w:val="000000"/>
          <w:szCs w:val="28"/>
        </w:rPr>
      </w:pPr>
      <w:r>
        <w:rPr>
          <w:rFonts w:hint="eastAsia" w:ascii="宋体" w:hAnsi="宋体"/>
          <w:color w:val="000000"/>
          <w:szCs w:val="28"/>
        </w:rPr>
        <w:t>根据</w:t>
      </w:r>
      <w:r>
        <w:rPr>
          <w:rFonts w:ascii="宋体" w:hAnsi="宋体"/>
          <w:color w:val="000000"/>
          <w:szCs w:val="28"/>
        </w:rPr>
        <w:t>《工业企业</w:t>
      </w:r>
      <w:r>
        <w:rPr>
          <w:rFonts w:hint="eastAsia" w:ascii="宋体" w:hAnsi="宋体"/>
          <w:color w:val="000000"/>
          <w:szCs w:val="28"/>
        </w:rPr>
        <w:t>总平面设计规范》（GB50187－2012）、《建筑设计防火规范（2018年版）》（GB50016-2014）《工业企业厂内运输安全规程》(GB4387-2008)《工业企业设计卫生标准》（GBZ 1-2010）等相关规范相关内容采用安全检查表对厂址、总平面布置进行符合性检查。</w:t>
      </w:r>
    </w:p>
    <w:p>
      <w:pPr>
        <w:pStyle w:val="14"/>
        <w:spacing w:before="156" w:after="156"/>
        <w:rPr>
          <w:rFonts w:ascii="宋体" w:hAnsi="宋体" w:cs="宋体"/>
          <w:szCs w:val="24"/>
        </w:rPr>
      </w:pPr>
      <w:r>
        <w:rPr>
          <w:rFonts w:hint="eastAsia" w:ascii="宋体" w:hAnsi="宋体" w:cs="宋体"/>
          <w:szCs w:val="24"/>
        </w:rPr>
        <w:t xml:space="preserve">表 </w:t>
      </w:r>
      <w:r>
        <w:rPr>
          <w:rFonts w:hint="eastAsia" w:ascii="宋体" w:hAnsi="宋体" w:cs="宋体"/>
          <w:szCs w:val="24"/>
        </w:rPr>
        <w:fldChar w:fldCharType="begin"/>
      </w:r>
      <w:r>
        <w:rPr>
          <w:rFonts w:hint="eastAsia" w:ascii="宋体" w:hAnsi="宋体" w:cs="宋体"/>
          <w:szCs w:val="24"/>
        </w:rPr>
        <w:instrText xml:space="preserve"> STYLEREF 2 \s </w:instrText>
      </w:r>
      <w:r>
        <w:rPr>
          <w:rFonts w:hint="eastAsia" w:ascii="宋体" w:hAnsi="宋体" w:cs="宋体"/>
          <w:szCs w:val="24"/>
        </w:rPr>
        <w:fldChar w:fldCharType="separate"/>
      </w:r>
      <w:r>
        <w:rPr>
          <w:rFonts w:hint="eastAsia" w:ascii="宋体" w:hAnsi="宋体" w:cs="宋体"/>
          <w:szCs w:val="24"/>
        </w:rPr>
        <w:t>5.2</w:t>
      </w:r>
      <w:r>
        <w:rPr>
          <w:rFonts w:hint="eastAsia" w:ascii="宋体" w:hAnsi="宋体" w:cs="宋体"/>
          <w:szCs w:val="24"/>
        </w:rPr>
        <w:fldChar w:fldCharType="end"/>
      </w:r>
      <w:r>
        <w:rPr>
          <w:rFonts w:hint="eastAsia" w:ascii="宋体" w:hAnsi="宋体" w:cs="宋体"/>
          <w:szCs w:val="24"/>
        </w:rPr>
        <w:t>-</w:t>
      </w:r>
      <w:r>
        <w:rPr>
          <w:rFonts w:hint="eastAsia" w:ascii="宋体" w:hAnsi="宋体" w:cs="宋体"/>
          <w:szCs w:val="24"/>
        </w:rPr>
        <w:fldChar w:fldCharType="begin"/>
      </w:r>
      <w:r>
        <w:rPr>
          <w:rFonts w:hint="eastAsia" w:ascii="宋体" w:hAnsi="宋体" w:cs="宋体"/>
          <w:szCs w:val="24"/>
        </w:rPr>
        <w:instrText xml:space="preserve"> SEQ 表 \* ARABIC \s 2 </w:instrText>
      </w:r>
      <w:r>
        <w:rPr>
          <w:rFonts w:hint="eastAsia" w:ascii="宋体" w:hAnsi="宋体" w:cs="宋体"/>
          <w:szCs w:val="24"/>
        </w:rPr>
        <w:fldChar w:fldCharType="separate"/>
      </w:r>
      <w:r>
        <w:rPr>
          <w:rFonts w:hint="eastAsia" w:ascii="宋体" w:hAnsi="宋体" w:cs="宋体"/>
          <w:szCs w:val="24"/>
        </w:rPr>
        <w:t>1</w:t>
      </w:r>
      <w:r>
        <w:rPr>
          <w:rFonts w:hint="eastAsia" w:ascii="宋体" w:hAnsi="宋体" w:cs="宋体"/>
          <w:szCs w:val="24"/>
        </w:rPr>
        <w:fldChar w:fldCharType="end"/>
      </w:r>
      <w:r>
        <w:rPr>
          <w:rFonts w:hint="eastAsia" w:ascii="宋体" w:hAnsi="宋体" w:cs="宋体"/>
          <w:szCs w:val="24"/>
        </w:rPr>
        <w:t>选</w:t>
      </w:r>
      <w:r>
        <w:rPr>
          <w:rFonts w:hint="eastAsia" w:ascii="宋体" w:hAnsi="宋体" w:cs="宋体"/>
          <w:snapToGrid w:val="0"/>
          <w:szCs w:val="24"/>
        </w:rPr>
        <w:t>址、总平面布置符合性安全检查表</w:t>
      </w:r>
    </w:p>
    <w:tbl>
      <w:tblPr>
        <w:tblStyle w:val="30"/>
        <w:tblW w:w="4998"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808"/>
        <w:gridCol w:w="2283"/>
        <w:gridCol w:w="2390"/>
        <w:gridCol w:w="2111"/>
        <w:gridCol w:w="92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474" w:type="pct"/>
            <w:vAlign w:val="center"/>
          </w:tcPr>
          <w:p>
            <w:pPr>
              <w:spacing w:line="240" w:lineRule="auto"/>
              <w:ind w:firstLine="0" w:firstLineChars="0"/>
              <w:jc w:val="center"/>
              <w:rPr>
                <w:rFonts w:ascii="宋体" w:hAnsi="宋体" w:cs="宋体"/>
                <w:snapToGrid w:val="0"/>
                <w:sz w:val="21"/>
                <w:szCs w:val="21"/>
              </w:rPr>
            </w:pPr>
            <w:r>
              <w:rPr>
                <w:rFonts w:hint="eastAsia" w:ascii="宋体" w:hAnsi="宋体" w:cs="宋体"/>
                <w:snapToGrid w:val="0"/>
                <w:sz w:val="21"/>
                <w:szCs w:val="21"/>
              </w:rPr>
              <w:t>序号</w:t>
            </w:r>
          </w:p>
        </w:tc>
        <w:tc>
          <w:tcPr>
            <w:tcW w:w="1339" w:type="pct"/>
            <w:vAlign w:val="center"/>
          </w:tcPr>
          <w:p>
            <w:pPr>
              <w:spacing w:line="240" w:lineRule="auto"/>
              <w:ind w:firstLine="0" w:firstLineChars="0"/>
              <w:jc w:val="center"/>
              <w:rPr>
                <w:rFonts w:ascii="宋体" w:hAnsi="宋体" w:cs="宋体"/>
                <w:snapToGrid w:val="0"/>
                <w:sz w:val="21"/>
                <w:szCs w:val="21"/>
              </w:rPr>
            </w:pPr>
            <w:r>
              <w:rPr>
                <w:rFonts w:hint="eastAsia" w:ascii="宋体" w:hAnsi="宋体" w:cs="宋体"/>
                <w:snapToGrid w:val="0"/>
                <w:sz w:val="21"/>
                <w:szCs w:val="21"/>
              </w:rPr>
              <w:t>检查内容</w:t>
            </w:r>
          </w:p>
        </w:tc>
        <w:tc>
          <w:tcPr>
            <w:tcW w:w="1402" w:type="pct"/>
            <w:vAlign w:val="center"/>
          </w:tcPr>
          <w:p>
            <w:pPr>
              <w:spacing w:line="240" w:lineRule="auto"/>
              <w:ind w:firstLine="0" w:firstLineChars="0"/>
              <w:jc w:val="center"/>
              <w:rPr>
                <w:rFonts w:ascii="宋体" w:hAnsi="宋体" w:cs="宋体"/>
                <w:snapToGrid w:val="0"/>
                <w:sz w:val="21"/>
                <w:szCs w:val="21"/>
              </w:rPr>
            </w:pPr>
            <w:r>
              <w:rPr>
                <w:rFonts w:hint="eastAsia" w:ascii="宋体" w:hAnsi="宋体" w:cs="宋体"/>
                <w:snapToGrid w:val="0"/>
                <w:sz w:val="21"/>
                <w:szCs w:val="21"/>
              </w:rPr>
              <w:t>评价依据</w:t>
            </w:r>
          </w:p>
        </w:tc>
        <w:tc>
          <w:tcPr>
            <w:tcW w:w="1238" w:type="pct"/>
            <w:vAlign w:val="center"/>
          </w:tcPr>
          <w:p>
            <w:pPr>
              <w:spacing w:line="240" w:lineRule="auto"/>
              <w:ind w:firstLine="0" w:firstLineChars="0"/>
              <w:jc w:val="center"/>
              <w:rPr>
                <w:rFonts w:ascii="宋体" w:hAnsi="宋体" w:cs="宋体"/>
                <w:snapToGrid w:val="0"/>
                <w:sz w:val="21"/>
                <w:szCs w:val="21"/>
              </w:rPr>
            </w:pPr>
            <w:r>
              <w:rPr>
                <w:rFonts w:hint="eastAsia" w:ascii="宋体" w:hAnsi="宋体" w:cs="宋体"/>
                <w:snapToGrid w:val="0"/>
                <w:sz w:val="21"/>
                <w:szCs w:val="21"/>
              </w:rPr>
              <w:t>检查情况</w:t>
            </w:r>
          </w:p>
        </w:tc>
        <w:tc>
          <w:tcPr>
            <w:tcW w:w="544" w:type="pct"/>
            <w:vAlign w:val="center"/>
          </w:tcPr>
          <w:p>
            <w:pPr>
              <w:spacing w:line="240" w:lineRule="auto"/>
              <w:ind w:firstLine="0" w:firstLineChars="0"/>
              <w:jc w:val="center"/>
              <w:rPr>
                <w:rFonts w:ascii="宋体" w:hAnsi="宋体" w:cs="宋体"/>
                <w:snapToGrid w:val="0"/>
                <w:sz w:val="21"/>
                <w:szCs w:val="21"/>
              </w:rPr>
            </w:pPr>
            <w:r>
              <w:rPr>
                <w:rFonts w:hint="eastAsia" w:ascii="宋体" w:hAnsi="宋体" w:cs="宋体"/>
                <w:snapToGrid w:val="0"/>
                <w:sz w:val="21"/>
                <w:szCs w:val="21"/>
              </w:rPr>
              <w:t>检查结果</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474" w:type="pct"/>
            <w:vAlign w:val="center"/>
          </w:tcPr>
          <w:p>
            <w:pPr>
              <w:numPr>
                <w:ilvl w:val="0"/>
                <w:numId w:val="56"/>
              </w:numPr>
              <w:snapToGrid w:val="0"/>
              <w:spacing w:before="156" w:beforeLines="50" w:line="240" w:lineRule="auto"/>
              <w:ind w:left="0" w:firstLine="420"/>
              <w:jc w:val="center"/>
              <w:rPr>
                <w:sz w:val="21"/>
                <w:szCs w:val="21"/>
              </w:rPr>
            </w:pPr>
          </w:p>
        </w:tc>
        <w:tc>
          <w:tcPr>
            <w:tcW w:w="1339" w:type="pct"/>
            <w:vAlign w:val="center"/>
          </w:tcPr>
          <w:p>
            <w:pPr>
              <w:spacing w:line="240" w:lineRule="auto"/>
              <w:ind w:firstLine="0" w:firstLineChars="0"/>
              <w:jc w:val="center"/>
              <w:rPr>
                <w:rFonts w:ascii="宋体" w:hAnsi="宋体" w:cs="宋体"/>
                <w:color w:val="000000"/>
                <w:sz w:val="21"/>
                <w:szCs w:val="21"/>
              </w:rPr>
            </w:pPr>
            <w:r>
              <w:rPr>
                <w:rFonts w:hint="eastAsia" w:ascii="宋体" w:hAnsi="宋体" w:cs="宋体"/>
                <w:color w:val="000000"/>
                <w:sz w:val="21"/>
                <w:szCs w:val="21"/>
              </w:rPr>
              <w:t>厂址选择应符合国家的工业布局、城镇（乡）总体规划及土地利用总体规划的要求。</w:t>
            </w:r>
          </w:p>
        </w:tc>
        <w:tc>
          <w:tcPr>
            <w:tcW w:w="1402" w:type="pct"/>
            <w:vAlign w:val="center"/>
          </w:tcPr>
          <w:p>
            <w:pPr>
              <w:spacing w:line="240" w:lineRule="auto"/>
              <w:ind w:firstLine="0" w:firstLineChars="0"/>
              <w:jc w:val="center"/>
              <w:rPr>
                <w:rFonts w:ascii="宋体" w:hAnsi="宋体" w:cs="宋体"/>
                <w:color w:val="000000"/>
                <w:sz w:val="21"/>
                <w:szCs w:val="21"/>
              </w:rPr>
            </w:pPr>
            <w:r>
              <w:rPr>
                <w:rFonts w:hint="eastAsia" w:ascii="宋体" w:hAnsi="宋体" w:cs="宋体"/>
                <w:color w:val="000000"/>
                <w:sz w:val="21"/>
                <w:szCs w:val="21"/>
              </w:rPr>
              <w:t>《工业企业总平面设计规范》（GB50187－2012）3.0.1</w:t>
            </w:r>
          </w:p>
        </w:tc>
        <w:tc>
          <w:tcPr>
            <w:tcW w:w="1238" w:type="pct"/>
            <w:vAlign w:val="center"/>
          </w:tcPr>
          <w:p>
            <w:pPr>
              <w:spacing w:line="240" w:lineRule="auto"/>
              <w:ind w:firstLine="0" w:firstLineChars="0"/>
              <w:jc w:val="center"/>
              <w:rPr>
                <w:rFonts w:ascii="宋体" w:hAnsi="宋体" w:cs="宋体"/>
                <w:color w:val="000000"/>
                <w:sz w:val="21"/>
                <w:szCs w:val="21"/>
              </w:rPr>
            </w:pPr>
            <w:r>
              <w:rPr>
                <w:rFonts w:hint="eastAsia" w:ascii="宋体" w:hAnsi="宋体" w:cs="宋体"/>
                <w:color w:val="000000"/>
                <w:sz w:val="21"/>
                <w:szCs w:val="21"/>
              </w:rPr>
              <w:t>厂址选择符合国家的工业布局、城镇（乡）总体规划及土地利用总体规划的要求。</w:t>
            </w:r>
          </w:p>
        </w:tc>
        <w:tc>
          <w:tcPr>
            <w:tcW w:w="544" w:type="pct"/>
            <w:vAlign w:val="center"/>
          </w:tcPr>
          <w:p>
            <w:pPr>
              <w:spacing w:line="240" w:lineRule="auto"/>
              <w:ind w:firstLine="0" w:firstLineChars="0"/>
              <w:jc w:val="center"/>
              <w:rPr>
                <w:rFonts w:ascii="宋体" w:hAnsi="宋体" w:cs="宋体"/>
                <w:color w:val="000000"/>
                <w:sz w:val="21"/>
                <w:szCs w:val="21"/>
              </w:rPr>
            </w:pPr>
            <w:r>
              <w:rPr>
                <w:rFonts w:hint="eastAsia" w:ascii="宋体" w:hAnsi="宋体" w:cs="宋体"/>
                <w:color w:val="000000"/>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474" w:type="pct"/>
            <w:vAlign w:val="center"/>
          </w:tcPr>
          <w:p>
            <w:pPr>
              <w:numPr>
                <w:ilvl w:val="0"/>
                <w:numId w:val="56"/>
              </w:numPr>
              <w:snapToGrid w:val="0"/>
              <w:spacing w:before="156" w:beforeLines="50" w:line="240" w:lineRule="auto"/>
              <w:ind w:left="0" w:firstLine="420"/>
              <w:jc w:val="center"/>
              <w:rPr>
                <w:sz w:val="21"/>
                <w:szCs w:val="21"/>
              </w:rPr>
            </w:pPr>
          </w:p>
        </w:tc>
        <w:tc>
          <w:tcPr>
            <w:tcW w:w="1339" w:type="pct"/>
            <w:vAlign w:val="center"/>
          </w:tcPr>
          <w:p>
            <w:pPr>
              <w:spacing w:line="240" w:lineRule="auto"/>
              <w:ind w:firstLine="0" w:firstLineChars="0"/>
              <w:jc w:val="center"/>
              <w:rPr>
                <w:rFonts w:ascii="宋体" w:hAnsi="宋体" w:cs="宋体"/>
                <w:sz w:val="21"/>
                <w:szCs w:val="21"/>
              </w:rPr>
            </w:pPr>
            <w:r>
              <w:rPr>
                <w:rFonts w:hint="eastAsia" w:ascii="宋体" w:hAnsi="宋体" w:cs="宋体"/>
                <w:color w:val="000000"/>
                <w:sz w:val="21"/>
                <w:szCs w:val="21"/>
              </w:rPr>
              <w:t>厂址应有便利和经济的交通运输条件，与厂外铁路、公路的连接，应便捷、工程量小。临近江、河、湖、海的厂址，通航条件满足企业运输要求时，应尽量利用水运，且厂址宜靠近适合建设码头的地段。</w:t>
            </w:r>
          </w:p>
        </w:tc>
        <w:tc>
          <w:tcPr>
            <w:tcW w:w="1402"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《工业企业总平面设计规范》（GB50187－2012）3.0.5</w:t>
            </w:r>
          </w:p>
        </w:tc>
        <w:tc>
          <w:tcPr>
            <w:tcW w:w="1238" w:type="pct"/>
            <w:vAlign w:val="center"/>
          </w:tcPr>
          <w:p>
            <w:pPr>
              <w:spacing w:line="240" w:lineRule="auto"/>
              <w:ind w:firstLine="0" w:firstLineChars="0"/>
              <w:jc w:val="both"/>
              <w:rPr>
                <w:rFonts w:ascii="宋体" w:hAnsi="宋体" w:cs="宋体"/>
                <w:sz w:val="21"/>
                <w:szCs w:val="21"/>
              </w:rPr>
            </w:pPr>
            <w:r>
              <w:rPr>
                <w:rFonts w:hint="eastAsia" w:ascii="宋体" w:hAnsi="宋体" w:cs="宋体"/>
                <w:color w:val="000000"/>
                <w:sz w:val="21"/>
                <w:szCs w:val="21"/>
              </w:rPr>
              <w:t>厂址有便利和经济的交通运输条件，与厂外公路的连接，便捷、工程量小。</w:t>
            </w:r>
          </w:p>
        </w:tc>
        <w:tc>
          <w:tcPr>
            <w:tcW w:w="544" w:type="pct"/>
            <w:vAlign w:val="center"/>
          </w:tcPr>
          <w:p>
            <w:pPr>
              <w:spacing w:line="240" w:lineRule="auto"/>
              <w:ind w:firstLine="0" w:firstLineChars="0"/>
              <w:jc w:val="center"/>
              <w:rPr>
                <w:rFonts w:ascii="宋体" w:hAnsi="宋体" w:cs="宋体"/>
                <w:snapToGrid w:val="0"/>
                <w:sz w:val="21"/>
                <w:szCs w:val="21"/>
              </w:rPr>
            </w:pPr>
            <w:r>
              <w:rPr>
                <w:rFonts w:hint="eastAsia" w:ascii="宋体" w:hAnsi="宋体" w:cs="宋体"/>
                <w:snapToGrid w:val="0"/>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474" w:type="pct"/>
            <w:vAlign w:val="center"/>
          </w:tcPr>
          <w:p>
            <w:pPr>
              <w:numPr>
                <w:ilvl w:val="0"/>
                <w:numId w:val="56"/>
              </w:numPr>
              <w:snapToGrid w:val="0"/>
              <w:spacing w:before="156" w:beforeLines="50" w:line="240" w:lineRule="auto"/>
              <w:ind w:left="0" w:firstLine="420"/>
              <w:jc w:val="center"/>
              <w:rPr>
                <w:sz w:val="21"/>
                <w:szCs w:val="21"/>
              </w:rPr>
            </w:pPr>
          </w:p>
        </w:tc>
        <w:tc>
          <w:tcPr>
            <w:tcW w:w="1339" w:type="pct"/>
            <w:vAlign w:val="center"/>
          </w:tcPr>
          <w:p>
            <w:pPr>
              <w:spacing w:line="240" w:lineRule="auto"/>
              <w:ind w:firstLine="0" w:firstLineChars="0"/>
              <w:jc w:val="center"/>
              <w:rPr>
                <w:rFonts w:ascii="宋体" w:hAnsi="宋体" w:cs="宋体"/>
                <w:sz w:val="21"/>
                <w:szCs w:val="21"/>
              </w:rPr>
            </w:pPr>
            <w:r>
              <w:rPr>
                <w:rFonts w:hint="eastAsia" w:ascii="宋体" w:hAnsi="宋体" w:cs="宋体"/>
                <w:color w:val="000000"/>
                <w:sz w:val="21"/>
                <w:szCs w:val="21"/>
              </w:rPr>
              <w:t>厂址应具有满足生产、生活及发展所必需的水源和电源。水源和电源与厂址之间的管线连接应尽量短捷，且用水、用电量（特别）大的工业企业宜靠近水源及电源地。</w:t>
            </w:r>
          </w:p>
        </w:tc>
        <w:tc>
          <w:tcPr>
            <w:tcW w:w="1402"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《工业企业总平面设计规范》（GB50187－2012）3.0.6</w:t>
            </w:r>
          </w:p>
        </w:tc>
        <w:tc>
          <w:tcPr>
            <w:tcW w:w="1238" w:type="pct"/>
            <w:vAlign w:val="center"/>
          </w:tcPr>
          <w:p>
            <w:pPr>
              <w:spacing w:line="240" w:lineRule="auto"/>
              <w:ind w:firstLine="0" w:firstLineChars="0"/>
              <w:jc w:val="both"/>
              <w:rPr>
                <w:rFonts w:ascii="宋体" w:hAnsi="宋体" w:cs="宋体"/>
                <w:sz w:val="21"/>
                <w:szCs w:val="21"/>
              </w:rPr>
            </w:pPr>
            <w:r>
              <w:rPr>
                <w:rFonts w:hint="eastAsia" w:ascii="宋体" w:hAnsi="宋体" w:cs="宋体"/>
                <w:color w:val="000000"/>
                <w:sz w:val="21"/>
                <w:szCs w:val="21"/>
              </w:rPr>
              <w:t>厂址在工业园区内，水、电等资源配套齐全。</w:t>
            </w:r>
          </w:p>
        </w:tc>
        <w:tc>
          <w:tcPr>
            <w:tcW w:w="544" w:type="pct"/>
            <w:vAlign w:val="center"/>
          </w:tcPr>
          <w:p>
            <w:pPr>
              <w:spacing w:line="240" w:lineRule="auto"/>
              <w:ind w:firstLine="0" w:firstLineChars="0"/>
              <w:jc w:val="center"/>
              <w:rPr>
                <w:rFonts w:ascii="宋体" w:hAnsi="宋体" w:cs="宋体"/>
                <w:snapToGrid w:val="0"/>
                <w:sz w:val="21"/>
                <w:szCs w:val="21"/>
              </w:rPr>
            </w:pPr>
            <w:r>
              <w:rPr>
                <w:rFonts w:hint="eastAsia" w:ascii="宋体" w:hAnsi="宋体" w:cs="宋体"/>
                <w:snapToGrid w:val="0"/>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474" w:type="pct"/>
            <w:vAlign w:val="center"/>
          </w:tcPr>
          <w:p>
            <w:pPr>
              <w:numPr>
                <w:ilvl w:val="0"/>
                <w:numId w:val="56"/>
              </w:numPr>
              <w:snapToGrid w:val="0"/>
              <w:spacing w:before="156" w:beforeLines="50" w:line="240" w:lineRule="auto"/>
              <w:ind w:left="0" w:firstLine="420"/>
              <w:jc w:val="center"/>
              <w:rPr>
                <w:sz w:val="21"/>
                <w:szCs w:val="21"/>
              </w:rPr>
            </w:pPr>
          </w:p>
        </w:tc>
        <w:tc>
          <w:tcPr>
            <w:tcW w:w="1339" w:type="pct"/>
            <w:vAlign w:val="center"/>
          </w:tcPr>
          <w:p>
            <w:pPr>
              <w:spacing w:line="240" w:lineRule="auto"/>
              <w:ind w:firstLine="0" w:firstLineChars="0"/>
              <w:jc w:val="center"/>
              <w:rPr>
                <w:rFonts w:ascii="宋体" w:hAnsi="宋体" w:cs="宋体"/>
                <w:color w:val="000000"/>
                <w:sz w:val="21"/>
                <w:szCs w:val="21"/>
              </w:rPr>
            </w:pPr>
            <w:r>
              <w:rPr>
                <w:rFonts w:hint="eastAsia" w:ascii="宋体" w:hAnsi="宋体" w:cs="宋体"/>
                <w:color w:val="000000"/>
                <w:sz w:val="21"/>
                <w:szCs w:val="21"/>
              </w:rPr>
              <w:t>厂址应具有满足建设工程需要的工程地质条件和水文地质条件。</w:t>
            </w:r>
          </w:p>
        </w:tc>
        <w:tc>
          <w:tcPr>
            <w:tcW w:w="1402"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《工业企业总平面设计规范》（GB50187－2012）3.0.8</w:t>
            </w:r>
          </w:p>
        </w:tc>
        <w:tc>
          <w:tcPr>
            <w:tcW w:w="1238" w:type="pct"/>
            <w:vAlign w:val="center"/>
          </w:tcPr>
          <w:p>
            <w:pPr>
              <w:spacing w:line="240" w:lineRule="auto"/>
              <w:ind w:firstLine="0" w:firstLineChars="0"/>
              <w:jc w:val="center"/>
              <w:rPr>
                <w:rFonts w:ascii="宋体" w:hAnsi="宋体" w:cs="宋体"/>
                <w:color w:val="000000"/>
                <w:sz w:val="21"/>
                <w:szCs w:val="21"/>
              </w:rPr>
            </w:pPr>
            <w:r>
              <w:rPr>
                <w:rFonts w:hint="eastAsia" w:ascii="宋体" w:hAnsi="宋体" w:cs="宋体"/>
                <w:color w:val="000000"/>
                <w:sz w:val="21"/>
                <w:szCs w:val="21"/>
              </w:rPr>
              <w:t>厂址具有满足建设工程需要的工程地质条件和水文地质条件。</w:t>
            </w:r>
          </w:p>
        </w:tc>
        <w:tc>
          <w:tcPr>
            <w:tcW w:w="544" w:type="pct"/>
            <w:vAlign w:val="center"/>
          </w:tcPr>
          <w:p>
            <w:pPr>
              <w:spacing w:line="240" w:lineRule="auto"/>
              <w:ind w:firstLine="0" w:firstLineChars="0"/>
              <w:jc w:val="center"/>
              <w:rPr>
                <w:rFonts w:ascii="宋体" w:hAnsi="宋体" w:cs="宋体"/>
                <w:snapToGrid w:val="0"/>
                <w:sz w:val="21"/>
                <w:szCs w:val="21"/>
              </w:rPr>
            </w:pPr>
            <w:r>
              <w:rPr>
                <w:rFonts w:hint="eastAsia" w:ascii="宋体" w:hAnsi="宋体" w:cs="宋体"/>
                <w:snapToGrid w:val="0"/>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474" w:type="pct"/>
            <w:vAlign w:val="center"/>
          </w:tcPr>
          <w:p>
            <w:pPr>
              <w:numPr>
                <w:ilvl w:val="0"/>
                <w:numId w:val="56"/>
              </w:numPr>
              <w:snapToGrid w:val="0"/>
              <w:spacing w:before="156" w:beforeLines="50" w:line="240" w:lineRule="auto"/>
              <w:ind w:left="0" w:firstLine="420"/>
              <w:jc w:val="center"/>
              <w:rPr>
                <w:sz w:val="21"/>
                <w:szCs w:val="21"/>
              </w:rPr>
            </w:pPr>
          </w:p>
        </w:tc>
        <w:tc>
          <w:tcPr>
            <w:tcW w:w="1339" w:type="pct"/>
            <w:vAlign w:val="center"/>
          </w:tcPr>
          <w:p>
            <w:pPr>
              <w:spacing w:line="240" w:lineRule="auto"/>
              <w:ind w:firstLine="0" w:firstLineChars="0"/>
              <w:jc w:val="both"/>
              <w:rPr>
                <w:rFonts w:ascii="宋体" w:hAnsi="宋体" w:cs="宋体"/>
                <w:sz w:val="21"/>
                <w:szCs w:val="21"/>
              </w:rPr>
            </w:pPr>
            <w:r>
              <w:rPr>
                <w:rFonts w:hint="eastAsia" w:ascii="宋体" w:hAnsi="宋体" w:cs="宋体"/>
                <w:color w:val="000000"/>
                <w:sz w:val="21"/>
                <w:szCs w:val="21"/>
              </w:rPr>
              <w:t>厂址应满足近期建设所必需的场地面积和适宜的建厂地形，并应根据工业企业远期发展规划的需要，留有适当的发展余地。</w:t>
            </w:r>
          </w:p>
        </w:tc>
        <w:tc>
          <w:tcPr>
            <w:tcW w:w="1402"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《工业企业总平面设计规范》（GB50187－2012）3.0.9</w:t>
            </w:r>
          </w:p>
        </w:tc>
        <w:tc>
          <w:tcPr>
            <w:tcW w:w="1238" w:type="pct"/>
            <w:vAlign w:val="center"/>
          </w:tcPr>
          <w:p>
            <w:pPr>
              <w:spacing w:line="240" w:lineRule="auto"/>
              <w:ind w:firstLine="0" w:firstLineChars="0"/>
              <w:jc w:val="both"/>
              <w:rPr>
                <w:rFonts w:ascii="宋体" w:hAnsi="宋体" w:cs="宋体"/>
                <w:sz w:val="21"/>
                <w:szCs w:val="21"/>
              </w:rPr>
            </w:pPr>
            <w:r>
              <w:rPr>
                <w:rFonts w:hint="eastAsia" w:ascii="宋体" w:hAnsi="宋体" w:cs="宋体"/>
                <w:color w:val="000000"/>
                <w:sz w:val="21"/>
                <w:szCs w:val="21"/>
              </w:rPr>
              <w:t>厂址满足建设所必需的场地面积和适宜的建厂地形，并根据工业企业远期发展规划的需要，留有适当的发展余地。</w:t>
            </w:r>
          </w:p>
        </w:tc>
        <w:tc>
          <w:tcPr>
            <w:tcW w:w="544" w:type="pct"/>
            <w:vAlign w:val="center"/>
          </w:tcPr>
          <w:p>
            <w:pPr>
              <w:spacing w:line="240" w:lineRule="auto"/>
              <w:ind w:firstLine="0" w:firstLineChars="0"/>
              <w:jc w:val="center"/>
              <w:rPr>
                <w:rFonts w:ascii="宋体" w:hAnsi="宋体" w:cs="宋体"/>
                <w:snapToGrid w:val="0"/>
                <w:sz w:val="21"/>
                <w:szCs w:val="21"/>
              </w:rPr>
            </w:pPr>
            <w:r>
              <w:rPr>
                <w:rFonts w:hint="eastAsia" w:ascii="宋体" w:hAnsi="宋体" w:cs="宋体"/>
                <w:snapToGrid w:val="0"/>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474" w:type="pct"/>
            <w:vAlign w:val="center"/>
          </w:tcPr>
          <w:p>
            <w:pPr>
              <w:numPr>
                <w:ilvl w:val="0"/>
                <w:numId w:val="56"/>
              </w:numPr>
              <w:snapToGrid w:val="0"/>
              <w:spacing w:before="156" w:beforeLines="50" w:line="240" w:lineRule="auto"/>
              <w:ind w:left="0" w:firstLine="420"/>
              <w:jc w:val="center"/>
              <w:rPr>
                <w:sz w:val="21"/>
                <w:szCs w:val="21"/>
              </w:rPr>
            </w:pPr>
          </w:p>
        </w:tc>
        <w:tc>
          <w:tcPr>
            <w:tcW w:w="1339" w:type="pct"/>
            <w:vAlign w:val="center"/>
          </w:tcPr>
          <w:p>
            <w:pPr>
              <w:spacing w:line="240" w:lineRule="auto"/>
              <w:ind w:firstLine="0" w:firstLineChars="0"/>
              <w:jc w:val="both"/>
              <w:rPr>
                <w:rFonts w:ascii="宋体" w:hAnsi="宋体" w:cs="宋体"/>
                <w:sz w:val="21"/>
                <w:szCs w:val="21"/>
              </w:rPr>
            </w:pPr>
            <w:r>
              <w:rPr>
                <w:rFonts w:hint="eastAsia" w:ascii="宋体" w:hAnsi="宋体" w:cs="宋体"/>
                <w:color w:val="000000"/>
                <w:sz w:val="21"/>
                <w:szCs w:val="21"/>
              </w:rPr>
              <w:t>厂址应满足适宜的地形坡度，尽量避开自然地形复杂、自然坡度大的地段，应避免将盆地、积水洼地作为厂址。</w:t>
            </w:r>
          </w:p>
        </w:tc>
        <w:tc>
          <w:tcPr>
            <w:tcW w:w="1402" w:type="pct"/>
            <w:vAlign w:val="center"/>
          </w:tcPr>
          <w:p>
            <w:pPr>
              <w:spacing w:line="240" w:lineRule="auto"/>
              <w:ind w:firstLine="0" w:firstLineChars="0"/>
              <w:jc w:val="both"/>
              <w:rPr>
                <w:rFonts w:ascii="宋体" w:hAnsi="宋体" w:cs="宋体"/>
                <w:sz w:val="21"/>
                <w:szCs w:val="21"/>
              </w:rPr>
            </w:pPr>
            <w:r>
              <w:rPr>
                <w:rFonts w:hint="eastAsia" w:ascii="宋体" w:hAnsi="宋体" w:cs="宋体"/>
                <w:sz w:val="21"/>
                <w:szCs w:val="21"/>
              </w:rPr>
              <w:t>《工业企业总平面设计规范》（GB50187－2012）3.0.10</w:t>
            </w:r>
          </w:p>
        </w:tc>
        <w:tc>
          <w:tcPr>
            <w:tcW w:w="1238" w:type="pct"/>
            <w:vAlign w:val="center"/>
          </w:tcPr>
          <w:p>
            <w:pPr>
              <w:spacing w:line="240" w:lineRule="auto"/>
              <w:ind w:firstLine="0" w:firstLineChars="0"/>
              <w:jc w:val="both"/>
              <w:rPr>
                <w:rFonts w:ascii="宋体" w:hAnsi="宋体" w:cs="宋体"/>
                <w:sz w:val="21"/>
                <w:szCs w:val="21"/>
              </w:rPr>
            </w:pPr>
            <w:r>
              <w:rPr>
                <w:rFonts w:hint="eastAsia" w:ascii="宋体" w:hAnsi="宋体" w:cs="宋体"/>
                <w:color w:val="000000"/>
                <w:sz w:val="21"/>
                <w:szCs w:val="21"/>
              </w:rPr>
              <w:t>厂址满足适宜的地形坡度，避开自然地形复杂、自然坡度大的地段，没有将盆地、积水洼地作为厂址。</w:t>
            </w:r>
          </w:p>
        </w:tc>
        <w:tc>
          <w:tcPr>
            <w:tcW w:w="544" w:type="pct"/>
            <w:vAlign w:val="center"/>
          </w:tcPr>
          <w:p>
            <w:pPr>
              <w:spacing w:line="240" w:lineRule="auto"/>
              <w:ind w:firstLine="0" w:firstLineChars="0"/>
              <w:jc w:val="center"/>
              <w:rPr>
                <w:rFonts w:ascii="宋体" w:hAnsi="宋体" w:cs="宋体"/>
                <w:snapToGrid w:val="0"/>
                <w:sz w:val="21"/>
                <w:szCs w:val="21"/>
              </w:rPr>
            </w:pPr>
            <w:r>
              <w:rPr>
                <w:rFonts w:hint="eastAsia" w:ascii="宋体" w:hAnsi="宋体" w:cs="宋体"/>
                <w:snapToGrid w:val="0"/>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474" w:type="pct"/>
            <w:vAlign w:val="center"/>
          </w:tcPr>
          <w:p>
            <w:pPr>
              <w:numPr>
                <w:ilvl w:val="0"/>
                <w:numId w:val="56"/>
              </w:numPr>
              <w:snapToGrid w:val="0"/>
              <w:spacing w:before="156" w:beforeLines="50" w:line="240" w:lineRule="auto"/>
              <w:ind w:left="0" w:firstLine="420"/>
              <w:jc w:val="center"/>
              <w:rPr>
                <w:sz w:val="21"/>
                <w:szCs w:val="21"/>
              </w:rPr>
            </w:pPr>
          </w:p>
        </w:tc>
        <w:tc>
          <w:tcPr>
            <w:tcW w:w="1339" w:type="pct"/>
            <w:vAlign w:val="center"/>
          </w:tcPr>
          <w:p>
            <w:pPr>
              <w:spacing w:line="240" w:lineRule="auto"/>
              <w:ind w:firstLine="0" w:firstLineChars="0"/>
              <w:jc w:val="both"/>
              <w:rPr>
                <w:rFonts w:ascii="宋体" w:hAnsi="宋体" w:cs="宋体"/>
                <w:sz w:val="21"/>
                <w:szCs w:val="21"/>
              </w:rPr>
            </w:pPr>
            <w:r>
              <w:rPr>
                <w:rFonts w:hint="eastAsia" w:ascii="宋体" w:hAnsi="宋体" w:cs="宋体"/>
                <w:color w:val="000000"/>
                <w:sz w:val="21"/>
                <w:szCs w:val="21"/>
              </w:rPr>
              <w:t>厂址应有利于同邻近工业企业和依托城镇在生产、交通运输、动力</w:t>
            </w:r>
            <w:r>
              <w:rPr>
                <w:rFonts w:hint="eastAsia" w:ascii="宋体" w:hAnsi="宋体" w:cs="宋体"/>
                <w:color w:val="000000"/>
                <w:sz w:val="21"/>
                <w:szCs w:val="21"/>
                <w:lang w:eastAsia="zh-CN"/>
              </w:rPr>
              <w:t>公用</w:t>
            </w:r>
            <w:r>
              <w:rPr>
                <w:rFonts w:hint="eastAsia" w:ascii="宋体" w:hAnsi="宋体" w:cs="宋体"/>
                <w:color w:val="000000"/>
                <w:sz w:val="21"/>
                <w:szCs w:val="21"/>
              </w:rPr>
              <w:t>、机修和器材供应、综合利用、发展循环经济和生活设施等方面的协作。</w:t>
            </w:r>
          </w:p>
        </w:tc>
        <w:tc>
          <w:tcPr>
            <w:tcW w:w="1402"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《工业企业总平面设计规范》（GB50187－2012）3.0.11</w:t>
            </w:r>
          </w:p>
        </w:tc>
        <w:tc>
          <w:tcPr>
            <w:tcW w:w="1238" w:type="pct"/>
            <w:vAlign w:val="center"/>
          </w:tcPr>
          <w:p>
            <w:pPr>
              <w:spacing w:line="240" w:lineRule="auto"/>
              <w:ind w:firstLine="0" w:firstLineChars="0"/>
              <w:jc w:val="both"/>
              <w:rPr>
                <w:rFonts w:ascii="宋体" w:hAnsi="宋体" w:cs="宋体"/>
                <w:sz w:val="21"/>
                <w:szCs w:val="21"/>
              </w:rPr>
            </w:pPr>
            <w:r>
              <w:rPr>
                <w:rFonts w:hint="eastAsia" w:ascii="宋体" w:hAnsi="宋体" w:cs="宋体"/>
                <w:color w:val="000000"/>
                <w:sz w:val="21"/>
                <w:szCs w:val="21"/>
              </w:rPr>
              <w:t>厂址在工业园区内，有利于同邻近工业企业和依托城镇在生产、交通运输、动力公用、机修和器材供应、综合利用、发展循环经济和生活设施等方面的协作。</w:t>
            </w:r>
          </w:p>
        </w:tc>
        <w:tc>
          <w:tcPr>
            <w:tcW w:w="544" w:type="pct"/>
            <w:vAlign w:val="center"/>
          </w:tcPr>
          <w:p>
            <w:pPr>
              <w:spacing w:line="240" w:lineRule="auto"/>
              <w:ind w:firstLine="0" w:firstLineChars="0"/>
              <w:jc w:val="center"/>
              <w:rPr>
                <w:rFonts w:ascii="宋体" w:hAnsi="宋体" w:cs="宋体"/>
                <w:snapToGrid w:val="0"/>
                <w:sz w:val="21"/>
                <w:szCs w:val="21"/>
              </w:rPr>
            </w:pPr>
            <w:r>
              <w:rPr>
                <w:rFonts w:hint="eastAsia" w:ascii="宋体" w:hAnsi="宋体" w:cs="宋体"/>
                <w:snapToGrid w:val="0"/>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474" w:type="pct"/>
            <w:vAlign w:val="center"/>
          </w:tcPr>
          <w:p>
            <w:pPr>
              <w:numPr>
                <w:ilvl w:val="0"/>
                <w:numId w:val="56"/>
              </w:numPr>
              <w:snapToGrid w:val="0"/>
              <w:spacing w:before="156" w:beforeLines="50" w:line="240" w:lineRule="auto"/>
              <w:ind w:left="0" w:firstLine="420"/>
              <w:jc w:val="center"/>
              <w:rPr>
                <w:sz w:val="21"/>
                <w:szCs w:val="21"/>
              </w:rPr>
            </w:pPr>
          </w:p>
        </w:tc>
        <w:tc>
          <w:tcPr>
            <w:tcW w:w="1339" w:type="pct"/>
            <w:vAlign w:val="center"/>
          </w:tcPr>
          <w:p>
            <w:pPr>
              <w:spacing w:line="240" w:lineRule="auto"/>
              <w:ind w:firstLine="0" w:firstLineChars="0"/>
              <w:jc w:val="both"/>
              <w:rPr>
                <w:rFonts w:ascii="宋体" w:hAnsi="宋体" w:cs="宋体"/>
                <w:sz w:val="21"/>
                <w:szCs w:val="21"/>
              </w:rPr>
            </w:pPr>
            <w:r>
              <w:rPr>
                <w:rFonts w:hint="eastAsia" w:ascii="宋体" w:hAnsi="宋体" w:cs="宋体"/>
                <w:sz w:val="21"/>
                <w:szCs w:val="21"/>
              </w:rPr>
              <w:t>厂址应位于不受洪水、潮水或内涝威胁的地带。</w:t>
            </w:r>
          </w:p>
        </w:tc>
        <w:tc>
          <w:tcPr>
            <w:tcW w:w="1402"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《工业企业总平面设计规范》（GB50187－2012）3.0.12</w:t>
            </w:r>
          </w:p>
        </w:tc>
        <w:tc>
          <w:tcPr>
            <w:tcW w:w="1238" w:type="pct"/>
            <w:vAlign w:val="center"/>
          </w:tcPr>
          <w:p>
            <w:pPr>
              <w:spacing w:line="240" w:lineRule="auto"/>
              <w:ind w:firstLine="0" w:firstLineChars="0"/>
              <w:jc w:val="both"/>
              <w:rPr>
                <w:rFonts w:ascii="宋体" w:hAnsi="宋体" w:cs="宋体"/>
                <w:sz w:val="21"/>
                <w:szCs w:val="21"/>
              </w:rPr>
            </w:pPr>
            <w:r>
              <w:rPr>
                <w:rFonts w:hint="eastAsia" w:ascii="宋体" w:hAnsi="宋体" w:cs="宋体"/>
                <w:sz w:val="21"/>
                <w:szCs w:val="21"/>
              </w:rPr>
              <w:t>厂址位于不受洪水、潮水或内涝威胁的地带。</w:t>
            </w:r>
          </w:p>
        </w:tc>
        <w:tc>
          <w:tcPr>
            <w:tcW w:w="544" w:type="pct"/>
            <w:vAlign w:val="center"/>
          </w:tcPr>
          <w:p>
            <w:pPr>
              <w:spacing w:line="240" w:lineRule="auto"/>
              <w:ind w:firstLine="0" w:firstLineChars="0"/>
              <w:jc w:val="center"/>
              <w:rPr>
                <w:rFonts w:ascii="宋体" w:hAnsi="宋体" w:cs="宋体"/>
                <w:snapToGrid w:val="0"/>
                <w:sz w:val="21"/>
                <w:szCs w:val="21"/>
              </w:rPr>
            </w:pPr>
            <w:r>
              <w:rPr>
                <w:rFonts w:hint="eastAsia" w:ascii="宋体" w:hAnsi="宋体" w:cs="宋体"/>
                <w:snapToGrid w:val="0"/>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474" w:type="pct"/>
            <w:vAlign w:val="center"/>
          </w:tcPr>
          <w:p>
            <w:pPr>
              <w:numPr>
                <w:ilvl w:val="0"/>
                <w:numId w:val="56"/>
              </w:numPr>
              <w:snapToGrid w:val="0"/>
              <w:spacing w:before="156" w:beforeLines="50" w:line="240" w:lineRule="auto"/>
              <w:ind w:left="0" w:firstLine="420"/>
              <w:jc w:val="center"/>
              <w:rPr>
                <w:sz w:val="21"/>
                <w:szCs w:val="21"/>
              </w:rPr>
            </w:pPr>
          </w:p>
        </w:tc>
        <w:tc>
          <w:tcPr>
            <w:tcW w:w="1339" w:type="pct"/>
            <w:vAlign w:val="center"/>
          </w:tcPr>
          <w:p>
            <w:pPr>
              <w:spacing w:line="240" w:lineRule="auto"/>
              <w:ind w:firstLine="0" w:firstLineChars="0"/>
              <w:jc w:val="center"/>
              <w:rPr>
                <w:rFonts w:ascii="宋体" w:hAnsi="宋体" w:cs="宋体"/>
                <w:sz w:val="21"/>
                <w:szCs w:val="21"/>
              </w:rPr>
            </w:pPr>
            <w:r>
              <w:rPr>
                <w:rFonts w:hint="eastAsia" w:ascii="宋体" w:hAnsi="宋体" w:cs="宋体"/>
                <w:bCs/>
                <w:color w:val="000000"/>
                <w:sz w:val="21"/>
                <w:szCs w:val="21"/>
              </w:rPr>
              <w:t>山区建厂，当厂址位于山坡或山脚处时，应采取防止山洪、泥石流等自然灾害的危害的加固措施，应对山坡的稳定性等作出地质灾害的危险性评估报告。</w:t>
            </w:r>
          </w:p>
        </w:tc>
        <w:tc>
          <w:tcPr>
            <w:tcW w:w="1402"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《工业企业总平面设计规范》（GB50187－2012）3.0.13</w:t>
            </w:r>
          </w:p>
        </w:tc>
        <w:tc>
          <w:tcPr>
            <w:tcW w:w="1238" w:type="pct"/>
            <w:vAlign w:val="center"/>
          </w:tcPr>
          <w:p>
            <w:pPr>
              <w:spacing w:line="240" w:lineRule="auto"/>
              <w:ind w:firstLine="0" w:firstLineChars="0"/>
              <w:jc w:val="both"/>
              <w:rPr>
                <w:rFonts w:ascii="宋体" w:hAnsi="宋体" w:cs="宋体"/>
                <w:sz w:val="21"/>
                <w:szCs w:val="21"/>
              </w:rPr>
            </w:pPr>
            <w:r>
              <w:rPr>
                <w:rFonts w:hint="eastAsia" w:ascii="宋体" w:hAnsi="宋体" w:cs="宋体"/>
                <w:bCs/>
                <w:color w:val="000000"/>
                <w:sz w:val="21"/>
                <w:szCs w:val="21"/>
              </w:rPr>
              <w:t>山区建厂，厂址不位于山坡或山脚处。</w:t>
            </w:r>
          </w:p>
        </w:tc>
        <w:tc>
          <w:tcPr>
            <w:tcW w:w="544" w:type="pct"/>
            <w:vAlign w:val="center"/>
          </w:tcPr>
          <w:p>
            <w:pPr>
              <w:spacing w:line="240" w:lineRule="auto"/>
              <w:ind w:firstLine="0" w:firstLineChars="0"/>
              <w:jc w:val="center"/>
              <w:rPr>
                <w:rFonts w:ascii="宋体" w:hAnsi="宋体" w:cs="宋体"/>
                <w:snapToGrid w:val="0"/>
                <w:sz w:val="21"/>
                <w:szCs w:val="21"/>
              </w:rPr>
            </w:pPr>
          </w:p>
          <w:p>
            <w:pPr>
              <w:spacing w:line="240" w:lineRule="auto"/>
              <w:ind w:firstLine="0" w:firstLineChars="0"/>
              <w:jc w:val="center"/>
              <w:rPr>
                <w:rFonts w:ascii="宋体" w:hAnsi="宋体" w:cs="宋体"/>
                <w:snapToGrid w:val="0"/>
                <w:sz w:val="21"/>
                <w:szCs w:val="21"/>
              </w:rPr>
            </w:pPr>
          </w:p>
          <w:p>
            <w:pPr>
              <w:spacing w:line="240" w:lineRule="auto"/>
              <w:ind w:firstLine="0" w:firstLineChars="0"/>
              <w:jc w:val="center"/>
              <w:rPr>
                <w:rFonts w:ascii="宋体" w:hAnsi="宋体" w:cs="宋体"/>
                <w:snapToGrid w:val="0"/>
                <w:sz w:val="21"/>
                <w:szCs w:val="21"/>
              </w:rPr>
            </w:pPr>
            <w:r>
              <w:rPr>
                <w:rFonts w:hint="eastAsia" w:ascii="宋体" w:hAnsi="宋体" w:cs="宋体"/>
                <w:snapToGrid w:val="0"/>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474" w:type="pct"/>
            <w:vAlign w:val="center"/>
          </w:tcPr>
          <w:p>
            <w:pPr>
              <w:numPr>
                <w:ilvl w:val="0"/>
                <w:numId w:val="56"/>
              </w:numPr>
              <w:snapToGrid w:val="0"/>
              <w:spacing w:before="156" w:beforeLines="50" w:line="240" w:lineRule="auto"/>
              <w:ind w:left="0" w:firstLine="420"/>
              <w:jc w:val="center"/>
              <w:rPr>
                <w:sz w:val="21"/>
                <w:szCs w:val="21"/>
              </w:rPr>
            </w:pPr>
          </w:p>
        </w:tc>
        <w:tc>
          <w:tcPr>
            <w:tcW w:w="1339" w:type="pct"/>
            <w:vAlign w:val="center"/>
          </w:tcPr>
          <w:p>
            <w:pPr>
              <w:spacing w:line="240" w:lineRule="auto"/>
              <w:ind w:firstLine="0" w:firstLineChars="0"/>
              <w:jc w:val="both"/>
              <w:rPr>
                <w:rFonts w:ascii="宋体" w:hAnsi="宋体" w:cs="宋体"/>
                <w:b/>
                <w:bCs/>
                <w:sz w:val="21"/>
                <w:szCs w:val="21"/>
              </w:rPr>
            </w:pPr>
            <w:r>
              <w:rPr>
                <w:rFonts w:hint="eastAsia" w:ascii="宋体" w:hAnsi="宋体" w:cs="宋体"/>
                <w:sz w:val="21"/>
                <w:szCs w:val="21"/>
              </w:rPr>
              <w:t>下列地段和地区不应选为厂址：1发震断层和抗震设防烈度为9度及高于9度的地震区；2 有泥石流、滑坡、流沙、溶洞等直接危害的地段；3采矿陷落（错动）区地表界限内； 4 爆破危险界限内；5 坝或堤决溃后可能淹没的地区；6 有严重放射性物质污染影响区；7 生活居住区、文教区、水源保护区、名胜古迹、风景游览区、温泉、疗养区、自然保护区和其它需要特别保护的区域；8 对飞机起落、电台通讯、电视转播、雷达导航和重要的天文、气象、地震观察以及军事设施等规定有影响的范围内；  9 很严重的自重湿陷性黄土地段， 厚度大的新近堆积黄土地段和高压缩性的饱和黄土地段等地质条件恶劣地段；10 具有开采价值的矿藏区；11 受海啸或湖涌危害的地区。</w:t>
            </w:r>
          </w:p>
        </w:tc>
        <w:tc>
          <w:tcPr>
            <w:tcW w:w="1402"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《工业企业总平面设计规范》（GB50187－2012）3.0.14</w:t>
            </w:r>
          </w:p>
        </w:tc>
        <w:tc>
          <w:tcPr>
            <w:tcW w:w="1238" w:type="pct"/>
            <w:vAlign w:val="center"/>
          </w:tcPr>
          <w:p>
            <w:pPr>
              <w:spacing w:line="240" w:lineRule="auto"/>
              <w:ind w:firstLine="0" w:firstLineChars="0"/>
              <w:jc w:val="both"/>
              <w:rPr>
                <w:rFonts w:ascii="宋体" w:hAnsi="宋体" w:cs="宋体"/>
                <w:b/>
                <w:bCs/>
                <w:sz w:val="21"/>
                <w:szCs w:val="21"/>
              </w:rPr>
            </w:pPr>
            <w:r>
              <w:rPr>
                <w:rFonts w:hint="eastAsia" w:ascii="宋体" w:hAnsi="宋体" w:cs="宋体"/>
                <w:sz w:val="21"/>
                <w:szCs w:val="21"/>
              </w:rPr>
              <w:t>规范所列地段和地区没有选为厂址。</w:t>
            </w:r>
          </w:p>
        </w:tc>
        <w:tc>
          <w:tcPr>
            <w:tcW w:w="544" w:type="pct"/>
            <w:vAlign w:val="center"/>
          </w:tcPr>
          <w:p>
            <w:pPr>
              <w:spacing w:line="240" w:lineRule="auto"/>
              <w:ind w:firstLine="0" w:firstLineChars="0"/>
              <w:jc w:val="center"/>
              <w:rPr>
                <w:rFonts w:ascii="宋体" w:hAnsi="宋体" w:cs="宋体"/>
                <w:snapToGrid w:val="0"/>
                <w:sz w:val="21"/>
                <w:szCs w:val="21"/>
              </w:rPr>
            </w:pPr>
            <w:r>
              <w:rPr>
                <w:rFonts w:hint="eastAsia" w:ascii="宋体" w:hAnsi="宋体" w:cs="宋体"/>
                <w:snapToGrid w:val="0"/>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474" w:type="pct"/>
            <w:vAlign w:val="center"/>
          </w:tcPr>
          <w:p>
            <w:pPr>
              <w:numPr>
                <w:ilvl w:val="0"/>
                <w:numId w:val="56"/>
              </w:numPr>
              <w:snapToGrid w:val="0"/>
              <w:spacing w:before="156" w:beforeLines="50" w:line="240" w:lineRule="auto"/>
              <w:ind w:left="0" w:firstLine="420"/>
              <w:jc w:val="center"/>
              <w:rPr>
                <w:sz w:val="21"/>
                <w:szCs w:val="21"/>
              </w:rPr>
            </w:pPr>
          </w:p>
        </w:tc>
        <w:tc>
          <w:tcPr>
            <w:tcW w:w="1339" w:type="pct"/>
            <w:vAlign w:val="center"/>
          </w:tcPr>
          <w:p>
            <w:pPr>
              <w:spacing w:line="240" w:lineRule="auto"/>
              <w:ind w:firstLine="0" w:firstLineChars="0"/>
              <w:jc w:val="both"/>
              <w:rPr>
                <w:rFonts w:ascii="宋体" w:hAnsi="宋体" w:cs="宋体"/>
                <w:sz w:val="21"/>
                <w:szCs w:val="21"/>
              </w:rPr>
            </w:pPr>
            <w:r>
              <w:rPr>
                <w:rFonts w:hint="eastAsia" w:ascii="宋体" w:hAnsi="宋体" w:cs="宋体"/>
                <w:color w:val="000000"/>
                <w:sz w:val="21"/>
                <w:szCs w:val="21"/>
              </w:rPr>
              <w:t>工业企业总体规划，应结合工业企业所在区域的技术经济、自然条件等进行编制，并应满足生产、运输、防震、防洪、防火、安全、卫生、环境保护、发展循环经济和职工生活的需要，应经多方案技术经济比较后，择优确定。</w:t>
            </w:r>
          </w:p>
        </w:tc>
        <w:tc>
          <w:tcPr>
            <w:tcW w:w="1402"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《工业企业总平面设计规范》（GB50187－2012）4.1.1</w:t>
            </w:r>
          </w:p>
        </w:tc>
        <w:tc>
          <w:tcPr>
            <w:tcW w:w="1238" w:type="pct"/>
            <w:vAlign w:val="center"/>
          </w:tcPr>
          <w:p>
            <w:pPr>
              <w:spacing w:line="240" w:lineRule="auto"/>
              <w:ind w:firstLine="0" w:firstLineChars="0"/>
              <w:jc w:val="both"/>
              <w:rPr>
                <w:rFonts w:ascii="宋体" w:hAnsi="宋体" w:cs="宋体"/>
                <w:sz w:val="21"/>
                <w:szCs w:val="21"/>
              </w:rPr>
            </w:pPr>
            <w:r>
              <w:rPr>
                <w:rFonts w:hint="eastAsia" w:ascii="宋体" w:hAnsi="宋体" w:cs="宋体"/>
                <w:color w:val="000000"/>
                <w:sz w:val="21"/>
                <w:szCs w:val="21"/>
              </w:rPr>
              <w:t>工业企业总体规划，结合工业企业所在区域的技术经济、自然条件等进行编制，并满足生产、运输、防震、防洪、防火、安全、卫生、环境保护、发展循环经济和职工生活的需要，经多方案技术经济比较后，择优确定。</w:t>
            </w:r>
          </w:p>
        </w:tc>
        <w:tc>
          <w:tcPr>
            <w:tcW w:w="544" w:type="pct"/>
            <w:vAlign w:val="center"/>
          </w:tcPr>
          <w:p>
            <w:pPr>
              <w:spacing w:line="240" w:lineRule="auto"/>
              <w:ind w:firstLine="0" w:firstLineChars="0"/>
              <w:jc w:val="center"/>
              <w:rPr>
                <w:rFonts w:ascii="宋体" w:hAnsi="宋体" w:cs="宋体"/>
                <w:snapToGrid w:val="0"/>
                <w:sz w:val="21"/>
                <w:szCs w:val="21"/>
              </w:rPr>
            </w:pPr>
            <w:r>
              <w:rPr>
                <w:rFonts w:hint="eastAsia" w:ascii="宋体" w:hAnsi="宋体" w:cs="宋体"/>
                <w:snapToGrid w:val="0"/>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474" w:type="pct"/>
            <w:vAlign w:val="center"/>
          </w:tcPr>
          <w:p>
            <w:pPr>
              <w:numPr>
                <w:ilvl w:val="0"/>
                <w:numId w:val="56"/>
              </w:numPr>
              <w:snapToGrid w:val="0"/>
              <w:spacing w:before="156" w:beforeLines="50" w:line="240" w:lineRule="auto"/>
              <w:ind w:left="0" w:firstLine="420"/>
              <w:jc w:val="center"/>
              <w:rPr>
                <w:sz w:val="21"/>
                <w:szCs w:val="21"/>
              </w:rPr>
            </w:pPr>
          </w:p>
        </w:tc>
        <w:tc>
          <w:tcPr>
            <w:tcW w:w="1339" w:type="pct"/>
            <w:vAlign w:val="center"/>
          </w:tcPr>
          <w:p>
            <w:pPr>
              <w:spacing w:line="240" w:lineRule="auto"/>
              <w:ind w:firstLine="0" w:firstLineChars="0"/>
              <w:jc w:val="both"/>
              <w:rPr>
                <w:rFonts w:ascii="宋体" w:hAnsi="宋体" w:cs="宋体"/>
                <w:sz w:val="21"/>
                <w:szCs w:val="21"/>
              </w:rPr>
            </w:pPr>
            <w:r>
              <w:rPr>
                <w:rFonts w:hint="eastAsia" w:ascii="宋体" w:hAnsi="宋体" w:cs="宋体"/>
                <w:color w:val="000000"/>
                <w:sz w:val="21"/>
                <w:szCs w:val="21"/>
              </w:rPr>
              <w:t>产生有害气体、烟、雾、粉尘等有害物质的工业企业与居住区之间，应按现行国家标准《制定地方大气污染物排放标准的技术方法》GB/T 3840和有关工业企业设计卫生标准的规定，设置卫生防护距离，并应符合规定。</w:t>
            </w:r>
          </w:p>
        </w:tc>
        <w:tc>
          <w:tcPr>
            <w:tcW w:w="1402"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《工业企业总平面设计规范》（GB50187－2012）4.2.1）</w:t>
            </w:r>
          </w:p>
        </w:tc>
        <w:tc>
          <w:tcPr>
            <w:tcW w:w="1238" w:type="pct"/>
            <w:vAlign w:val="center"/>
          </w:tcPr>
          <w:p>
            <w:pPr>
              <w:spacing w:line="240" w:lineRule="auto"/>
              <w:ind w:firstLine="0" w:firstLineChars="0"/>
              <w:jc w:val="center"/>
              <w:rPr>
                <w:rFonts w:ascii="宋体" w:hAnsi="宋体" w:cs="宋体"/>
                <w:sz w:val="21"/>
                <w:szCs w:val="21"/>
              </w:rPr>
            </w:pPr>
            <w:r>
              <w:rPr>
                <w:rFonts w:hint="eastAsia" w:ascii="宋体" w:hAnsi="宋体" w:cs="宋体"/>
                <w:color w:val="000000"/>
                <w:sz w:val="21"/>
                <w:szCs w:val="21"/>
              </w:rPr>
              <w:t>按现行国家标准《制定地方大气污染物排放标准的技术方法》GB/T 3840和有关工业企业设计卫生标准的规定，设置卫生防护距离，并符合规定。</w:t>
            </w:r>
          </w:p>
        </w:tc>
        <w:tc>
          <w:tcPr>
            <w:tcW w:w="544" w:type="pct"/>
            <w:vAlign w:val="center"/>
          </w:tcPr>
          <w:p>
            <w:pPr>
              <w:spacing w:line="240" w:lineRule="auto"/>
              <w:ind w:firstLine="0" w:firstLineChars="0"/>
              <w:jc w:val="center"/>
              <w:rPr>
                <w:rFonts w:ascii="宋体" w:hAnsi="宋体" w:cs="宋体"/>
                <w:snapToGrid w:val="0"/>
                <w:sz w:val="21"/>
                <w:szCs w:val="21"/>
              </w:rPr>
            </w:pPr>
            <w:r>
              <w:rPr>
                <w:rFonts w:hint="eastAsia" w:ascii="宋体" w:hAnsi="宋体" w:cs="宋体"/>
                <w:snapToGrid w:val="0"/>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474" w:type="pct"/>
            <w:vAlign w:val="center"/>
          </w:tcPr>
          <w:p>
            <w:pPr>
              <w:numPr>
                <w:ilvl w:val="0"/>
                <w:numId w:val="56"/>
              </w:numPr>
              <w:snapToGrid w:val="0"/>
              <w:spacing w:before="156" w:beforeLines="50" w:line="240" w:lineRule="auto"/>
              <w:ind w:left="0" w:firstLine="420"/>
              <w:jc w:val="center"/>
              <w:rPr>
                <w:sz w:val="21"/>
                <w:szCs w:val="21"/>
              </w:rPr>
            </w:pPr>
          </w:p>
        </w:tc>
        <w:tc>
          <w:tcPr>
            <w:tcW w:w="1339" w:type="pct"/>
            <w:vAlign w:val="center"/>
          </w:tcPr>
          <w:p>
            <w:pPr>
              <w:spacing w:line="240" w:lineRule="auto"/>
              <w:ind w:firstLine="0" w:firstLineChars="0"/>
              <w:jc w:val="both"/>
              <w:rPr>
                <w:rFonts w:ascii="宋体" w:hAnsi="宋体" w:cs="宋体"/>
                <w:sz w:val="21"/>
                <w:szCs w:val="21"/>
              </w:rPr>
            </w:pPr>
            <w:r>
              <w:rPr>
                <w:rFonts w:hint="eastAsia" w:ascii="宋体" w:hAnsi="宋体" w:cs="宋体"/>
                <w:color w:val="000000"/>
                <w:sz w:val="21"/>
                <w:szCs w:val="21"/>
              </w:rPr>
              <w:t>产生高噪声的工业企业，总体规划应符合现行国家标准《声环境质量标准》GB 3096、《工业企业噪声控制设计规范》GB J87和《工业企业厂界环境噪声排放标准》GB 12348的有关规定。</w:t>
            </w:r>
          </w:p>
        </w:tc>
        <w:tc>
          <w:tcPr>
            <w:tcW w:w="1402"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《工业企业总平面设计规范》（GB50187－2012）4.2.4</w:t>
            </w:r>
          </w:p>
        </w:tc>
        <w:tc>
          <w:tcPr>
            <w:tcW w:w="1238" w:type="pct"/>
            <w:vAlign w:val="center"/>
          </w:tcPr>
          <w:p>
            <w:pPr>
              <w:spacing w:line="240" w:lineRule="auto"/>
              <w:ind w:firstLine="0" w:firstLineChars="0"/>
              <w:jc w:val="both"/>
              <w:rPr>
                <w:rFonts w:ascii="宋体" w:hAnsi="宋体" w:cs="宋体"/>
                <w:sz w:val="21"/>
                <w:szCs w:val="21"/>
              </w:rPr>
            </w:pPr>
            <w:r>
              <w:rPr>
                <w:rFonts w:hint="eastAsia" w:ascii="宋体" w:hAnsi="宋体" w:cs="宋体"/>
                <w:color w:val="000000"/>
                <w:sz w:val="21"/>
                <w:szCs w:val="21"/>
              </w:rPr>
              <w:t>总体规划符合现行国家标准《声环境质量标准》GB 3096、《工业企业噪声控制设计规范》GB/T 50087-2013和《工业企业厂界环境噪声排放标准》GB 12348的有关规定。</w:t>
            </w:r>
          </w:p>
        </w:tc>
        <w:tc>
          <w:tcPr>
            <w:tcW w:w="544" w:type="pct"/>
            <w:vAlign w:val="center"/>
          </w:tcPr>
          <w:p>
            <w:pPr>
              <w:spacing w:line="240" w:lineRule="auto"/>
              <w:ind w:firstLine="0" w:firstLineChars="0"/>
              <w:jc w:val="center"/>
              <w:rPr>
                <w:rFonts w:ascii="宋体" w:hAnsi="宋体" w:cs="宋体"/>
                <w:snapToGrid w:val="0"/>
                <w:sz w:val="21"/>
                <w:szCs w:val="21"/>
              </w:rPr>
            </w:pPr>
            <w:r>
              <w:rPr>
                <w:rFonts w:hint="eastAsia" w:ascii="宋体" w:hAnsi="宋体" w:cs="宋体"/>
                <w:snapToGrid w:val="0"/>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474" w:type="pct"/>
            <w:vAlign w:val="center"/>
          </w:tcPr>
          <w:p>
            <w:pPr>
              <w:numPr>
                <w:ilvl w:val="0"/>
                <w:numId w:val="56"/>
              </w:numPr>
              <w:snapToGrid w:val="0"/>
              <w:spacing w:before="156" w:beforeLines="50" w:line="240" w:lineRule="auto"/>
              <w:ind w:left="0" w:firstLine="420"/>
              <w:jc w:val="center"/>
              <w:rPr>
                <w:sz w:val="21"/>
                <w:szCs w:val="21"/>
              </w:rPr>
            </w:pPr>
          </w:p>
        </w:tc>
        <w:tc>
          <w:tcPr>
            <w:tcW w:w="1339" w:type="pct"/>
            <w:vAlign w:val="center"/>
          </w:tcPr>
          <w:p>
            <w:pPr>
              <w:spacing w:line="240" w:lineRule="auto"/>
              <w:ind w:firstLine="0" w:firstLineChars="0"/>
              <w:jc w:val="both"/>
              <w:rPr>
                <w:rFonts w:ascii="宋体" w:hAnsi="宋体" w:cs="宋体"/>
                <w:sz w:val="21"/>
                <w:szCs w:val="21"/>
              </w:rPr>
            </w:pPr>
            <w:r>
              <w:rPr>
                <w:rFonts w:hint="eastAsia" w:ascii="宋体" w:hAnsi="宋体" w:cs="宋体"/>
                <w:color w:val="000000"/>
                <w:sz w:val="21"/>
                <w:szCs w:val="21"/>
              </w:rPr>
              <w:t>总平面布置，应结合当地气象条件，使建筑物具有良好的朝向、采光和自然通风条件。高温、热加工、有特殊要求和人员较多的建筑物，应避免西晒。</w:t>
            </w:r>
          </w:p>
        </w:tc>
        <w:tc>
          <w:tcPr>
            <w:tcW w:w="1402"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《工业企业总平面设计规范》（GB50187－2012）5.1.6</w:t>
            </w:r>
          </w:p>
        </w:tc>
        <w:tc>
          <w:tcPr>
            <w:tcW w:w="1238" w:type="pct"/>
            <w:vAlign w:val="center"/>
          </w:tcPr>
          <w:p>
            <w:pPr>
              <w:spacing w:line="240" w:lineRule="auto"/>
              <w:ind w:firstLine="0" w:firstLineChars="0"/>
              <w:jc w:val="center"/>
              <w:rPr>
                <w:rFonts w:ascii="宋体" w:hAnsi="宋体" w:cs="宋体"/>
                <w:sz w:val="21"/>
                <w:szCs w:val="21"/>
              </w:rPr>
            </w:pPr>
            <w:r>
              <w:rPr>
                <w:rFonts w:hint="eastAsia" w:ascii="宋体" w:hAnsi="宋体" w:cs="宋体"/>
                <w:color w:val="000000"/>
                <w:sz w:val="21"/>
                <w:szCs w:val="21"/>
              </w:rPr>
              <w:t>总平面布置，结合当地气象条件，建筑物具有良好的朝向、采光和自然通风条件。高温、热加工、有特殊要求和人员较多的建筑物，避免西晒。</w:t>
            </w:r>
          </w:p>
        </w:tc>
        <w:tc>
          <w:tcPr>
            <w:tcW w:w="544" w:type="pct"/>
            <w:vAlign w:val="center"/>
          </w:tcPr>
          <w:p>
            <w:pPr>
              <w:spacing w:line="240" w:lineRule="auto"/>
              <w:ind w:firstLine="0" w:firstLineChars="0"/>
              <w:jc w:val="center"/>
              <w:rPr>
                <w:rFonts w:ascii="宋体" w:hAnsi="宋体" w:cs="宋体"/>
                <w:snapToGrid w:val="0"/>
                <w:sz w:val="21"/>
                <w:szCs w:val="21"/>
              </w:rPr>
            </w:pPr>
            <w:r>
              <w:rPr>
                <w:rFonts w:hint="eastAsia" w:ascii="宋体" w:hAnsi="宋体" w:cs="宋体"/>
                <w:snapToGrid w:val="0"/>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474" w:type="pct"/>
            <w:vAlign w:val="center"/>
          </w:tcPr>
          <w:p>
            <w:pPr>
              <w:numPr>
                <w:ilvl w:val="0"/>
                <w:numId w:val="56"/>
              </w:numPr>
              <w:snapToGrid w:val="0"/>
              <w:spacing w:before="156" w:beforeLines="50" w:line="240" w:lineRule="auto"/>
              <w:ind w:left="0" w:firstLine="420"/>
              <w:jc w:val="center"/>
              <w:rPr>
                <w:sz w:val="21"/>
                <w:szCs w:val="21"/>
              </w:rPr>
            </w:pPr>
          </w:p>
        </w:tc>
        <w:tc>
          <w:tcPr>
            <w:tcW w:w="1339" w:type="pct"/>
            <w:vAlign w:val="center"/>
          </w:tcPr>
          <w:p>
            <w:pPr>
              <w:spacing w:line="240" w:lineRule="auto"/>
              <w:ind w:firstLine="0" w:firstLineChars="0"/>
              <w:jc w:val="both"/>
              <w:rPr>
                <w:rFonts w:ascii="宋体" w:hAnsi="宋体" w:cs="宋体"/>
                <w:color w:val="000000"/>
                <w:sz w:val="21"/>
                <w:szCs w:val="21"/>
              </w:rPr>
            </w:pPr>
            <w:r>
              <w:rPr>
                <w:rFonts w:hint="eastAsia" w:ascii="宋体" w:hAnsi="宋体" w:cs="宋体"/>
                <w:color w:val="000000"/>
                <w:sz w:val="21"/>
                <w:szCs w:val="21"/>
              </w:rPr>
              <w:t>总平面布置应采取防止高温、有害气体、烟、雾、粉尘、强烈振动和高噪声对周围环境和人身安全的危害的安全保障措施，并应符合现行国家有关工业企业卫生设计标准的规定。</w:t>
            </w:r>
          </w:p>
        </w:tc>
        <w:tc>
          <w:tcPr>
            <w:tcW w:w="1402"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《工业企业总平面设计规范》（GB50187－2012）5.1.7</w:t>
            </w:r>
          </w:p>
        </w:tc>
        <w:tc>
          <w:tcPr>
            <w:tcW w:w="1238" w:type="pct"/>
            <w:vAlign w:val="center"/>
          </w:tcPr>
          <w:p>
            <w:pPr>
              <w:spacing w:line="240" w:lineRule="auto"/>
              <w:ind w:firstLine="0" w:firstLineChars="0"/>
              <w:jc w:val="both"/>
              <w:rPr>
                <w:rFonts w:ascii="宋体" w:hAnsi="宋体" w:cs="宋体"/>
                <w:color w:val="000000"/>
                <w:sz w:val="21"/>
                <w:szCs w:val="21"/>
              </w:rPr>
            </w:pPr>
            <w:r>
              <w:rPr>
                <w:rFonts w:hint="eastAsia" w:ascii="宋体" w:hAnsi="宋体" w:cs="宋体"/>
                <w:color w:val="000000"/>
                <w:sz w:val="21"/>
                <w:szCs w:val="21"/>
              </w:rPr>
              <w:t>总平面布置采取防止高温、有害气体、烟、雾、粉尘、强烈振动和高噪声对周围环境和人身安全的危害的安全保障措施，并符合现行国家有关工业企业卫生设计标准的规定。</w:t>
            </w:r>
          </w:p>
        </w:tc>
        <w:tc>
          <w:tcPr>
            <w:tcW w:w="544" w:type="pct"/>
            <w:vAlign w:val="center"/>
          </w:tcPr>
          <w:p>
            <w:pPr>
              <w:spacing w:line="240" w:lineRule="auto"/>
              <w:ind w:firstLine="0" w:firstLineChars="0"/>
              <w:jc w:val="center"/>
              <w:rPr>
                <w:rFonts w:ascii="宋体" w:hAnsi="宋体" w:cs="宋体"/>
                <w:snapToGrid w:val="0"/>
                <w:sz w:val="21"/>
                <w:szCs w:val="21"/>
              </w:rPr>
            </w:pPr>
            <w:r>
              <w:rPr>
                <w:rFonts w:hint="eastAsia" w:ascii="宋体" w:hAnsi="宋体" w:cs="宋体"/>
                <w:snapToGrid w:val="0"/>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474" w:type="pct"/>
            <w:vAlign w:val="center"/>
          </w:tcPr>
          <w:p>
            <w:pPr>
              <w:numPr>
                <w:ilvl w:val="0"/>
                <w:numId w:val="56"/>
              </w:numPr>
              <w:snapToGrid w:val="0"/>
              <w:spacing w:before="156" w:beforeLines="50" w:line="240" w:lineRule="auto"/>
              <w:ind w:left="0" w:firstLine="420"/>
              <w:jc w:val="center"/>
              <w:rPr>
                <w:sz w:val="21"/>
                <w:szCs w:val="21"/>
              </w:rPr>
            </w:pPr>
          </w:p>
        </w:tc>
        <w:tc>
          <w:tcPr>
            <w:tcW w:w="1339" w:type="pct"/>
            <w:vAlign w:val="center"/>
          </w:tcPr>
          <w:p>
            <w:pPr>
              <w:spacing w:line="240" w:lineRule="auto"/>
              <w:ind w:firstLine="0" w:firstLineChars="0"/>
              <w:jc w:val="both"/>
              <w:rPr>
                <w:rFonts w:ascii="宋体" w:hAnsi="宋体" w:cs="宋体"/>
                <w:sz w:val="21"/>
                <w:szCs w:val="21"/>
              </w:rPr>
            </w:pPr>
            <w:r>
              <w:rPr>
                <w:rFonts w:hint="eastAsia" w:ascii="宋体" w:hAnsi="宋体" w:cs="宋体"/>
                <w:color w:val="000000"/>
                <w:sz w:val="21"/>
                <w:szCs w:val="21"/>
              </w:rPr>
              <w:t>工业企业的建筑物、构筑物之间及其与铁路、道路之间的防火间距，以及消防通道的设置，应符合现行国家《建筑设计防火规范》GB50016等有关的规定。</w:t>
            </w:r>
          </w:p>
        </w:tc>
        <w:tc>
          <w:tcPr>
            <w:tcW w:w="1402"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《工业企业总平面设计规范》（GB50187－2012）5.1.10</w:t>
            </w:r>
          </w:p>
        </w:tc>
        <w:tc>
          <w:tcPr>
            <w:tcW w:w="1238" w:type="pct"/>
            <w:vAlign w:val="center"/>
          </w:tcPr>
          <w:p>
            <w:pPr>
              <w:spacing w:line="240" w:lineRule="auto"/>
              <w:ind w:firstLine="0" w:firstLineChars="0"/>
              <w:jc w:val="both"/>
              <w:rPr>
                <w:rFonts w:ascii="宋体" w:hAnsi="宋体" w:cs="宋体"/>
                <w:sz w:val="21"/>
                <w:szCs w:val="21"/>
              </w:rPr>
            </w:pPr>
            <w:r>
              <w:rPr>
                <w:rFonts w:hint="eastAsia" w:ascii="宋体" w:hAnsi="宋体" w:cs="宋体"/>
                <w:color w:val="000000"/>
                <w:sz w:val="21"/>
                <w:szCs w:val="21"/>
              </w:rPr>
              <w:t>工业企业的建筑物、构筑物之间及其与道路之间的防火间距，以及消防通道的设置，执行现行国家《建筑设计防火规范》GB50016等有关的规定。</w:t>
            </w:r>
          </w:p>
        </w:tc>
        <w:tc>
          <w:tcPr>
            <w:tcW w:w="544" w:type="pct"/>
            <w:vAlign w:val="center"/>
          </w:tcPr>
          <w:p>
            <w:pPr>
              <w:spacing w:line="240" w:lineRule="auto"/>
              <w:ind w:firstLine="0" w:firstLineChars="0"/>
              <w:jc w:val="center"/>
              <w:rPr>
                <w:rFonts w:ascii="宋体" w:hAnsi="宋体" w:cs="宋体"/>
                <w:snapToGrid w:val="0"/>
                <w:sz w:val="21"/>
                <w:szCs w:val="21"/>
              </w:rPr>
            </w:pPr>
            <w:r>
              <w:rPr>
                <w:rFonts w:hint="eastAsia" w:ascii="宋体" w:hAnsi="宋体" w:cs="宋体"/>
                <w:snapToGrid w:val="0"/>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474" w:type="pct"/>
            <w:vAlign w:val="center"/>
          </w:tcPr>
          <w:p>
            <w:pPr>
              <w:numPr>
                <w:ilvl w:val="0"/>
                <w:numId w:val="56"/>
              </w:numPr>
              <w:snapToGrid w:val="0"/>
              <w:spacing w:before="156" w:beforeLines="50" w:line="240" w:lineRule="auto"/>
              <w:ind w:left="0" w:firstLine="420"/>
              <w:jc w:val="center"/>
              <w:rPr>
                <w:sz w:val="21"/>
                <w:szCs w:val="21"/>
              </w:rPr>
            </w:pPr>
          </w:p>
        </w:tc>
        <w:tc>
          <w:tcPr>
            <w:tcW w:w="1339" w:type="pct"/>
            <w:vAlign w:val="center"/>
          </w:tcPr>
          <w:p>
            <w:pPr>
              <w:spacing w:line="240" w:lineRule="auto"/>
              <w:ind w:firstLine="0" w:firstLineChars="0"/>
              <w:jc w:val="both"/>
              <w:rPr>
                <w:rFonts w:ascii="宋体" w:hAnsi="宋体" w:cs="宋体"/>
                <w:sz w:val="21"/>
                <w:szCs w:val="21"/>
              </w:rPr>
            </w:pPr>
            <w:r>
              <w:rPr>
                <w:rFonts w:hint="eastAsia" w:ascii="宋体" w:hAnsi="宋体" w:cs="宋体"/>
                <w:sz w:val="21"/>
                <w:szCs w:val="21"/>
              </w:rPr>
              <w:t>厂区出入口的位置和数量，应根据企业的生产规模、总体规划、厂区用地面积及总平面布置等因素综合确定，并应符合下列要求：1 出入口的数量不宜少于 2 个；2 主要人流出入口宜与主要货流出入口分开设置，并应位于厂区主干道通往居住区或城镇的一侧；主要货流出入口应位于主要货流方向，应靠近运输繁忙的仓库、堆场，并应与外部运输线路连接方便；3 铁路出入口，应具备良好的瞭望条件。</w:t>
            </w:r>
          </w:p>
        </w:tc>
        <w:tc>
          <w:tcPr>
            <w:tcW w:w="1402"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《工业企业总平面设计规范》（GB50187－2012）5.7.4</w:t>
            </w:r>
          </w:p>
        </w:tc>
        <w:tc>
          <w:tcPr>
            <w:tcW w:w="1238" w:type="pct"/>
            <w:vAlign w:val="center"/>
          </w:tcPr>
          <w:p>
            <w:pPr>
              <w:spacing w:line="240" w:lineRule="auto"/>
              <w:ind w:firstLine="0" w:firstLineChars="0"/>
              <w:jc w:val="both"/>
              <w:rPr>
                <w:rFonts w:ascii="宋体" w:hAnsi="宋体" w:cs="宋体"/>
                <w:sz w:val="21"/>
                <w:szCs w:val="21"/>
              </w:rPr>
            </w:pPr>
            <w:r>
              <w:rPr>
                <w:rFonts w:hint="eastAsia" w:ascii="宋体" w:hAnsi="宋体" w:cs="宋体"/>
                <w:sz w:val="21"/>
                <w:szCs w:val="21"/>
              </w:rPr>
              <w:t>厂区出入口的位置和数量，符合要求：1 出入口的数量不少于2个(门卫室设人流出入口），厂区大门为物流出入口；2主要人流出入口与主要货流出入口分开设置，并位于厂区主干道通往居住区或城镇的一侧；主要货流出入口位于主要货流方向，靠近运输繁忙的仓库、堆场，并与外部运输线路连接方便；3 无铁路出入口。</w:t>
            </w:r>
          </w:p>
        </w:tc>
        <w:tc>
          <w:tcPr>
            <w:tcW w:w="544" w:type="pct"/>
            <w:vAlign w:val="center"/>
          </w:tcPr>
          <w:p>
            <w:pPr>
              <w:spacing w:line="240" w:lineRule="auto"/>
              <w:ind w:firstLine="0" w:firstLineChars="0"/>
              <w:jc w:val="center"/>
              <w:rPr>
                <w:rFonts w:ascii="宋体" w:hAnsi="宋体" w:cs="宋体"/>
                <w:snapToGrid w:val="0"/>
                <w:sz w:val="21"/>
                <w:szCs w:val="21"/>
              </w:rPr>
            </w:pPr>
            <w:r>
              <w:rPr>
                <w:rFonts w:hint="eastAsia" w:ascii="宋体" w:hAnsi="宋体" w:cs="宋体"/>
                <w:snapToGrid w:val="0"/>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474" w:type="pct"/>
            <w:vAlign w:val="center"/>
          </w:tcPr>
          <w:p>
            <w:pPr>
              <w:numPr>
                <w:ilvl w:val="0"/>
                <w:numId w:val="56"/>
              </w:numPr>
              <w:snapToGrid w:val="0"/>
              <w:spacing w:before="156" w:beforeLines="50" w:line="240" w:lineRule="auto"/>
              <w:ind w:left="0" w:firstLine="420"/>
              <w:jc w:val="center"/>
              <w:rPr>
                <w:sz w:val="21"/>
                <w:szCs w:val="21"/>
              </w:rPr>
            </w:pPr>
          </w:p>
        </w:tc>
        <w:tc>
          <w:tcPr>
            <w:tcW w:w="1339" w:type="pct"/>
            <w:vAlign w:val="center"/>
          </w:tcPr>
          <w:p>
            <w:pPr>
              <w:spacing w:line="240" w:lineRule="auto"/>
              <w:ind w:firstLine="0" w:firstLineChars="0"/>
              <w:jc w:val="both"/>
              <w:rPr>
                <w:rFonts w:ascii="宋体" w:hAnsi="宋体" w:cs="宋体"/>
                <w:sz w:val="21"/>
                <w:szCs w:val="21"/>
              </w:rPr>
            </w:pPr>
            <w:r>
              <w:rPr>
                <w:rFonts w:hint="eastAsia" w:ascii="宋体" w:hAnsi="宋体" w:cs="宋体"/>
                <w:sz w:val="21"/>
                <w:szCs w:val="21"/>
              </w:rPr>
              <w:t>厂区围墙的结构形式和高度应根据企业性质、规模以及周边环境确定。围墙至建筑物、道路、铁路和排水明沟的最小间距应满足建筑物5.0m、道路1.0m、准轨铁路（中心线）5.0m、窄轨铁路（中心线）3.5m、排水沟1.5m的要求。</w:t>
            </w:r>
          </w:p>
        </w:tc>
        <w:tc>
          <w:tcPr>
            <w:tcW w:w="1402"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《工业企业总平面设计规范》（GB50187－2012）5.7.5</w:t>
            </w:r>
          </w:p>
        </w:tc>
        <w:tc>
          <w:tcPr>
            <w:tcW w:w="1238" w:type="pct"/>
            <w:vAlign w:val="center"/>
          </w:tcPr>
          <w:p>
            <w:pPr>
              <w:spacing w:line="240" w:lineRule="auto"/>
              <w:ind w:firstLine="0" w:firstLineChars="0"/>
              <w:jc w:val="both"/>
              <w:rPr>
                <w:rFonts w:ascii="宋体" w:hAnsi="宋体" w:cs="宋体"/>
                <w:sz w:val="21"/>
                <w:szCs w:val="21"/>
              </w:rPr>
            </w:pPr>
            <w:r>
              <w:rPr>
                <w:rFonts w:hint="eastAsia" w:ascii="宋体" w:hAnsi="宋体" w:cs="宋体"/>
                <w:sz w:val="21"/>
                <w:szCs w:val="21"/>
              </w:rPr>
              <w:t>厂区围墙的结构形式和高度符合规定。围墙至建筑物、道路、铁路和排水明沟的最小间距满足建筑物5.0m、道路1.0m、准轨铁路（中心线）5.0m、窄轨铁路（中心线）3.5m、排水沟1.5m的要求。</w:t>
            </w:r>
          </w:p>
        </w:tc>
        <w:tc>
          <w:tcPr>
            <w:tcW w:w="544" w:type="pct"/>
            <w:vAlign w:val="center"/>
          </w:tcPr>
          <w:p>
            <w:pPr>
              <w:spacing w:line="240" w:lineRule="auto"/>
              <w:ind w:firstLine="0" w:firstLineChars="0"/>
              <w:jc w:val="center"/>
              <w:rPr>
                <w:rFonts w:ascii="宋体" w:hAnsi="宋体" w:cs="宋体"/>
                <w:snapToGrid w:val="0"/>
                <w:sz w:val="21"/>
                <w:szCs w:val="21"/>
              </w:rPr>
            </w:pPr>
            <w:r>
              <w:rPr>
                <w:rFonts w:hint="eastAsia" w:ascii="宋体" w:hAnsi="宋体" w:cs="宋体"/>
                <w:snapToGrid w:val="0"/>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474" w:type="pct"/>
            <w:vAlign w:val="center"/>
          </w:tcPr>
          <w:p>
            <w:pPr>
              <w:numPr>
                <w:ilvl w:val="0"/>
                <w:numId w:val="56"/>
              </w:numPr>
              <w:snapToGrid w:val="0"/>
              <w:spacing w:before="156" w:beforeLines="50" w:line="240" w:lineRule="auto"/>
              <w:ind w:left="0" w:firstLine="420"/>
              <w:jc w:val="center"/>
              <w:rPr>
                <w:sz w:val="21"/>
                <w:szCs w:val="21"/>
              </w:rPr>
            </w:pPr>
          </w:p>
        </w:tc>
        <w:tc>
          <w:tcPr>
            <w:tcW w:w="1339" w:type="pct"/>
            <w:vAlign w:val="center"/>
          </w:tcPr>
          <w:p>
            <w:pPr>
              <w:spacing w:line="240" w:lineRule="auto"/>
              <w:ind w:firstLine="0" w:firstLineChars="0"/>
              <w:jc w:val="both"/>
              <w:rPr>
                <w:rFonts w:ascii="宋体" w:hAnsi="宋体" w:cs="宋体"/>
                <w:sz w:val="21"/>
                <w:szCs w:val="21"/>
              </w:rPr>
            </w:pPr>
            <w:r>
              <w:rPr>
                <w:rFonts w:hint="eastAsia" w:ascii="宋体" w:hAnsi="宋体" w:cs="宋体"/>
                <w:sz w:val="21"/>
                <w:szCs w:val="21"/>
              </w:rPr>
              <w:t>员工宿舍严禁设置在厂房内。</w:t>
            </w:r>
          </w:p>
        </w:tc>
        <w:tc>
          <w:tcPr>
            <w:tcW w:w="1402"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《建筑设计防火规范（2018年版）》（GB50016-2014）3.3.5</w:t>
            </w:r>
          </w:p>
        </w:tc>
        <w:tc>
          <w:tcPr>
            <w:tcW w:w="1238" w:type="pct"/>
            <w:vAlign w:val="center"/>
          </w:tcPr>
          <w:p>
            <w:pPr>
              <w:spacing w:line="240" w:lineRule="auto"/>
              <w:ind w:firstLine="0" w:firstLineChars="0"/>
              <w:jc w:val="both"/>
              <w:rPr>
                <w:rFonts w:ascii="宋体" w:hAnsi="宋体" w:cs="宋体"/>
                <w:sz w:val="21"/>
                <w:szCs w:val="21"/>
              </w:rPr>
            </w:pPr>
            <w:r>
              <w:rPr>
                <w:rFonts w:hint="eastAsia" w:ascii="宋体" w:hAnsi="宋体" w:cs="宋体"/>
                <w:sz w:val="21"/>
                <w:szCs w:val="21"/>
              </w:rPr>
              <w:t>员工宿舍没有设置在厂房内。</w:t>
            </w:r>
          </w:p>
        </w:tc>
        <w:tc>
          <w:tcPr>
            <w:tcW w:w="544" w:type="pct"/>
            <w:vAlign w:val="center"/>
          </w:tcPr>
          <w:p>
            <w:pPr>
              <w:spacing w:line="240" w:lineRule="auto"/>
              <w:ind w:firstLine="0" w:firstLineChars="0"/>
              <w:jc w:val="center"/>
              <w:rPr>
                <w:rFonts w:ascii="宋体" w:hAnsi="宋体" w:cs="宋体"/>
                <w:snapToGrid w:val="0"/>
                <w:sz w:val="21"/>
                <w:szCs w:val="21"/>
              </w:rPr>
            </w:pPr>
            <w:r>
              <w:rPr>
                <w:rFonts w:hint="eastAsia" w:ascii="宋体" w:hAnsi="宋体" w:cs="宋体"/>
                <w:snapToGrid w:val="0"/>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474" w:type="pct"/>
            <w:vAlign w:val="center"/>
          </w:tcPr>
          <w:p>
            <w:pPr>
              <w:numPr>
                <w:ilvl w:val="0"/>
                <w:numId w:val="56"/>
              </w:numPr>
              <w:snapToGrid w:val="0"/>
              <w:spacing w:before="156" w:beforeLines="50" w:line="240" w:lineRule="auto"/>
              <w:ind w:left="0" w:firstLine="420"/>
              <w:jc w:val="center"/>
              <w:rPr>
                <w:sz w:val="21"/>
                <w:szCs w:val="21"/>
              </w:rPr>
            </w:pPr>
          </w:p>
        </w:tc>
        <w:tc>
          <w:tcPr>
            <w:tcW w:w="1339" w:type="pct"/>
            <w:vAlign w:val="center"/>
          </w:tcPr>
          <w:p>
            <w:pPr>
              <w:spacing w:line="240" w:lineRule="auto"/>
              <w:ind w:firstLine="0" w:firstLineChars="0"/>
              <w:jc w:val="both"/>
              <w:rPr>
                <w:rFonts w:ascii="宋体" w:hAnsi="宋体" w:cs="宋体"/>
                <w:sz w:val="21"/>
                <w:szCs w:val="21"/>
              </w:rPr>
            </w:pPr>
            <w:r>
              <w:rPr>
                <w:rFonts w:hint="eastAsia" w:ascii="宋体" w:hAnsi="宋体" w:cs="宋体"/>
                <w:sz w:val="21"/>
                <w:szCs w:val="21"/>
              </w:rPr>
              <w:t>员工宿舍严禁设置在仓库内。</w:t>
            </w:r>
          </w:p>
        </w:tc>
        <w:tc>
          <w:tcPr>
            <w:tcW w:w="1402"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《建筑设计防火规范（2018年版）》（GB50016-2014）3.3.9</w:t>
            </w:r>
          </w:p>
        </w:tc>
        <w:tc>
          <w:tcPr>
            <w:tcW w:w="1238" w:type="pct"/>
            <w:vAlign w:val="center"/>
          </w:tcPr>
          <w:p>
            <w:pPr>
              <w:spacing w:line="240" w:lineRule="auto"/>
              <w:ind w:firstLine="0" w:firstLineChars="0"/>
              <w:jc w:val="both"/>
              <w:rPr>
                <w:rFonts w:ascii="宋体" w:hAnsi="宋体" w:cs="宋体"/>
                <w:sz w:val="21"/>
                <w:szCs w:val="21"/>
              </w:rPr>
            </w:pPr>
            <w:r>
              <w:rPr>
                <w:rFonts w:hint="eastAsia" w:ascii="宋体" w:hAnsi="宋体" w:cs="宋体"/>
                <w:sz w:val="21"/>
                <w:szCs w:val="21"/>
              </w:rPr>
              <w:t>员工宿舍没有设置在仓库内。</w:t>
            </w:r>
          </w:p>
        </w:tc>
        <w:tc>
          <w:tcPr>
            <w:tcW w:w="544" w:type="pct"/>
            <w:vAlign w:val="center"/>
          </w:tcPr>
          <w:p>
            <w:pPr>
              <w:spacing w:line="240" w:lineRule="auto"/>
              <w:ind w:firstLine="0" w:firstLineChars="0"/>
              <w:jc w:val="center"/>
              <w:rPr>
                <w:rFonts w:ascii="宋体" w:hAnsi="宋体" w:cs="宋体"/>
                <w:snapToGrid w:val="0"/>
                <w:sz w:val="21"/>
                <w:szCs w:val="21"/>
              </w:rPr>
            </w:pPr>
            <w:r>
              <w:rPr>
                <w:rFonts w:hint="eastAsia" w:ascii="宋体" w:hAnsi="宋体" w:cs="宋体"/>
                <w:snapToGrid w:val="0"/>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474" w:type="pct"/>
            <w:vAlign w:val="center"/>
          </w:tcPr>
          <w:p>
            <w:pPr>
              <w:numPr>
                <w:ilvl w:val="0"/>
                <w:numId w:val="56"/>
              </w:numPr>
              <w:snapToGrid w:val="0"/>
              <w:spacing w:before="156" w:beforeLines="50" w:line="240" w:lineRule="auto"/>
              <w:ind w:left="0" w:firstLine="420"/>
              <w:jc w:val="center"/>
              <w:rPr>
                <w:sz w:val="21"/>
                <w:szCs w:val="21"/>
              </w:rPr>
            </w:pPr>
          </w:p>
        </w:tc>
        <w:tc>
          <w:tcPr>
            <w:tcW w:w="1339" w:type="pct"/>
            <w:vAlign w:val="center"/>
          </w:tcPr>
          <w:p>
            <w:pPr>
              <w:spacing w:line="240" w:lineRule="auto"/>
              <w:ind w:firstLine="0" w:firstLineChars="0"/>
              <w:jc w:val="both"/>
              <w:rPr>
                <w:rFonts w:ascii="宋体" w:hAnsi="宋体" w:cs="宋体"/>
                <w:sz w:val="21"/>
                <w:szCs w:val="21"/>
              </w:rPr>
            </w:pPr>
            <w:r>
              <w:rPr>
                <w:rFonts w:hint="eastAsia" w:ascii="宋体" w:hAnsi="宋体" w:cs="宋体"/>
                <w:sz w:val="21"/>
                <w:szCs w:val="21"/>
              </w:rPr>
              <w:t>除本规范另有规定外，厂房之间及与乙、丙、丁、戊类仓库、民用建筑等的防火间距不应小于表3.4.1 的规定，与甲类仓库的防火间距应符合本规范第 3.5.1条的规定。</w:t>
            </w:r>
          </w:p>
        </w:tc>
        <w:tc>
          <w:tcPr>
            <w:tcW w:w="1402"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《建筑设计防火规范（2018年版）》（GB50016-2014）3.4.1</w:t>
            </w:r>
          </w:p>
        </w:tc>
        <w:tc>
          <w:tcPr>
            <w:tcW w:w="1238" w:type="pct"/>
            <w:vAlign w:val="center"/>
          </w:tcPr>
          <w:p>
            <w:pPr>
              <w:spacing w:line="240" w:lineRule="auto"/>
              <w:ind w:firstLine="0" w:firstLineChars="0"/>
              <w:jc w:val="both"/>
              <w:rPr>
                <w:rFonts w:ascii="宋体" w:hAnsi="宋体" w:cs="宋体"/>
                <w:sz w:val="21"/>
                <w:szCs w:val="21"/>
              </w:rPr>
            </w:pPr>
            <w:r>
              <w:rPr>
                <w:rFonts w:hint="eastAsia" w:ascii="宋体" w:hAnsi="宋体" w:cs="宋体"/>
                <w:sz w:val="21"/>
                <w:szCs w:val="21"/>
              </w:rPr>
              <w:t>厂房之间及与乙、丙、丁、戊类仓库、民用建筑等的防火间距符合表 3.4.1 的规定，与甲类仓库的防火间距符合本规范第 3.5.1条的规定。</w:t>
            </w:r>
          </w:p>
        </w:tc>
        <w:tc>
          <w:tcPr>
            <w:tcW w:w="544" w:type="pct"/>
            <w:vAlign w:val="center"/>
          </w:tcPr>
          <w:p>
            <w:pPr>
              <w:spacing w:line="240" w:lineRule="auto"/>
              <w:ind w:firstLine="0" w:firstLineChars="0"/>
              <w:jc w:val="center"/>
              <w:rPr>
                <w:rFonts w:ascii="宋体" w:hAnsi="宋体" w:cs="宋体"/>
                <w:snapToGrid w:val="0"/>
                <w:sz w:val="21"/>
                <w:szCs w:val="21"/>
              </w:rPr>
            </w:pPr>
            <w:r>
              <w:rPr>
                <w:rFonts w:hint="eastAsia" w:ascii="宋体" w:hAnsi="宋体" w:cs="宋体"/>
                <w:snapToGrid w:val="0"/>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474" w:type="pct"/>
            <w:vAlign w:val="center"/>
          </w:tcPr>
          <w:p>
            <w:pPr>
              <w:numPr>
                <w:ilvl w:val="0"/>
                <w:numId w:val="56"/>
              </w:numPr>
              <w:snapToGrid w:val="0"/>
              <w:spacing w:before="156" w:beforeLines="50" w:line="240" w:lineRule="auto"/>
              <w:ind w:left="0" w:firstLine="420"/>
              <w:jc w:val="center"/>
              <w:rPr>
                <w:sz w:val="21"/>
                <w:szCs w:val="21"/>
              </w:rPr>
            </w:pPr>
          </w:p>
        </w:tc>
        <w:tc>
          <w:tcPr>
            <w:tcW w:w="1339" w:type="pct"/>
            <w:vAlign w:val="center"/>
          </w:tcPr>
          <w:p>
            <w:pPr>
              <w:spacing w:line="240" w:lineRule="auto"/>
              <w:ind w:firstLine="0" w:firstLineChars="0"/>
              <w:jc w:val="both"/>
              <w:rPr>
                <w:rFonts w:ascii="宋体" w:hAnsi="宋体" w:cs="宋体"/>
                <w:sz w:val="21"/>
                <w:szCs w:val="21"/>
              </w:rPr>
            </w:pPr>
            <w:r>
              <w:rPr>
                <w:rFonts w:hint="eastAsia" w:ascii="宋体" w:hAnsi="宋体" w:cs="宋体"/>
                <w:sz w:val="21"/>
                <w:szCs w:val="21"/>
              </w:rPr>
              <w:t>工厂、仓库区内应设置消防车道。高层厂房，占地面积大于3000m</w:t>
            </w:r>
            <w:r>
              <w:rPr>
                <w:rFonts w:hint="eastAsia" w:ascii="宋体" w:hAnsi="宋体" w:cs="宋体"/>
                <w:sz w:val="21"/>
                <w:szCs w:val="21"/>
                <w:vertAlign w:val="superscript"/>
              </w:rPr>
              <w:t>2</w:t>
            </w:r>
            <w:r>
              <w:rPr>
                <w:rFonts w:hint="eastAsia" w:ascii="宋体" w:hAnsi="宋体" w:cs="宋体"/>
                <w:sz w:val="21"/>
                <w:szCs w:val="21"/>
              </w:rPr>
              <w:t>的甲、乙、丙类厂房和占地面积大于1500m</w:t>
            </w:r>
            <w:r>
              <w:rPr>
                <w:rFonts w:hint="eastAsia" w:ascii="宋体" w:hAnsi="宋体" w:cs="宋体"/>
                <w:sz w:val="21"/>
                <w:szCs w:val="21"/>
                <w:vertAlign w:val="superscript"/>
              </w:rPr>
              <w:t>2</w:t>
            </w:r>
            <w:r>
              <w:rPr>
                <w:rFonts w:hint="eastAsia" w:ascii="宋体" w:hAnsi="宋体" w:cs="宋体"/>
                <w:sz w:val="21"/>
                <w:szCs w:val="21"/>
              </w:rPr>
              <w:t>的乙、丙类仓库，应设置环形消防车道，确有困难时，应沿建筑物的两个长边设置消防车道。</w:t>
            </w:r>
          </w:p>
        </w:tc>
        <w:tc>
          <w:tcPr>
            <w:tcW w:w="1402"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《建筑设计防火规范（2018年版）》（GB50016-2014）7.1.3</w:t>
            </w:r>
          </w:p>
        </w:tc>
        <w:tc>
          <w:tcPr>
            <w:tcW w:w="1238" w:type="pct"/>
            <w:vAlign w:val="center"/>
          </w:tcPr>
          <w:p>
            <w:pPr>
              <w:spacing w:line="240" w:lineRule="auto"/>
              <w:ind w:firstLine="0" w:firstLineChars="0"/>
              <w:jc w:val="both"/>
              <w:rPr>
                <w:rFonts w:ascii="宋体" w:hAnsi="宋体" w:cs="宋体"/>
                <w:sz w:val="21"/>
                <w:szCs w:val="21"/>
              </w:rPr>
            </w:pPr>
            <w:r>
              <w:rPr>
                <w:rFonts w:hint="eastAsia" w:ascii="宋体" w:hAnsi="宋体" w:cs="宋体"/>
                <w:sz w:val="21"/>
                <w:szCs w:val="21"/>
              </w:rPr>
              <w:t>本项目设置环形消防道路，</w:t>
            </w:r>
          </w:p>
        </w:tc>
        <w:tc>
          <w:tcPr>
            <w:tcW w:w="544" w:type="pct"/>
            <w:vAlign w:val="center"/>
          </w:tcPr>
          <w:p>
            <w:pPr>
              <w:spacing w:line="240" w:lineRule="auto"/>
              <w:ind w:firstLine="0" w:firstLineChars="0"/>
              <w:jc w:val="center"/>
              <w:rPr>
                <w:rFonts w:ascii="宋体" w:hAnsi="宋体" w:cs="宋体"/>
                <w:snapToGrid w:val="0"/>
                <w:sz w:val="21"/>
                <w:szCs w:val="21"/>
              </w:rPr>
            </w:pPr>
            <w:r>
              <w:rPr>
                <w:rFonts w:hint="eastAsia" w:ascii="宋体" w:hAnsi="宋体" w:cs="宋体"/>
                <w:snapToGrid w:val="0"/>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474" w:type="pct"/>
            <w:vAlign w:val="center"/>
          </w:tcPr>
          <w:p>
            <w:pPr>
              <w:numPr>
                <w:ilvl w:val="0"/>
                <w:numId w:val="56"/>
              </w:numPr>
              <w:snapToGrid w:val="0"/>
              <w:spacing w:before="156" w:beforeLines="50" w:line="240" w:lineRule="auto"/>
              <w:ind w:left="0" w:firstLine="420"/>
              <w:jc w:val="center"/>
              <w:rPr>
                <w:sz w:val="21"/>
                <w:szCs w:val="21"/>
              </w:rPr>
            </w:pPr>
          </w:p>
        </w:tc>
        <w:tc>
          <w:tcPr>
            <w:tcW w:w="1339" w:type="pct"/>
            <w:vAlign w:val="center"/>
          </w:tcPr>
          <w:p>
            <w:pPr>
              <w:spacing w:line="240" w:lineRule="auto"/>
              <w:ind w:firstLine="0" w:firstLineChars="0"/>
              <w:jc w:val="both"/>
              <w:rPr>
                <w:rFonts w:ascii="宋体" w:hAnsi="宋体" w:cs="宋体"/>
                <w:sz w:val="21"/>
                <w:szCs w:val="21"/>
              </w:rPr>
            </w:pPr>
            <w:r>
              <w:rPr>
                <w:rFonts w:hint="eastAsia" w:ascii="宋体" w:hAnsi="宋体" w:cs="宋体"/>
                <w:sz w:val="21"/>
                <w:szCs w:val="21"/>
              </w:rPr>
              <w:t>厂内道路的平纵断面设计应符合GBJ 22的有关规定，并应经常保持路面平整、路基稳固.边坡整齐、排水良好，并应有完好的照明设施。</w:t>
            </w:r>
          </w:p>
        </w:tc>
        <w:tc>
          <w:tcPr>
            <w:tcW w:w="1402"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《工业企业厂内运输安全规程》（GB4387-2008）6.1.1</w:t>
            </w:r>
          </w:p>
        </w:tc>
        <w:tc>
          <w:tcPr>
            <w:tcW w:w="1238" w:type="pct"/>
            <w:vAlign w:val="center"/>
          </w:tcPr>
          <w:p>
            <w:pPr>
              <w:spacing w:line="240" w:lineRule="auto"/>
              <w:ind w:firstLine="0" w:firstLineChars="0"/>
              <w:jc w:val="both"/>
              <w:rPr>
                <w:rFonts w:ascii="宋体" w:hAnsi="宋体" w:cs="宋体"/>
                <w:sz w:val="21"/>
                <w:szCs w:val="21"/>
              </w:rPr>
            </w:pPr>
            <w:r>
              <w:rPr>
                <w:rFonts w:hint="eastAsia" w:ascii="宋体" w:hAnsi="宋体" w:cs="宋体"/>
                <w:sz w:val="21"/>
                <w:szCs w:val="21"/>
              </w:rPr>
              <w:t>厂内道路的平纵断面设计符合GBJ 22的有关规定，并经常保持路面平整、路基稳固.边坡整齐、排水良好，并有完好的照明设施。</w:t>
            </w:r>
          </w:p>
        </w:tc>
        <w:tc>
          <w:tcPr>
            <w:tcW w:w="544" w:type="pct"/>
            <w:vAlign w:val="center"/>
          </w:tcPr>
          <w:p>
            <w:pPr>
              <w:spacing w:line="240" w:lineRule="auto"/>
              <w:ind w:firstLine="0" w:firstLineChars="0"/>
              <w:jc w:val="center"/>
              <w:rPr>
                <w:rFonts w:ascii="宋体" w:hAnsi="宋体" w:cs="宋体"/>
                <w:snapToGrid w:val="0"/>
                <w:sz w:val="21"/>
                <w:szCs w:val="21"/>
              </w:rPr>
            </w:pPr>
          </w:p>
          <w:p>
            <w:pPr>
              <w:spacing w:line="240" w:lineRule="auto"/>
              <w:ind w:firstLine="0" w:firstLineChars="0"/>
              <w:jc w:val="center"/>
              <w:rPr>
                <w:rFonts w:ascii="宋体" w:hAnsi="宋体" w:cs="宋体"/>
                <w:snapToGrid w:val="0"/>
                <w:sz w:val="21"/>
                <w:szCs w:val="21"/>
              </w:rPr>
            </w:pPr>
          </w:p>
          <w:p>
            <w:pPr>
              <w:spacing w:line="240" w:lineRule="auto"/>
              <w:ind w:firstLine="0" w:firstLineChars="0"/>
              <w:jc w:val="center"/>
              <w:rPr>
                <w:rFonts w:ascii="宋体" w:hAnsi="宋体" w:cs="宋体"/>
                <w:snapToGrid w:val="0"/>
                <w:sz w:val="21"/>
                <w:szCs w:val="21"/>
              </w:rPr>
            </w:pPr>
            <w:r>
              <w:rPr>
                <w:rFonts w:hint="eastAsia" w:ascii="宋体" w:hAnsi="宋体" w:cs="宋体"/>
                <w:snapToGrid w:val="0"/>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474" w:type="pct"/>
            <w:vAlign w:val="center"/>
          </w:tcPr>
          <w:p>
            <w:pPr>
              <w:numPr>
                <w:ilvl w:val="0"/>
                <w:numId w:val="56"/>
              </w:numPr>
              <w:snapToGrid w:val="0"/>
              <w:spacing w:before="156" w:beforeLines="50" w:line="240" w:lineRule="auto"/>
              <w:ind w:left="0" w:firstLine="420"/>
              <w:jc w:val="center"/>
              <w:rPr>
                <w:sz w:val="21"/>
                <w:szCs w:val="21"/>
              </w:rPr>
            </w:pPr>
          </w:p>
        </w:tc>
        <w:tc>
          <w:tcPr>
            <w:tcW w:w="1339" w:type="pct"/>
            <w:vAlign w:val="center"/>
          </w:tcPr>
          <w:p>
            <w:pPr>
              <w:spacing w:line="240" w:lineRule="auto"/>
              <w:ind w:firstLine="0" w:firstLineChars="0"/>
              <w:jc w:val="both"/>
              <w:rPr>
                <w:rFonts w:ascii="宋体" w:hAnsi="宋体" w:cs="宋体"/>
                <w:sz w:val="21"/>
                <w:szCs w:val="21"/>
              </w:rPr>
            </w:pPr>
            <w:r>
              <w:rPr>
                <w:rFonts w:hint="eastAsia" w:ascii="宋体" w:hAnsi="宋体" w:cs="宋体"/>
                <w:sz w:val="21"/>
                <w:szCs w:val="21"/>
              </w:rPr>
              <w:t>厂内道路应根据交通量设置交通标志，其设置、位置、形式、尺寸、图案和颜色等必须符合GB5768的规定。</w:t>
            </w:r>
          </w:p>
        </w:tc>
        <w:tc>
          <w:tcPr>
            <w:tcW w:w="1402" w:type="pct"/>
            <w:vAlign w:val="center"/>
          </w:tcPr>
          <w:p>
            <w:pPr>
              <w:spacing w:line="240" w:lineRule="auto"/>
              <w:ind w:firstLine="0" w:firstLineChars="0"/>
              <w:contextualSpacing/>
              <w:jc w:val="center"/>
              <w:rPr>
                <w:rFonts w:ascii="宋体" w:hAnsi="宋体" w:cs="宋体"/>
                <w:sz w:val="21"/>
                <w:szCs w:val="21"/>
              </w:rPr>
            </w:pPr>
            <w:r>
              <w:rPr>
                <w:rFonts w:hint="eastAsia" w:ascii="宋体" w:hAnsi="宋体" w:cs="宋体"/>
                <w:sz w:val="21"/>
                <w:szCs w:val="21"/>
              </w:rPr>
              <w:t>《工业企业厂内运输安全规程》（GB4387-2008）6.1.3</w:t>
            </w:r>
          </w:p>
        </w:tc>
        <w:tc>
          <w:tcPr>
            <w:tcW w:w="1238"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厂内道路根据交通量设置交通标志，其设置、位置、形式、尺寸、图案和颜色等符合GB5768的规定。</w:t>
            </w:r>
          </w:p>
        </w:tc>
        <w:tc>
          <w:tcPr>
            <w:tcW w:w="544" w:type="pct"/>
            <w:vAlign w:val="center"/>
          </w:tcPr>
          <w:p>
            <w:pPr>
              <w:spacing w:line="240" w:lineRule="auto"/>
              <w:ind w:firstLine="0" w:firstLineChars="0"/>
              <w:jc w:val="center"/>
              <w:rPr>
                <w:rFonts w:ascii="宋体" w:hAnsi="宋体" w:cs="宋体"/>
                <w:snapToGrid w:val="0"/>
                <w:sz w:val="21"/>
                <w:szCs w:val="21"/>
              </w:rPr>
            </w:pPr>
          </w:p>
          <w:p>
            <w:pPr>
              <w:spacing w:line="240" w:lineRule="auto"/>
              <w:ind w:firstLine="0" w:firstLineChars="0"/>
              <w:jc w:val="center"/>
              <w:rPr>
                <w:rFonts w:ascii="宋体" w:hAnsi="宋体" w:cs="宋体"/>
                <w:snapToGrid w:val="0"/>
                <w:sz w:val="21"/>
                <w:szCs w:val="21"/>
              </w:rPr>
            </w:pPr>
          </w:p>
          <w:p>
            <w:pPr>
              <w:spacing w:line="240" w:lineRule="auto"/>
              <w:ind w:firstLine="0" w:firstLineChars="0"/>
              <w:jc w:val="center"/>
              <w:rPr>
                <w:rFonts w:ascii="宋体" w:hAnsi="宋体" w:cs="宋体"/>
                <w:snapToGrid w:val="0"/>
                <w:sz w:val="21"/>
                <w:szCs w:val="21"/>
              </w:rPr>
            </w:pPr>
            <w:r>
              <w:rPr>
                <w:rFonts w:hint="eastAsia" w:ascii="宋体" w:hAnsi="宋体" w:cs="宋体"/>
                <w:snapToGrid w:val="0"/>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474" w:type="pct"/>
            <w:vAlign w:val="center"/>
          </w:tcPr>
          <w:p>
            <w:pPr>
              <w:numPr>
                <w:ilvl w:val="0"/>
                <w:numId w:val="56"/>
              </w:numPr>
              <w:snapToGrid w:val="0"/>
              <w:spacing w:before="156" w:beforeLines="50" w:line="240" w:lineRule="auto"/>
              <w:ind w:left="0" w:firstLine="420"/>
              <w:jc w:val="center"/>
              <w:rPr>
                <w:sz w:val="21"/>
                <w:szCs w:val="21"/>
              </w:rPr>
            </w:pPr>
          </w:p>
        </w:tc>
        <w:tc>
          <w:tcPr>
            <w:tcW w:w="1339" w:type="pct"/>
            <w:vAlign w:val="center"/>
          </w:tcPr>
          <w:p>
            <w:pPr>
              <w:spacing w:line="240" w:lineRule="auto"/>
              <w:ind w:firstLine="0" w:firstLineChars="0"/>
              <w:jc w:val="center"/>
              <w:rPr>
                <w:rFonts w:ascii="宋体" w:hAnsi="宋体" w:cs="宋体"/>
                <w:sz w:val="21"/>
                <w:szCs w:val="21"/>
              </w:rPr>
            </w:pPr>
            <w:r>
              <w:rPr>
                <w:rFonts w:hint="eastAsia" w:ascii="宋体" w:hAnsi="宋体" w:cs="宋体"/>
                <w:kern w:val="0"/>
                <w:sz w:val="21"/>
                <w:szCs w:val="21"/>
              </w:rPr>
              <w:t>工业企业选址应依据我国现行的卫生、安全生产和环境保护等法律法规、标准和拟建工业企业建设项目生产过程的卫生特征及其对环境的要求、职业性有害因素的危害状况，结合建设地点现状与当地政府的整体规划，以及水文、地质、气象等因素，进行综合分析而确定。</w:t>
            </w:r>
          </w:p>
        </w:tc>
        <w:tc>
          <w:tcPr>
            <w:tcW w:w="1402"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《工业企业设计卫生标准》（</w:t>
            </w:r>
            <w:r>
              <w:rPr>
                <w:rFonts w:hint="eastAsia" w:ascii="宋体" w:hAnsi="宋体" w:cs="宋体"/>
                <w:kern w:val="0"/>
                <w:sz w:val="21"/>
                <w:szCs w:val="21"/>
              </w:rPr>
              <w:t>GBZ 1-2010）5.1.1</w:t>
            </w:r>
          </w:p>
        </w:tc>
        <w:tc>
          <w:tcPr>
            <w:tcW w:w="1238" w:type="pct"/>
            <w:vAlign w:val="center"/>
          </w:tcPr>
          <w:p>
            <w:pPr>
              <w:spacing w:line="240" w:lineRule="auto"/>
              <w:ind w:firstLine="0" w:firstLineChars="0"/>
              <w:jc w:val="both"/>
              <w:rPr>
                <w:rFonts w:ascii="宋体" w:hAnsi="宋体" w:cs="宋体"/>
                <w:sz w:val="21"/>
                <w:szCs w:val="21"/>
              </w:rPr>
            </w:pPr>
            <w:r>
              <w:rPr>
                <w:rFonts w:hint="eastAsia" w:ascii="宋体" w:hAnsi="宋体" w:cs="宋体"/>
                <w:kern w:val="0"/>
                <w:sz w:val="21"/>
                <w:szCs w:val="21"/>
              </w:rPr>
              <w:t>选址依据我国现行的卫生、安全生产和环境保护等法律法规、标准和工业企业建设项目生产过程的卫生特征及其对环境的要求、职业性有害因素的危害状况，结合建设地点现状与当地政府的整体规划，以及水文、地质、气象等因素，进行综合分析而确定。</w:t>
            </w:r>
          </w:p>
        </w:tc>
        <w:tc>
          <w:tcPr>
            <w:tcW w:w="544" w:type="pct"/>
            <w:vAlign w:val="center"/>
          </w:tcPr>
          <w:p>
            <w:pPr>
              <w:spacing w:line="240" w:lineRule="auto"/>
              <w:ind w:firstLine="0" w:firstLineChars="0"/>
              <w:jc w:val="center"/>
              <w:rPr>
                <w:rFonts w:ascii="宋体" w:hAnsi="宋体" w:cs="宋体"/>
                <w:snapToGrid w:val="0"/>
                <w:sz w:val="21"/>
                <w:szCs w:val="21"/>
              </w:rPr>
            </w:pPr>
          </w:p>
          <w:p>
            <w:pPr>
              <w:spacing w:line="240" w:lineRule="auto"/>
              <w:ind w:firstLine="0" w:firstLineChars="0"/>
              <w:jc w:val="center"/>
              <w:rPr>
                <w:rFonts w:ascii="宋体" w:hAnsi="宋体" w:cs="宋体"/>
                <w:snapToGrid w:val="0"/>
                <w:sz w:val="21"/>
                <w:szCs w:val="21"/>
              </w:rPr>
            </w:pPr>
          </w:p>
          <w:p>
            <w:pPr>
              <w:spacing w:line="240" w:lineRule="auto"/>
              <w:ind w:firstLine="0" w:firstLineChars="0"/>
              <w:jc w:val="center"/>
              <w:rPr>
                <w:rFonts w:ascii="宋体" w:hAnsi="宋体" w:cs="宋体"/>
                <w:snapToGrid w:val="0"/>
                <w:sz w:val="21"/>
                <w:szCs w:val="21"/>
              </w:rPr>
            </w:pPr>
          </w:p>
          <w:p>
            <w:pPr>
              <w:spacing w:line="240" w:lineRule="auto"/>
              <w:ind w:firstLine="0" w:firstLineChars="0"/>
              <w:jc w:val="center"/>
              <w:rPr>
                <w:rFonts w:ascii="宋体" w:hAnsi="宋体" w:cs="宋体"/>
                <w:snapToGrid w:val="0"/>
                <w:sz w:val="21"/>
                <w:szCs w:val="21"/>
              </w:rPr>
            </w:pPr>
          </w:p>
          <w:p>
            <w:pPr>
              <w:spacing w:line="240" w:lineRule="auto"/>
              <w:ind w:firstLine="0" w:firstLineChars="0"/>
              <w:jc w:val="center"/>
              <w:rPr>
                <w:rFonts w:ascii="宋体" w:hAnsi="宋体" w:cs="宋体"/>
                <w:snapToGrid w:val="0"/>
                <w:sz w:val="21"/>
                <w:szCs w:val="21"/>
              </w:rPr>
            </w:pPr>
          </w:p>
          <w:p>
            <w:pPr>
              <w:spacing w:line="240" w:lineRule="auto"/>
              <w:ind w:firstLine="0" w:firstLineChars="0"/>
              <w:jc w:val="center"/>
              <w:rPr>
                <w:rFonts w:ascii="宋体" w:hAnsi="宋体" w:cs="宋体"/>
                <w:snapToGrid w:val="0"/>
                <w:sz w:val="21"/>
                <w:szCs w:val="21"/>
              </w:rPr>
            </w:pPr>
            <w:r>
              <w:rPr>
                <w:rFonts w:hint="eastAsia" w:ascii="宋体" w:hAnsi="宋体" w:cs="宋体"/>
                <w:snapToGrid w:val="0"/>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474" w:type="pct"/>
            <w:vAlign w:val="center"/>
          </w:tcPr>
          <w:p>
            <w:pPr>
              <w:numPr>
                <w:ilvl w:val="0"/>
                <w:numId w:val="56"/>
              </w:numPr>
              <w:snapToGrid w:val="0"/>
              <w:spacing w:before="156" w:beforeLines="50" w:line="240" w:lineRule="auto"/>
              <w:ind w:left="0" w:firstLine="420"/>
              <w:jc w:val="center"/>
              <w:rPr>
                <w:sz w:val="21"/>
                <w:szCs w:val="21"/>
              </w:rPr>
            </w:pPr>
          </w:p>
        </w:tc>
        <w:tc>
          <w:tcPr>
            <w:tcW w:w="1339" w:type="pct"/>
            <w:vAlign w:val="center"/>
          </w:tcPr>
          <w:p>
            <w:pPr>
              <w:spacing w:line="240" w:lineRule="auto"/>
              <w:ind w:firstLine="0" w:firstLineChars="0"/>
              <w:jc w:val="center"/>
              <w:rPr>
                <w:rFonts w:ascii="宋体" w:hAnsi="宋体" w:cs="宋体"/>
                <w:kern w:val="0"/>
                <w:sz w:val="21"/>
                <w:szCs w:val="21"/>
              </w:rPr>
            </w:pPr>
            <w:r>
              <w:rPr>
                <w:rFonts w:hint="eastAsia" w:ascii="宋体" w:hAnsi="宋体" w:cs="宋体"/>
                <w:kern w:val="0"/>
                <w:sz w:val="21"/>
                <w:szCs w:val="21"/>
              </w:rPr>
              <w:t>工业企业厂区总平面布置应明确功能分区，可分为生产区、非生产区、辅助生产区。其工程用地应根据卫生要求，结合工业企业性质、规模、生产流程、交通运输、场地自然条件、技术经济条件等合理布局。</w:t>
            </w:r>
          </w:p>
        </w:tc>
        <w:tc>
          <w:tcPr>
            <w:tcW w:w="1402"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《工业企业设计卫生标准》（</w:t>
            </w:r>
            <w:r>
              <w:rPr>
                <w:rFonts w:hint="eastAsia" w:ascii="宋体" w:hAnsi="宋体" w:cs="宋体"/>
                <w:kern w:val="0"/>
                <w:sz w:val="21"/>
                <w:szCs w:val="21"/>
              </w:rPr>
              <w:t>GBZ 1-2010）5.2.1.1</w:t>
            </w:r>
          </w:p>
        </w:tc>
        <w:tc>
          <w:tcPr>
            <w:tcW w:w="1238" w:type="pct"/>
            <w:vAlign w:val="center"/>
          </w:tcPr>
          <w:p>
            <w:pPr>
              <w:spacing w:line="240" w:lineRule="auto"/>
              <w:ind w:firstLine="0" w:firstLineChars="0"/>
              <w:jc w:val="both"/>
              <w:rPr>
                <w:rFonts w:ascii="宋体" w:hAnsi="宋体" w:cs="宋体"/>
                <w:sz w:val="21"/>
                <w:szCs w:val="21"/>
              </w:rPr>
            </w:pPr>
            <w:r>
              <w:rPr>
                <w:rFonts w:hint="eastAsia" w:ascii="宋体" w:hAnsi="宋体" w:cs="宋体"/>
                <w:kern w:val="0"/>
                <w:sz w:val="21"/>
                <w:szCs w:val="21"/>
              </w:rPr>
              <w:t>工业企业厂区总平面布置明确功能分区，可分为生产区、非生产区、辅助生产区。其工程用地根据卫生要求，结合工业企业性质、规模、生产流程、交通运输、场地自然条件、技术经济条件等合理布局。</w:t>
            </w:r>
          </w:p>
        </w:tc>
        <w:tc>
          <w:tcPr>
            <w:tcW w:w="544" w:type="pct"/>
            <w:vAlign w:val="center"/>
          </w:tcPr>
          <w:p>
            <w:pPr>
              <w:spacing w:line="240" w:lineRule="auto"/>
              <w:ind w:firstLine="0" w:firstLineChars="0"/>
              <w:jc w:val="center"/>
              <w:rPr>
                <w:rFonts w:ascii="宋体" w:hAnsi="宋体" w:cs="宋体"/>
                <w:snapToGrid w:val="0"/>
                <w:sz w:val="21"/>
                <w:szCs w:val="21"/>
              </w:rPr>
            </w:pPr>
            <w:r>
              <w:rPr>
                <w:rFonts w:hint="eastAsia" w:ascii="宋体" w:hAnsi="宋体" w:cs="宋体"/>
                <w:snapToGrid w:val="0"/>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474" w:type="pct"/>
            <w:vAlign w:val="center"/>
          </w:tcPr>
          <w:p>
            <w:pPr>
              <w:numPr>
                <w:ilvl w:val="0"/>
                <w:numId w:val="56"/>
              </w:numPr>
              <w:snapToGrid w:val="0"/>
              <w:spacing w:before="156" w:beforeLines="50" w:line="240" w:lineRule="auto"/>
              <w:ind w:left="0" w:firstLine="420"/>
              <w:jc w:val="center"/>
              <w:rPr>
                <w:sz w:val="21"/>
                <w:szCs w:val="21"/>
              </w:rPr>
            </w:pPr>
          </w:p>
        </w:tc>
        <w:tc>
          <w:tcPr>
            <w:tcW w:w="1339" w:type="pct"/>
            <w:vAlign w:val="center"/>
          </w:tcPr>
          <w:p>
            <w:pPr>
              <w:spacing w:line="240" w:lineRule="auto"/>
              <w:ind w:firstLine="0" w:firstLineChars="0"/>
              <w:jc w:val="both"/>
              <w:rPr>
                <w:rFonts w:ascii="宋体" w:hAnsi="宋体" w:cs="宋体"/>
                <w:kern w:val="0"/>
                <w:sz w:val="21"/>
                <w:szCs w:val="21"/>
              </w:rPr>
            </w:pPr>
            <w:r>
              <w:rPr>
                <w:rFonts w:hint="eastAsia" w:ascii="宋体" w:hAnsi="宋体" w:cs="宋体"/>
                <w:kern w:val="0"/>
                <w:sz w:val="21"/>
                <w:szCs w:val="21"/>
              </w:rPr>
              <w:t>工业企业总平面布置，包括建（构）筑物现状、拟建建筑物位置、道路、卫生防护、绿化等应符合 GB50187 等国家相关标准要求。</w:t>
            </w:r>
          </w:p>
        </w:tc>
        <w:tc>
          <w:tcPr>
            <w:tcW w:w="1402"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《工业企业设计卫生标准》（</w:t>
            </w:r>
            <w:r>
              <w:rPr>
                <w:rFonts w:hint="eastAsia" w:ascii="宋体" w:hAnsi="宋体" w:cs="宋体"/>
                <w:kern w:val="0"/>
                <w:sz w:val="21"/>
                <w:szCs w:val="21"/>
              </w:rPr>
              <w:t>GBZ 1-2010）5.2.1.2</w:t>
            </w:r>
          </w:p>
        </w:tc>
        <w:tc>
          <w:tcPr>
            <w:tcW w:w="1238" w:type="pct"/>
            <w:vAlign w:val="center"/>
          </w:tcPr>
          <w:p>
            <w:pPr>
              <w:spacing w:line="240" w:lineRule="auto"/>
              <w:ind w:firstLine="0" w:firstLineChars="0"/>
              <w:jc w:val="both"/>
              <w:rPr>
                <w:rFonts w:ascii="宋体" w:hAnsi="宋体" w:cs="宋体"/>
                <w:sz w:val="21"/>
                <w:szCs w:val="21"/>
              </w:rPr>
            </w:pPr>
            <w:r>
              <w:rPr>
                <w:rFonts w:hint="eastAsia" w:ascii="宋体" w:hAnsi="宋体" w:cs="宋体"/>
                <w:kern w:val="0"/>
                <w:sz w:val="21"/>
                <w:szCs w:val="21"/>
              </w:rPr>
              <w:t>工业企业总平面布置，包括建（构）筑物现状、建筑物位置、道路、卫生防护、绿化等符合 GB50187 等国家相关标准要求。</w:t>
            </w:r>
          </w:p>
        </w:tc>
        <w:tc>
          <w:tcPr>
            <w:tcW w:w="544" w:type="pct"/>
            <w:vAlign w:val="center"/>
          </w:tcPr>
          <w:p>
            <w:pPr>
              <w:spacing w:line="240" w:lineRule="auto"/>
              <w:ind w:firstLine="0" w:firstLineChars="0"/>
              <w:jc w:val="center"/>
              <w:rPr>
                <w:rFonts w:ascii="宋体" w:hAnsi="宋体" w:cs="宋体"/>
                <w:snapToGrid w:val="0"/>
                <w:sz w:val="21"/>
                <w:szCs w:val="21"/>
              </w:rPr>
            </w:pPr>
            <w:r>
              <w:rPr>
                <w:rFonts w:hint="eastAsia" w:ascii="宋体" w:hAnsi="宋体" w:cs="宋体"/>
                <w:snapToGrid w:val="0"/>
                <w:sz w:val="21"/>
                <w:szCs w:val="21"/>
              </w:rPr>
              <w:t>符合</w:t>
            </w:r>
          </w:p>
        </w:tc>
      </w:tr>
    </w:tbl>
    <w:p>
      <w:pPr>
        <w:ind w:firstLine="560"/>
      </w:pPr>
      <w:r>
        <w:rPr>
          <w:rFonts w:hint="eastAsia"/>
        </w:rPr>
        <w:t>本项目厂址位于云南省楚雄彝族自治州大姚县金碧镇工业园区南山坝工业片区。厂址选择符合</w:t>
      </w:r>
      <w:r>
        <w:t>厂区符合当地政府总体规划。</w:t>
      </w:r>
      <w:r>
        <w:rPr>
          <w:rFonts w:hint="eastAsia"/>
        </w:rPr>
        <w:t>项目区域内道路、水、电等设施完备，厂址周边小范围内无学校、集中商业区等。</w:t>
      </w:r>
      <w:r>
        <w:t>厂房之间的防火间距、库房与其它建筑物的防火间距符合</w:t>
      </w:r>
      <w:r>
        <w:rPr>
          <w:rFonts w:hint="eastAsia"/>
        </w:rPr>
        <w:t>安全设施设计和相关规范</w:t>
      </w:r>
      <w:r>
        <w:t>要求</w:t>
      </w:r>
      <w:r>
        <w:rPr>
          <w:rFonts w:hint="eastAsia"/>
        </w:rPr>
        <w:t>，项目</w:t>
      </w:r>
      <w:r>
        <w:t>布局连续紧凑，顺畅合理，满足生产工艺流程。</w:t>
      </w:r>
      <w:r>
        <w:rPr>
          <w:rFonts w:hint="eastAsia"/>
        </w:rPr>
        <w:t>选址和</w:t>
      </w:r>
      <w:r>
        <w:t>总平面布置符合相关</w:t>
      </w:r>
      <w:r>
        <w:rPr>
          <w:rFonts w:hint="eastAsia"/>
        </w:rPr>
        <w:t>法律法规</w:t>
      </w:r>
      <w:r>
        <w:t>、标准和规范要求。</w:t>
      </w:r>
    </w:p>
    <w:p>
      <w:pPr>
        <w:pStyle w:val="5"/>
        <w:spacing w:before="156" w:after="156"/>
      </w:pPr>
      <w:bookmarkStart w:id="272" w:name="_Toc498519828"/>
      <w:bookmarkStart w:id="273" w:name="_Toc498299358"/>
      <w:bookmarkStart w:id="274" w:name="_Toc500007166"/>
      <w:bookmarkStart w:id="275" w:name="_Toc8035"/>
      <w:r>
        <w:t>建筑及工艺布置单元</w:t>
      </w:r>
      <w:bookmarkEnd w:id="272"/>
      <w:bookmarkEnd w:id="273"/>
      <w:bookmarkEnd w:id="274"/>
      <w:bookmarkEnd w:id="275"/>
    </w:p>
    <w:p>
      <w:pPr>
        <w:pStyle w:val="6"/>
        <w:spacing w:before="156" w:after="156"/>
      </w:pPr>
      <w:bookmarkStart w:id="276" w:name="_Toc500007167"/>
      <w:bookmarkStart w:id="277" w:name="_Toc498519829"/>
      <w:bookmarkStart w:id="278" w:name="_Toc498299359"/>
      <w:bookmarkStart w:id="279" w:name="_Toc5302"/>
      <w:r>
        <w:t>厂房及结构</w:t>
      </w:r>
      <w:bookmarkEnd w:id="276"/>
      <w:bookmarkEnd w:id="277"/>
      <w:bookmarkEnd w:id="278"/>
      <w:bookmarkEnd w:id="279"/>
    </w:p>
    <w:p>
      <w:pPr>
        <w:ind w:firstLine="560"/>
      </w:pPr>
      <w:r>
        <w:rPr>
          <w:rFonts w:hint="eastAsia"/>
        </w:rPr>
        <w:t>依据《建筑抗震设计规范（2016年版）》(GB 50011-2010)、《建筑设计防火规范（2018年版）》（GB 50016-2014）、《建筑物防雷设计规范》（GB50057-2010）、《生产过程安全卫生要求总则》（GB/T 12801-2008），采用安全检查表对项目建（构）筑物对抗震设防，防火防爆，厂房结构设计所采取的承受重荷载、高温辐射、熔融金属喷溅冲刷、振动与冲击、防渗、防酸碱腐蚀等措施和建（构）筑物通风、散热、采光等措施进行符合性评价。</w:t>
      </w:r>
    </w:p>
    <w:p>
      <w:pPr>
        <w:pStyle w:val="14"/>
        <w:tabs>
          <w:tab w:val="left" w:pos="210"/>
        </w:tabs>
        <w:spacing w:before="156" w:after="156"/>
      </w:pPr>
      <w:r>
        <w:t xml:space="preserve">表 </w:t>
      </w:r>
      <w:r>
        <w:fldChar w:fldCharType="begin"/>
      </w:r>
      <w:r>
        <w:instrText xml:space="preserve"> STYLEREF 3 \s </w:instrText>
      </w:r>
      <w:r>
        <w:fldChar w:fldCharType="separate"/>
      </w:r>
      <w:r>
        <w:t>5.</w:t>
      </w:r>
      <w:r>
        <w:rPr>
          <w:rFonts w:hint="eastAsia"/>
        </w:rPr>
        <w:t>3</w:t>
      </w:r>
      <w:r>
        <w:rPr>
          <w:rFonts w:hint="eastAsia"/>
        </w:rPr>
        <w:fldChar w:fldCharType="end"/>
      </w:r>
      <w:r>
        <w:rPr>
          <w:rFonts w:hint="eastAsia"/>
        </w:rPr>
        <w:t>-</w:t>
      </w:r>
      <w:r>
        <w:fldChar w:fldCharType="begin"/>
      </w:r>
      <w:r>
        <w:instrText xml:space="preserve"> SEQ 表 \* ARABIC \s 3 </w:instrText>
      </w:r>
      <w:r>
        <w:fldChar w:fldCharType="separate"/>
      </w:r>
      <w:r>
        <w:t>1</w:t>
      </w:r>
      <w:r>
        <w:fldChar w:fldCharType="end"/>
      </w:r>
      <w:r>
        <w:rPr>
          <w:rFonts w:hint="eastAsia"/>
        </w:rPr>
        <w:t>建（构）筑物厂房及结构符合性安全检查表</w:t>
      </w:r>
    </w:p>
    <w:tbl>
      <w:tblPr>
        <w:tblStyle w:val="29"/>
        <w:tblW w:w="4998"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521"/>
        <w:gridCol w:w="3220"/>
        <w:gridCol w:w="2116"/>
        <w:gridCol w:w="1486"/>
        <w:gridCol w:w="117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06" w:type="pct"/>
            <w:tcBorders>
              <w:bottom w:val="single" w:color="auto" w:sz="4" w:space="0"/>
              <w:right w:val="single" w:color="auto" w:sz="4" w:space="0"/>
            </w:tcBorders>
            <w:vAlign w:val="center"/>
          </w:tcPr>
          <w:p>
            <w:pPr>
              <w:autoSpaceDE w:val="0"/>
              <w:autoSpaceDN w:val="0"/>
              <w:adjustRightInd w:val="0"/>
              <w:spacing w:line="240" w:lineRule="auto"/>
              <w:ind w:firstLine="0" w:firstLineChars="0"/>
              <w:jc w:val="center"/>
              <w:rPr>
                <w:rFonts w:ascii="宋体" w:hAnsi="宋体" w:cs="宋体"/>
                <w:b/>
                <w:bCs/>
                <w:color w:val="000000"/>
                <w:sz w:val="21"/>
                <w:szCs w:val="21"/>
              </w:rPr>
            </w:pPr>
            <w:r>
              <w:rPr>
                <w:rFonts w:ascii="宋体" w:hAnsi="宋体" w:cs="宋体"/>
                <w:b/>
                <w:bCs/>
                <w:color w:val="000000"/>
                <w:sz w:val="21"/>
                <w:szCs w:val="21"/>
              </w:rPr>
              <w:t>序号</w:t>
            </w:r>
          </w:p>
        </w:tc>
        <w:tc>
          <w:tcPr>
            <w:tcW w:w="1889" w:type="pct"/>
            <w:tcBorders>
              <w:left w:val="single" w:color="auto" w:sz="4" w:space="0"/>
              <w:bottom w:val="single" w:color="auto" w:sz="4" w:space="0"/>
              <w:right w:val="single" w:color="auto" w:sz="4" w:space="0"/>
            </w:tcBorders>
            <w:vAlign w:val="center"/>
          </w:tcPr>
          <w:p>
            <w:pPr>
              <w:snapToGrid w:val="0"/>
              <w:spacing w:line="240" w:lineRule="auto"/>
              <w:ind w:firstLine="0" w:firstLineChars="0"/>
              <w:jc w:val="center"/>
              <w:rPr>
                <w:rFonts w:ascii="宋体" w:hAnsi="宋体" w:cs="Times New Roman"/>
                <w:b/>
                <w:sz w:val="21"/>
                <w:szCs w:val="21"/>
              </w:rPr>
            </w:pPr>
            <w:r>
              <w:rPr>
                <w:rFonts w:ascii="宋体" w:hAnsi="宋体"/>
                <w:b/>
                <w:sz w:val="21"/>
                <w:szCs w:val="21"/>
              </w:rPr>
              <w:t>检查内容</w:t>
            </w:r>
          </w:p>
        </w:tc>
        <w:tc>
          <w:tcPr>
            <w:tcW w:w="1241" w:type="pct"/>
            <w:tcBorders>
              <w:left w:val="single" w:color="auto" w:sz="4" w:space="0"/>
              <w:bottom w:val="single" w:color="auto" w:sz="4" w:space="0"/>
              <w:right w:val="single" w:color="auto" w:sz="4" w:space="0"/>
            </w:tcBorders>
            <w:vAlign w:val="center"/>
          </w:tcPr>
          <w:p>
            <w:pPr>
              <w:snapToGrid w:val="0"/>
              <w:spacing w:line="240" w:lineRule="auto"/>
              <w:ind w:firstLine="0" w:firstLineChars="0"/>
              <w:jc w:val="center"/>
              <w:rPr>
                <w:rFonts w:ascii="宋体" w:hAnsi="宋体" w:cs="Times New Roman"/>
                <w:b/>
                <w:sz w:val="21"/>
                <w:szCs w:val="21"/>
              </w:rPr>
            </w:pPr>
            <w:r>
              <w:rPr>
                <w:rFonts w:hint="eastAsia" w:ascii="宋体" w:hAnsi="宋体"/>
                <w:b/>
                <w:sz w:val="21"/>
                <w:szCs w:val="21"/>
              </w:rPr>
              <w:t>评价依据</w:t>
            </w:r>
          </w:p>
        </w:tc>
        <w:tc>
          <w:tcPr>
            <w:tcW w:w="871" w:type="pct"/>
            <w:tcBorders>
              <w:left w:val="single" w:color="auto" w:sz="4" w:space="0"/>
              <w:bottom w:val="single" w:color="auto" w:sz="4" w:space="0"/>
              <w:right w:val="single" w:color="auto" w:sz="4" w:space="0"/>
            </w:tcBorders>
            <w:vAlign w:val="center"/>
          </w:tcPr>
          <w:p>
            <w:pPr>
              <w:snapToGrid w:val="0"/>
              <w:spacing w:line="240" w:lineRule="auto"/>
              <w:ind w:firstLine="0" w:firstLineChars="0"/>
              <w:jc w:val="center"/>
              <w:rPr>
                <w:rFonts w:ascii="宋体" w:hAnsi="宋体" w:cs="Times New Roman"/>
                <w:b/>
                <w:sz w:val="21"/>
                <w:szCs w:val="21"/>
              </w:rPr>
            </w:pPr>
            <w:r>
              <w:rPr>
                <w:rFonts w:hint="eastAsia" w:ascii="宋体" w:hAnsi="宋体"/>
                <w:b/>
                <w:sz w:val="21"/>
                <w:szCs w:val="21"/>
              </w:rPr>
              <w:t>检查</w:t>
            </w:r>
            <w:r>
              <w:rPr>
                <w:rFonts w:ascii="宋体" w:hAnsi="宋体"/>
                <w:b/>
                <w:sz w:val="21"/>
                <w:szCs w:val="21"/>
              </w:rPr>
              <w:t>情况</w:t>
            </w:r>
          </w:p>
        </w:tc>
        <w:tc>
          <w:tcPr>
            <w:tcW w:w="690" w:type="pct"/>
            <w:tcBorders>
              <w:left w:val="single" w:color="auto" w:sz="4" w:space="0"/>
              <w:bottom w:val="single" w:color="auto" w:sz="4" w:space="0"/>
            </w:tcBorders>
            <w:vAlign w:val="center"/>
          </w:tcPr>
          <w:p>
            <w:pPr>
              <w:pStyle w:val="24"/>
              <w:snapToGrid w:val="0"/>
              <w:spacing w:line="240" w:lineRule="auto"/>
              <w:ind w:left="0" w:firstLine="0" w:firstLineChars="0"/>
              <w:jc w:val="center"/>
              <w:rPr>
                <w:rFonts w:ascii="宋体" w:hAnsi="宋体"/>
                <w:b/>
                <w:sz w:val="21"/>
                <w:szCs w:val="21"/>
              </w:rPr>
            </w:pPr>
            <w:r>
              <w:rPr>
                <w:rFonts w:hint="eastAsia" w:ascii="宋体" w:hAnsi="宋体"/>
                <w:b/>
                <w:sz w:val="21"/>
                <w:szCs w:val="21"/>
              </w:rPr>
              <w:t>检查</w:t>
            </w:r>
          </w:p>
          <w:p>
            <w:pPr>
              <w:pStyle w:val="24"/>
              <w:snapToGrid w:val="0"/>
              <w:spacing w:line="240" w:lineRule="auto"/>
              <w:ind w:left="0" w:firstLine="0" w:firstLineChars="0"/>
              <w:jc w:val="center"/>
              <w:rPr>
                <w:rFonts w:ascii="宋体" w:hAnsi="宋体" w:cs="Times New Roman"/>
                <w:b/>
                <w:sz w:val="21"/>
                <w:szCs w:val="21"/>
              </w:rPr>
            </w:pPr>
            <w:r>
              <w:rPr>
                <w:rFonts w:hint="eastAsia" w:ascii="宋体" w:hAnsi="宋体" w:cs="Times New Roman"/>
                <w:b/>
                <w:sz w:val="21"/>
                <w:szCs w:val="21"/>
              </w:rPr>
              <w:t>结果</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06" w:type="pct"/>
            <w:tcBorders>
              <w:top w:val="single" w:color="auto" w:sz="4" w:space="0"/>
              <w:bottom w:val="single" w:color="auto" w:sz="4" w:space="0"/>
              <w:right w:val="single" w:color="auto" w:sz="4" w:space="0"/>
            </w:tcBorders>
            <w:vAlign w:val="center"/>
          </w:tcPr>
          <w:p>
            <w:pPr>
              <w:numPr>
                <w:ilvl w:val="0"/>
                <w:numId w:val="57"/>
              </w:numPr>
              <w:tabs>
                <w:tab w:val="left" w:pos="397"/>
                <w:tab w:val="clear" w:pos="0"/>
              </w:tabs>
              <w:spacing w:line="240" w:lineRule="auto"/>
              <w:ind w:firstLine="0" w:firstLineChars="0"/>
              <w:jc w:val="center"/>
              <w:rPr>
                <w:rFonts w:ascii="宋体" w:hAnsi="宋体" w:cs="宋体"/>
                <w:b/>
                <w:bCs/>
                <w:color w:val="000000"/>
                <w:sz w:val="21"/>
                <w:szCs w:val="21"/>
              </w:rPr>
            </w:pPr>
          </w:p>
        </w:tc>
        <w:tc>
          <w:tcPr>
            <w:tcW w:w="1889"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both"/>
              <w:rPr>
                <w:rFonts w:cs="Times New Roman"/>
                <w:sz w:val="21"/>
                <w:szCs w:val="21"/>
              </w:rPr>
            </w:pPr>
            <w:r>
              <w:rPr>
                <w:rFonts w:hint="eastAsia" w:cs="Times New Roman"/>
                <w:sz w:val="21"/>
                <w:szCs w:val="21"/>
              </w:rPr>
              <w:t>根据《中国地震动参数区划图》（GB18306-2015）的规定，该项目建设地地震基本烈度为Ⅶ度区，基本地震加速度为0.15g，本建设项目中的建筑均按地震基本烈度Ⅶ度设防。</w:t>
            </w:r>
          </w:p>
        </w:tc>
        <w:tc>
          <w:tcPr>
            <w:tcW w:w="1241"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both"/>
              <w:rPr>
                <w:rFonts w:cs="Times New Roman"/>
                <w:sz w:val="21"/>
                <w:szCs w:val="21"/>
              </w:rPr>
            </w:pPr>
            <w:r>
              <w:rPr>
                <w:rFonts w:hint="eastAsia" w:cs="Times New Roman"/>
                <w:sz w:val="21"/>
                <w:szCs w:val="21"/>
              </w:rPr>
              <w:t>《云南大姚机械配件厂退城入园整体技改搬迁项目安全设施设计》2.2.5.1</w:t>
            </w:r>
          </w:p>
        </w:tc>
        <w:tc>
          <w:tcPr>
            <w:tcW w:w="871"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cs="Times New Roman"/>
                <w:sz w:val="21"/>
                <w:szCs w:val="21"/>
              </w:rPr>
            </w:pPr>
            <w:r>
              <w:rPr>
                <w:rFonts w:hint="eastAsia" w:cs="Times New Roman"/>
                <w:sz w:val="21"/>
                <w:szCs w:val="21"/>
              </w:rPr>
              <w:t>本项目建（构）筑物的抗震等级按基本设防烈度Ⅶ度设防。</w:t>
            </w:r>
          </w:p>
        </w:tc>
        <w:tc>
          <w:tcPr>
            <w:tcW w:w="690" w:type="pct"/>
            <w:tcBorders>
              <w:top w:val="single" w:color="auto" w:sz="4" w:space="0"/>
              <w:left w:val="single" w:color="auto" w:sz="4" w:space="0"/>
              <w:bottom w:val="single" w:color="auto" w:sz="4" w:space="0"/>
            </w:tcBorders>
            <w:vAlign w:val="center"/>
          </w:tcPr>
          <w:p>
            <w:pPr>
              <w:spacing w:line="240" w:lineRule="auto"/>
              <w:ind w:firstLine="0" w:firstLineChars="0"/>
              <w:jc w:val="center"/>
              <w:rPr>
                <w:rFonts w:cs="Times New Roman"/>
                <w:sz w:val="21"/>
                <w:szCs w:val="21"/>
              </w:rPr>
            </w:pPr>
            <w:r>
              <w:rPr>
                <w:rFonts w:hint="eastAsia" w:cs="Times New Roman"/>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06" w:type="pct"/>
            <w:tcBorders>
              <w:top w:val="single" w:color="auto" w:sz="4" w:space="0"/>
              <w:bottom w:val="single" w:color="auto" w:sz="4" w:space="0"/>
              <w:right w:val="single" w:color="auto" w:sz="4" w:space="0"/>
            </w:tcBorders>
            <w:vAlign w:val="center"/>
          </w:tcPr>
          <w:p>
            <w:pPr>
              <w:numPr>
                <w:ilvl w:val="0"/>
                <w:numId w:val="57"/>
              </w:numPr>
              <w:tabs>
                <w:tab w:val="left" w:pos="397"/>
                <w:tab w:val="clear" w:pos="0"/>
              </w:tabs>
              <w:spacing w:line="240" w:lineRule="auto"/>
              <w:ind w:firstLine="0" w:firstLineChars="0"/>
              <w:jc w:val="center"/>
              <w:rPr>
                <w:rFonts w:ascii="宋体" w:hAnsi="宋体" w:cs="宋体"/>
                <w:b/>
                <w:bCs/>
                <w:color w:val="000000"/>
                <w:sz w:val="21"/>
                <w:szCs w:val="21"/>
              </w:rPr>
            </w:pPr>
          </w:p>
        </w:tc>
        <w:tc>
          <w:tcPr>
            <w:tcW w:w="1889"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cs="Times New Roman"/>
                <w:sz w:val="21"/>
                <w:szCs w:val="21"/>
              </w:rPr>
            </w:pPr>
            <w:r>
              <w:rPr>
                <w:rFonts w:cs="Times New Roman"/>
                <w:sz w:val="21"/>
                <w:szCs w:val="21"/>
              </w:rPr>
              <w:t>各类建筑与市政工程的抗震设防烈度不应低于本地区的抗震设防烈度。</w:t>
            </w:r>
          </w:p>
        </w:tc>
        <w:tc>
          <w:tcPr>
            <w:tcW w:w="1241" w:type="pct"/>
            <w:tcBorders>
              <w:top w:val="single" w:color="auto" w:sz="4" w:space="0"/>
              <w:left w:val="single" w:color="auto" w:sz="4" w:space="0"/>
              <w:bottom w:val="single" w:color="auto" w:sz="4" w:space="0"/>
              <w:right w:val="single" w:color="auto" w:sz="4" w:space="0"/>
            </w:tcBorders>
            <w:vAlign w:val="center"/>
          </w:tcPr>
          <w:p>
            <w:pPr>
              <w:wordWrap w:val="0"/>
              <w:spacing w:line="240" w:lineRule="auto"/>
              <w:ind w:firstLine="0" w:firstLineChars="0"/>
              <w:rPr>
                <w:rFonts w:cs="Times New Roman"/>
                <w:sz w:val="21"/>
                <w:szCs w:val="21"/>
              </w:rPr>
            </w:pPr>
            <w:r>
              <w:rPr>
                <w:rFonts w:hint="eastAsia" w:cs="Times New Roman"/>
                <w:sz w:val="21"/>
                <w:szCs w:val="21"/>
              </w:rPr>
              <w:t>《建筑抗震设计规范（2016年版）》（GB 50011-2010）</w:t>
            </w:r>
            <w:r>
              <w:rPr>
                <w:rFonts w:cs="Times New Roman"/>
                <w:sz w:val="21"/>
                <w:szCs w:val="21"/>
              </w:rPr>
              <w:t>2</w:t>
            </w:r>
            <w:r>
              <w:rPr>
                <w:rFonts w:hint="eastAsia" w:cs="Times New Roman"/>
                <w:sz w:val="21"/>
                <w:szCs w:val="21"/>
              </w:rPr>
              <w:t>.2.</w:t>
            </w:r>
            <w:r>
              <w:rPr>
                <w:rFonts w:cs="Times New Roman"/>
                <w:sz w:val="21"/>
                <w:szCs w:val="21"/>
              </w:rPr>
              <w:t>1</w:t>
            </w:r>
            <w:r>
              <w:rPr>
                <w:rFonts w:hint="eastAsia" w:cs="Times New Roman"/>
                <w:sz w:val="21"/>
                <w:szCs w:val="21"/>
              </w:rPr>
              <w:t>.</w:t>
            </w:r>
          </w:p>
        </w:tc>
        <w:tc>
          <w:tcPr>
            <w:tcW w:w="871"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cs="Times New Roman"/>
                <w:sz w:val="21"/>
                <w:szCs w:val="21"/>
              </w:rPr>
            </w:pPr>
            <w:r>
              <w:rPr>
                <w:rFonts w:hint="eastAsia" w:cs="Times New Roman"/>
                <w:sz w:val="21"/>
                <w:szCs w:val="21"/>
              </w:rPr>
              <w:t>本项目建（构）筑物的抗震等级按基本设防烈度Ⅶ度设防。</w:t>
            </w:r>
          </w:p>
        </w:tc>
        <w:tc>
          <w:tcPr>
            <w:tcW w:w="690" w:type="pct"/>
            <w:tcBorders>
              <w:top w:val="single" w:color="auto" w:sz="4" w:space="0"/>
              <w:left w:val="single" w:color="auto" w:sz="4" w:space="0"/>
              <w:bottom w:val="single" w:color="auto" w:sz="4" w:space="0"/>
            </w:tcBorders>
            <w:vAlign w:val="center"/>
          </w:tcPr>
          <w:p>
            <w:pPr>
              <w:spacing w:line="240" w:lineRule="auto"/>
              <w:ind w:firstLine="0" w:firstLineChars="0"/>
              <w:jc w:val="center"/>
              <w:rPr>
                <w:rFonts w:cs="Times New Roman"/>
                <w:sz w:val="21"/>
                <w:szCs w:val="21"/>
              </w:rPr>
            </w:pPr>
            <w:r>
              <w:rPr>
                <w:rFonts w:hint="eastAsia" w:cs="Times New Roman"/>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06" w:type="pct"/>
            <w:tcBorders>
              <w:top w:val="single" w:color="auto" w:sz="4" w:space="0"/>
              <w:bottom w:val="single" w:color="auto" w:sz="4" w:space="0"/>
              <w:right w:val="single" w:color="auto" w:sz="4" w:space="0"/>
            </w:tcBorders>
            <w:vAlign w:val="center"/>
          </w:tcPr>
          <w:p>
            <w:pPr>
              <w:numPr>
                <w:ilvl w:val="0"/>
                <w:numId w:val="57"/>
              </w:numPr>
              <w:tabs>
                <w:tab w:val="left" w:pos="397"/>
                <w:tab w:val="clear" w:pos="0"/>
              </w:tabs>
              <w:spacing w:line="240" w:lineRule="auto"/>
              <w:ind w:firstLine="0" w:firstLineChars="0"/>
              <w:jc w:val="center"/>
              <w:rPr>
                <w:rFonts w:ascii="宋体" w:hAnsi="宋体" w:cs="宋体"/>
                <w:b/>
                <w:bCs/>
                <w:color w:val="000000"/>
                <w:sz w:val="21"/>
                <w:szCs w:val="21"/>
              </w:rPr>
            </w:pPr>
          </w:p>
        </w:tc>
        <w:tc>
          <w:tcPr>
            <w:tcW w:w="1889"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both"/>
              <w:rPr>
                <w:rFonts w:cs="Times New Roman"/>
                <w:sz w:val="21"/>
                <w:szCs w:val="21"/>
              </w:rPr>
            </w:pPr>
            <w:r>
              <w:rPr>
                <w:rFonts w:cs="Times New Roman"/>
                <w:sz w:val="21"/>
                <w:szCs w:val="21"/>
              </w:rPr>
              <w:t>除本规范另有规定外，厂房的层数和每个防火分区的最大允许建筑面积应符合表3.3.1 的规定。</w:t>
            </w:r>
          </w:p>
        </w:tc>
        <w:tc>
          <w:tcPr>
            <w:tcW w:w="1241"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both"/>
              <w:rPr>
                <w:rFonts w:cs="Times New Roman"/>
                <w:sz w:val="21"/>
                <w:szCs w:val="21"/>
              </w:rPr>
            </w:pPr>
            <w:r>
              <w:rPr>
                <w:rFonts w:hint="eastAsia" w:cs="Times New Roman"/>
                <w:sz w:val="21"/>
                <w:szCs w:val="21"/>
              </w:rPr>
              <w:t>《建筑设计防火规范（2018年版）》（GB 50016-2014）3.3.1</w:t>
            </w:r>
          </w:p>
        </w:tc>
        <w:tc>
          <w:tcPr>
            <w:tcW w:w="871"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both"/>
              <w:rPr>
                <w:rFonts w:cs="Times New Roman"/>
                <w:sz w:val="21"/>
                <w:szCs w:val="21"/>
              </w:rPr>
            </w:pPr>
            <w:r>
              <w:rPr>
                <w:rFonts w:cs="Times New Roman"/>
                <w:sz w:val="21"/>
                <w:szCs w:val="21"/>
              </w:rPr>
              <w:t>厂房的层数和每个防火分区的最大允许建筑面积符合表3.3.1 的规定</w:t>
            </w:r>
          </w:p>
        </w:tc>
        <w:tc>
          <w:tcPr>
            <w:tcW w:w="690" w:type="pct"/>
            <w:tcBorders>
              <w:top w:val="single" w:color="auto" w:sz="4" w:space="0"/>
              <w:left w:val="single" w:color="auto" w:sz="4" w:space="0"/>
              <w:bottom w:val="single" w:color="auto" w:sz="4" w:space="0"/>
            </w:tcBorders>
            <w:vAlign w:val="center"/>
          </w:tcPr>
          <w:p>
            <w:pPr>
              <w:spacing w:line="240" w:lineRule="auto"/>
              <w:ind w:firstLine="0" w:firstLineChars="0"/>
              <w:jc w:val="center"/>
              <w:rPr>
                <w:rFonts w:cs="Times New Roman"/>
                <w:sz w:val="21"/>
                <w:szCs w:val="21"/>
              </w:rPr>
            </w:pPr>
            <w:r>
              <w:rPr>
                <w:rFonts w:hint="eastAsia" w:cs="Times New Roman"/>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06" w:type="pct"/>
            <w:tcBorders>
              <w:top w:val="single" w:color="auto" w:sz="4" w:space="0"/>
              <w:bottom w:val="single" w:color="auto" w:sz="4" w:space="0"/>
              <w:right w:val="single" w:color="auto" w:sz="4" w:space="0"/>
            </w:tcBorders>
            <w:vAlign w:val="center"/>
          </w:tcPr>
          <w:p>
            <w:pPr>
              <w:numPr>
                <w:ilvl w:val="0"/>
                <w:numId w:val="57"/>
              </w:numPr>
              <w:tabs>
                <w:tab w:val="left" w:pos="397"/>
                <w:tab w:val="clear" w:pos="0"/>
              </w:tabs>
              <w:spacing w:line="240" w:lineRule="auto"/>
              <w:ind w:firstLine="0" w:firstLineChars="0"/>
              <w:jc w:val="center"/>
              <w:rPr>
                <w:rFonts w:ascii="宋体" w:hAnsi="宋体" w:cs="宋体"/>
                <w:b/>
                <w:bCs/>
                <w:color w:val="000000"/>
                <w:sz w:val="21"/>
                <w:szCs w:val="21"/>
              </w:rPr>
            </w:pPr>
          </w:p>
        </w:tc>
        <w:tc>
          <w:tcPr>
            <w:tcW w:w="1889"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both"/>
              <w:rPr>
                <w:rFonts w:cs="Times New Roman"/>
                <w:sz w:val="21"/>
                <w:szCs w:val="21"/>
              </w:rPr>
            </w:pPr>
            <w:r>
              <w:rPr>
                <w:rFonts w:cs="Times New Roman"/>
                <w:sz w:val="21"/>
                <w:szCs w:val="21"/>
              </w:rPr>
              <w:t>除本规范另有规定外，仓库的层数和面积应符合表3.3.2 的规定。</w:t>
            </w:r>
          </w:p>
        </w:tc>
        <w:tc>
          <w:tcPr>
            <w:tcW w:w="1241"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both"/>
              <w:rPr>
                <w:rFonts w:cs="Times New Roman"/>
                <w:sz w:val="21"/>
                <w:szCs w:val="21"/>
              </w:rPr>
            </w:pPr>
            <w:r>
              <w:rPr>
                <w:rFonts w:hint="eastAsia" w:cs="Times New Roman"/>
                <w:sz w:val="21"/>
                <w:szCs w:val="21"/>
              </w:rPr>
              <w:t>《建筑设计防火规范（2018年版）》（GB 50016-2014）</w:t>
            </w:r>
            <w:r>
              <w:rPr>
                <w:rFonts w:cs="Times New Roman"/>
                <w:sz w:val="21"/>
                <w:szCs w:val="21"/>
              </w:rPr>
              <w:t xml:space="preserve">3.3.2 </w:t>
            </w:r>
          </w:p>
        </w:tc>
        <w:tc>
          <w:tcPr>
            <w:tcW w:w="871"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both"/>
              <w:rPr>
                <w:rFonts w:cs="Times New Roman"/>
                <w:sz w:val="21"/>
                <w:szCs w:val="21"/>
              </w:rPr>
            </w:pPr>
            <w:r>
              <w:rPr>
                <w:rFonts w:cs="Times New Roman"/>
                <w:sz w:val="21"/>
                <w:szCs w:val="21"/>
              </w:rPr>
              <w:t>仓库的层数和面积符合表3.3.2的规定。</w:t>
            </w:r>
          </w:p>
        </w:tc>
        <w:tc>
          <w:tcPr>
            <w:tcW w:w="690" w:type="pct"/>
            <w:tcBorders>
              <w:top w:val="single" w:color="auto" w:sz="4" w:space="0"/>
              <w:left w:val="single" w:color="auto" w:sz="4" w:space="0"/>
              <w:bottom w:val="single" w:color="auto" w:sz="4" w:space="0"/>
            </w:tcBorders>
            <w:vAlign w:val="center"/>
          </w:tcPr>
          <w:p>
            <w:pPr>
              <w:spacing w:line="240" w:lineRule="auto"/>
              <w:ind w:firstLine="0" w:firstLineChars="0"/>
              <w:jc w:val="center"/>
              <w:rPr>
                <w:rFonts w:cs="Times New Roman"/>
                <w:sz w:val="21"/>
                <w:szCs w:val="21"/>
              </w:rPr>
            </w:pPr>
            <w:r>
              <w:rPr>
                <w:rFonts w:hint="eastAsia" w:cs="Times New Roman"/>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06" w:type="pct"/>
            <w:tcBorders>
              <w:top w:val="single" w:color="auto" w:sz="4" w:space="0"/>
              <w:bottom w:val="single" w:color="auto" w:sz="4" w:space="0"/>
              <w:right w:val="single" w:color="auto" w:sz="4" w:space="0"/>
            </w:tcBorders>
            <w:vAlign w:val="center"/>
          </w:tcPr>
          <w:p>
            <w:pPr>
              <w:numPr>
                <w:ilvl w:val="0"/>
                <w:numId w:val="57"/>
              </w:numPr>
              <w:tabs>
                <w:tab w:val="left" w:pos="397"/>
                <w:tab w:val="clear" w:pos="0"/>
              </w:tabs>
              <w:spacing w:line="240" w:lineRule="auto"/>
              <w:ind w:firstLine="0" w:firstLineChars="0"/>
              <w:jc w:val="center"/>
              <w:rPr>
                <w:rFonts w:ascii="宋体" w:hAnsi="宋体" w:cs="宋体"/>
                <w:b/>
                <w:bCs/>
                <w:color w:val="000000"/>
                <w:sz w:val="21"/>
                <w:szCs w:val="21"/>
              </w:rPr>
            </w:pPr>
          </w:p>
        </w:tc>
        <w:tc>
          <w:tcPr>
            <w:tcW w:w="1889"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both"/>
              <w:rPr>
                <w:rFonts w:cs="Times New Roman"/>
                <w:sz w:val="21"/>
                <w:szCs w:val="21"/>
              </w:rPr>
            </w:pPr>
            <w:r>
              <w:rPr>
                <w:rFonts w:cs="Times New Roman"/>
                <w:sz w:val="21"/>
                <w:szCs w:val="21"/>
              </w:rPr>
              <w:t>甲、乙类生产场所（仓库）不应设置在地下或半地下。</w:t>
            </w:r>
          </w:p>
        </w:tc>
        <w:tc>
          <w:tcPr>
            <w:tcW w:w="1241"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both"/>
              <w:rPr>
                <w:rFonts w:cs="Times New Roman"/>
                <w:sz w:val="21"/>
                <w:szCs w:val="21"/>
              </w:rPr>
            </w:pPr>
            <w:r>
              <w:rPr>
                <w:rFonts w:hint="eastAsia" w:cs="Times New Roman"/>
                <w:sz w:val="21"/>
                <w:szCs w:val="21"/>
              </w:rPr>
              <w:t>《建筑设计防火规范（2018年版）》（GB 50016-2014）</w:t>
            </w:r>
            <w:r>
              <w:rPr>
                <w:rFonts w:cs="Times New Roman"/>
                <w:sz w:val="21"/>
                <w:szCs w:val="21"/>
              </w:rPr>
              <w:t xml:space="preserve">3.3.4 </w:t>
            </w:r>
          </w:p>
        </w:tc>
        <w:tc>
          <w:tcPr>
            <w:tcW w:w="871"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both"/>
              <w:rPr>
                <w:rFonts w:cs="Times New Roman"/>
                <w:sz w:val="21"/>
                <w:szCs w:val="21"/>
              </w:rPr>
            </w:pPr>
            <w:r>
              <w:rPr>
                <w:rFonts w:hint="eastAsia" w:cs="Times New Roman"/>
                <w:sz w:val="21"/>
                <w:szCs w:val="21"/>
              </w:rPr>
              <w:t>乙类</w:t>
            </w:r>
            <w:r>
              <w:rPr>
                <w:rFonts w:cs="Times New Roman"/>
                <w:sz w:val="21"/>
                <w:szCs w:val="21"/>
              </w:rPr>
              <w:t>仓库设置在地</w:t>
            </w:r>
            <w:r>
              <w:rPr>
                <w:rFonts w:hint="eastAsia" w:cs="Times New Roman"/>
                <w:sz w:val="21"/>
                <w:szCs w:val="21"/>
              </w:rPr>
              <w:t>面</w:t>
            </w:r>
          </w:p>
        </w:tc>
        <w:tc>
          <w:tcPr>
            <w:tcW w:w="690" w:type="pct"/>
            <w:tcBorders>
              <w:top w:val="single" w:color="auto" w:sz="4" w:space="0"/>
              <w:left w:val="single" w:color="auto" w:sz="4" w:space="0"/>
              <w:bottom w:val="single" w:color="auto" w:sz="4" w:space="0"/>
            </w:tcBorders>
            <w:vAlign w:val="center"/>
          </w:tcPr>
          <w:p>
            <w:pPr>
              <w:spacing w:line="240" w:lineRule="auto"/>
              <w:ind w:firstLine="0" w:firstLineChars="0"/>
              <w:jc w:val="center"/>
              <w:rPr>
                <w:rFonts w:cs="Times New Roman"/>
                <w:sz w:val="21"/>
                <w:szCs w:val="21"/>
              </w:rPr>
            </w:pPr>
            <w:r>
              <w:rPr>
                <w:rFonts w:hint="eastAsia" w:cs="Times New Roman"/>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06" w:type="pct"/>
            <w:tcBorders>
              <w:top w:val="single" w:color="auto" w:sz="4" w:space="0"/>
              <w:bottom w:val="single" w:color="auto" w:sz="4" w:space="0"/>
              <w:right w:val="single" w:color="auto" w:sz="4" w:space="0"/>
            </w:tcBorders>
            <w:vAlign w:val="center"/>
          </w:tcPr>
          <w:p>
            <w:pPr>
              <w:numPr>
                <w:ilvl w:val="0"/>
                <w:numId w:val="57"/>
              </w:numPr>
              <w:tabs>
                <w:tab w:val="left" w:pos="397"/>
                <w:tab w:val="clear" w:pos="0"/>
              </w:tabs>
              <w:spacing w:line="240" w:lineRule="auto"/>
              <w:ind w:firstLine="0" w:firstLineChars="0"/>
              <w:jc w:val="center"/>
              <w:rPr>
                <w:rFonts w:ascii="宋体" w:hAnsi="宋体" w:cs="宋体"/>
                <w:b/>
                <w:bCs/>
                <w:color w:val="000000"/>
                <w:sz w:val="21"/>
                <w:szCs w:val="21"/>
              </w:rPr>
            </w:pPr>
          </w:p>
        </w:tc>
        <w:tc>
          <w:tcPr>
            <w:tcW w:w="1889"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both"/>
              <w:rPr>
                <w:rFonts w:cs="Times New Roman"/>
                <w:sz w:val="21"/>
                <w:szCs w:val="21"/>
              </w:rPr>
            </w:pPr>
            <w:r>
              <w:rPr>
                <w:rFonts w:cs="Times New Roman"/>
                <w:sz w:val="21"/>
                <w:szCs w:val="21"/>
              </w:rPr>
              <w:t>员工宿舍严禁设置在厂房内。</w:t>
            </w:r>
          </w:p>
        </w:tc>
        <w:tc>
          <w:tcPr>
            <w:tcW w:w="1241"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both"/>
              <w:rPr>
                <w:rFonts w:cs="Times New Roman"/>
                <w:sz w:val="21"/>
                <w:szCs w:val="21"/>
              </w:rPr>
            </w:pPr>
            <w:r>
              <w:rPr>
                <w:rFonts w:hint="eastAsia" w:cs="Times New Roman"/>
                <w:sz w:val="21"/>
                <w:szCs w:val="21"/>
              </w:rPr>
              <w:t>《建筑设计防火规范（2018年版）》（GB 50016-2014）</w:t>
            </w:r>
            <w:r>
              <w:rPr>
                <w:rFonts w:cs="Times New Roman"/>
                <w:sz w:val="21"/>
                <w:szCs w:val="21"/>
              </w:rPr>
              <w:t xml:space="preserve">3.3.5 </w:t>
            </w:r>
          </w:p>
        </w:tc>
        <w:tc>
          <w:tcPr>
            <w:tcW w:w="871"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both"/>
              <w:rPr>
                <w:rFonts w:cs="Times New Roman"/>
                <w:sz w:val="21"/>
                <w:szCs w:val="21"/>
              </w:rPr>
            </w:pPr>
            <w:r>
              <w:rPr>
                <w:rFonts w:cs="Times New Roman"/>
                <w:sz w:val="21"/>
                <w:szCs w:val="21"/>
              </w:rPr>
              <w:t>厂房内</w:t>
            </w:r>
            <w:r>
              <w:rPr>
                <w:rFonts w:hint="eastAsia" w:cs="Times New Roman"/>
                <w:sz w:val="21"/>
                <w:szCs w:val="21"/>
              </w:rPr>
              <w:t>无</w:t>
            </w:r>
            <w:r>
              <w:rPr>
                <w:rFonts w:cs="Times New Roman"/>
                <w:sz w:val="21"/>
                <w:szCs w:val="21"/>
              </w:rPr>
              <w:t>员工宿舍</w:t>
            </w:r>
          </w:p>
        </w:tc>
        <w:tc>
          <w:tcPr>
            <w:tcW w:w="690" w:type="pct"/>
            <w:tcBorders>
              <w:top w:val="single" w:color="auto" w:sz="4" w:space="0"/>
              <w:left w:val="single" w:color="auto" w:sz="4" w:space="0"/>
              <w:bottom w:val="single" w:color="auto" w:sz="4" w:space="0"/>
            </w:tcBorders>
            <w:vAlign w:val="center"/>
          </w:tcPr>
          <w:p>
            <w:pPr>
              <w:spacing w:line="240" w:lineRule="auto"/>
              <w:ind w:firstLine="0" w:firstLineChars="0"/>
              <w:jc w:val="center"/>
              <w:rPr>
                <w:rFonts w:cs="Times New Roman"/>
                <w:sz w:val="21"/>
                <w:szCs w:val="21"/>
              </w:rPr>
            </w:pPr>
            <w:r>
              <w:rPr>
                <w:rFonts w:hint="eastAsia" w:cs="Times New Roman"/>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06" w:type="pct"/>
            <w:tcBorders>
              <w:top w:val="single" w:color="auto" w:sz="4" w:space="0"/>
              <w:bottom w:val="single" w:color="auto" w:sz="4" w:space="0"/>
              <w:right w:val="single" w:color="auto" w:sz="4" w:space="0"/>
            </w:tcBorders>
            <w:vAlign w:val="center"/>
          </w:tcPr>
          <w:p>
            <w:pPr>
              <w:numPr>
                <w:ilvl w:val="0"/>
                <w:numId w:val="57"/>
              </w:numPr>
              <w:tabs>
                <w:tab w:val="left" w:pos="397"/>
                <w:tab w:val="clear" w:pos="0"/>
              </w:tabs>
              <w:spacing w:line="240" w:lineRule="auto"/>
              <w:ind w:firstLine="0" w:firstLineChars="0"/>
              <w:jc w:val="center"/>
              <w:rPr>
                <w:rFonts w:ascii="宋体" w:hAnsi="宋体" w:cs="宋体"/>
                <w:b/>
                <w:bCs/>
                <w:color w:val="000000"/>
                <w:sz w:val="21"/>
                <w:szCs w:val="21"/>
              </w:rPr>
            </w:pPr>
          </w:p>
        </w:tc>
        <w:tc>
          <w:tcPr>
            <w:tcW w:w="1889"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both"/>
              <w:rPr>
                <w:rFonts w:cs="Times New Roman"/>
                <w:sz w:val="21"/>
                <w:szCs w:val="21"/>
              </w:rPr>
            </w:pPr>
            <w:r>
              <w:rPr>
                <w:rFonts w:cs="Times New Roman"/>
                <w:sz w:val="21"/>
                <w:szCs w:val="21"/>
              </w:rPr>
              <w:t>厂房之间及与乙、丙、丁、戊类仓库、民用建筑等的防火间距不应小于表3.4.1的规定</w:t>
            </w:r>
            <w:r>
              <w:rPr>
                <w:rFonts w:hint="eastAsia" w:cs="Times New Roman"/>
                <w:sz w:val="21"/>
                <w:szCs w:val="21"/>
              </w:rPr>
              <w:t>，与甲类仓库的防火间距应符合本规范第3.5.1条的规定。</w:t>
            </w:r>
          </w:p>
        </w:tc>
        <w:tc>
          <w:tcPr>
            <w:tcW w:w="1241"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both"/>
              <w:rPr>
                <w:rFonts w:cs="Times New Roman"/>
                <w:sz w:val="21"/>
                <w:szCs w:val="21"/>
              </w:rPr>
            </w:pPr>
            <w:r>
              <w:rPr>
                <w:rFonts w:hint="eastAsia" w:cs="Times New Roman"/>
                <w:sz w:val="21"/>
                <w:szCs w:val="21"/>
              </w:rPr>
              <w:t>《建筑设计防火规范（2018年版）》（GB 50016-2014）</w:t>
            </w:r>
            <w:r>
              <w:rPr>
                <w:rFonts w:cs="Times New Roman"/>
                <w:sz w:val="21"/>
                <w:szCs w:val="21"/>
              </w:rPr>
              <w:t>3.4.1</w:t>
            </w:r>
          </w:p>
        </w:tc>
        <w:tc>
          <w:tcPr>
            <w:tcW w:w="871"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both"/>
              <w:rPr>
                <w:rFonts w:cs="Times New Roman"/>
                <w:sz w:val="21"/>
                <w:szCs w:val="21"/>
              </w:rPr>
            </w:pPr>
            <w:r>
              <w:rPr>
                <w:rFonts w:cs="Times New Roman"/>
                <w:sz w:val="21"/>
                <w:szCs w:val="21"/>
              </w:rPr>
              <w:t>厂房之间及与乙、丙、丁、戊类仓库、民用建筑等的防火间距不应小于表3.4.1的规定</w:t>
            </w:r>
            <w:r>
              <w:rPr>
                <w:rFonts w:hint="eastAsia" w:cs="Times New Roman"/>
                <w:sz w:val="21"/>
                <w:szCs w:val="21"/>
              </w:rPr>
              <w:t>。项目无甲类仓库。</w:t>
            </w:r>
          </w:p>
        </w:tc>
        <w:tc>
          <w:tcPr>
            <w:tcW w:w="690" w:type="pct"/>
            <w:tcBorders>
              <w:top w:val="single" w:color="auto" w:sz="4" w:space="0"/>
              <w:left w:val="single" w:color="auto" w:sz="4" w:space="0"/>
              <w:bottom w:val="single" w:color="auto" w:sz="4" w:space="0"/>
            </w:tcBorders>
            <w:vAlign w:val="center"/>
          </w:tcPr>
          <w:p>
            <w:pPr>
              <w:spacing w:line="240" w:lineRule="auto"/>
              <w:ind w:firstLine="0" w:firstLineChars="0"/>
              <w:jc w:val="center"/>
              <w:rPr>
                <w:rFonts w:cs="Times New Roman"/>
                <w:sz w:val="21"/>
                <w:szCs w:val="21"/>
              </w:rPr>
            </w:pPr>
            <w:r>
              <w:rPr>
                <w:rFonts w:hint="eastAsia" w:cs="Times New Roman"/>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06" w:type="pct"/>
            <w:tcBorders>
              <w:top w:val="single" w:color="auto" w:sz="4" w:space="0"/>
              <w:bottom w:val="single" w:color="auto" w:sz="4" w:space="0"/>
              <w:right w:val="single" w:color="auto" w:sz="4" w:space="0"/>
            </w:tcBorders>
            <w:vAlign w:val="center"/>
          </w:tcPr>
          <w:p>
            <w:pPr>
              <w:numPr>
                <w:ilvl w:val="0"/>
                <w:numId w:val="57"/>
              </w:numPr>
              <w:tabs>
                <w:tab w:val="left" w:pos="397"/>
                <w:tab w:val="clear" w:pos="0"/>
              </w:tabs>
              <w:spacing w:line="240" w:lineRule="auto"/>
              <w:ind w:firstLine="0" w:firstLineChars="0"/>
              <w:jc w:val="center"/>
              <w:rPr>
                <w:rFonts w:ascii="宋体" w:hAnsi="宋体" w:cs="宋体"/>
                <w:b/>
                <w:bCs/>
                <w:color w:val="000000"/>
                <w:sz w:val="21"/>
                <w:szCs w:val="21"/>
              </w:rPr>
            </w:pPr>
          </w:p>
        </w:tc>
        <w:tc>
          <w:tcPr>
            <w:tcW w:w="1889"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both"/>
              <w:rPr>
                <w:rFonts w:cs="Times New Roman"/>
                <w:sz w:val="21"/>
                <w:szCs w:val="21"/>
              </w:rPr>
            </w:pPr>
            <w:r>
              <w:rPr>
                <w:rFonts w:cs="Times New Roman"/>
                <w:sz w:val="21"/>
                <w:szCs w:val="21"/>
              </w:rPr>
              <w:t>3.3.6 厂房内设置中间仓库时，应符合下列规定：</w:t>
            </w:r>
          </w:p>
          <w:p>
            <w:pPr>
              <w:spacing w:line="240" w:lineRule="auto"/>
              <w:ind w:firstLine="0" w:firstLineChars="0"/>
              <w:jc w:val="both"/>
              <w:rPr>
                <w:rFonts w:cs="Times New Roman"/>
                <w:sz w:val="21"/>
                <w:szCs w:val="21"/>
              </w:rPr>
            </w:pPr>
            <w:r>
              <w:rPr>
                <w:rFonts w:cs="Times New Roman"/>
                <w:sz w:val="21"/>
                <w:szCs w:val="21"/>
              </w:rPr>
              <w:t>1 甲、乙类中间仓库应靠外墙布置，其储量不宜超过1昼夜的需要量；</w:t>
            </w:r>
          </w:p>
          <w:p>
            <w:pPr>
              <w:spacing w:line="240" w:lineRule="auto"/>
              <w:ind w:firstLine="0" w:firstLineChars="0"/>
              <w:jc w:val="both"/>
              <w:rPr>
                <w:rFonts w:cs="Times New Roman"/>
                <w:sz w:val="21"/>
                <w:szCs w:val="21"/>
              </w:rPr>
            </w:pPr>
            <w:r>
              <w:rPr>
                <w:rFonts w:cs="Times New Roman"/>
                <w:sz w:val="21"/>
                <w:szCs w:val="21"/>
              </w:rPr>
              <w:t>2 甲、乙、丙类中间仓库应采用防火墙和耐火极限不低于1.50h的不燃性楼板与其他部位分隔；</w:t>
            </w:r>
          </w:p>
          <w:p>
            <w:pPr>
              <w:spacing w:line="240" w:lineRule="auto"/>
              <w:ind w:firstLine="0" w:firstLineChars="0"/>
              <w:jc w:val="both"/>
              <w:rPr>
                <w:rFonts w:cs="Times New Roman"/>
                <w:sz w:val="21"/>
                <w:szCs w:val="21"/>
              </w:rPr>
            </w:pPr>
            <w:r>
              <w:rPr>
                <w:rFonts w:cs="Times New Roman"/>
                <w:sz w:val="21"/>
                <w:szCs w:val="21"/>
              </w:rPr>
              <w:t>3 丁、戊类中间仓库应采用耐火极限不低于2.00h的防火隔墙和1.00h 的楼板与其他部位分隔</w:t>
            </w:r>
            <w:r>
              <w:rPr>
                <w:rFonts w:hint="eastAsia" w:cs="Times New Roman"/>
                <w:sz w:val="21"/>
                <w:szCs w:val="21"/>
              </w:rPr>
              <w:t>；</w:t>
            </w:r>
          </w:p>
          <w:p>
            <w:pPr>
              <w:spacing w:line="240" w:lineRule="auto"/>
              <w:ind w:firstLine="0" w:firstLineChars="0"/>
              <w:jc w:val="both"/>
              <w:rPr>
                <w:rFonts w:cs="Times New Roman"/>
                <w:sz w:val="21"/>
                <w:szCs w:val="21"/>
              </w:rPr>
            </w:pPr>
            <w:r>
              <w:rPr>
                <w:rFonts w:cs="Times New Roman"/>
                <w:sz w:val="21"/>
                <w:szCs w:val="21"/>
              </w:rPr>
              <w:t>4 仓库的耐火等级和面积应符合本规范第3.3.2条和第3.3.3条的规定。</w:t>
            </w:r>
          </w:p>
        </w:tc>
        <w:tc>
          <w:tcPr>
            <w:tcW w:w="1241"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both"/>
              <w:rPr>
                <w:rFonts w:cs="Times New Roman"/>
                <w:sz w:val="21"/>
                <w:szCs w:val="21"/>
              </w:rPr>
            </w:pPr>
            <w:r>
              <w:rPr>
                <w:rFonts w:hint="eastAsia" w:cs="Times New Roman"/>
                <w:sz w:val="21"/>
                <w:szCs w:val="21"/>
              </w:rPr>
              <w:t>《建筑设计防火规范（2018年版）》（GB 50016-2014）</w:t>
            </w:r>
            <w:r>
              <w:rPr>
                <w:rFonts w:cs="Times New Roman"/>
                <w:sz w:val="21"/>
                <w:szCs w:val="21"/>
              </w:rPr>
              <w:t xml:space="preserve">3.3.6 </w:t>
            </w:r>
          </w:p>
        </w:tc>
        <w:tc>
          <w:tcPr>
            <w:tcW w:w="871"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both"/>
              <w:rPr>
                <w:rFonts w:cs="Times New Roman"/>
                <w:sz w:val="21"/>
                <w:szCs w:val="21"/>
              </w:rPr>
            </w:pPr>
            <w:r>
              <w:rPr>
                <w:rFonts w:hint="eastAsia" w:cs="Times New Roman"/>
                <w:sz w:val="21"/>
                <w:szCs w:val="21"/>
              </w:rPr>
              <w:t>中间仓库按要求设置。</w:t>
            </w:r>
          </w:p>
        </w:tc>
        <w:tc>
          <w:tcPr>
            <w:tcW w:w="690" w:type="pct"/>
            <w:tcBorders>
              <w:top w:val="single" w:color="auto" w:sz="4" w:space="0"/>
              <w:left w:val="single" w:color="auto" w:sz="4" w:space="0"/>
              <w:bottom w:val="single" w:color="auto" w:sz="4" w:space="0"/>
            </w:tcBorders>
            <w:vAlign w:val="center"/>
          </w:tcPr>
          <w:p>
            <w:pPr>
              <w:spacing w:line="240" w:lineRule="auto"/>
              <w:ind w:firstLine="0" w:firstLineChars="0"/>
              <w:jc w:val="center"/>
              <w:rPr>
                <w:rFonts w:cs="Times New Roman"/>
                <w:sz w:val="21"/>
                <w:szCs w:val="21"/>
              </w:rPr>
            </w:pPr>
            <w:r>
              <w:rPr>
                <w:rFonts w:hint="eastAsia" w:cs="Times New Roman"/>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06" w:type="pct"/>
            <w:tcBorders>
              <w:top w:val="single" w:color="auto" w:sz="4" w:space="0"/>
              <w:bottom w:val="single" w:color="auto" w:sz="4" w:space="0"/>
              <w:right w:val="single" w:color="auto" w:sz="4" w:space="0"/>
            </w:tcBorders>
            <w:vAlign w:val="center"/>
          </w:tcPr>
          <w:p>
            <w:pPr>
              <w:numPr>
                <w:ilvl w:val="0"/>
                <w:numId w:val="57"/>
              </w:numPr>
              <w:tabs>
                <w:tab w:val="left" w:pos="397"/>
                <w:tab w:val="clear" w:pos="0"/>
              </w:tabs>
              <w:spacing w:line="240" w:lineRule="auto"/>
              <w:ind w:firstLine="0" w:firstLineChars="0"/>
              <w:jc w:val="center"/>
              <w:rPr>
                <w:rFonts w:ascii="宋体" w:hAnsi="宋体" w:cs="宋体"/>
                <w:b/>
                <w:bCs/>
                <w:color w:val="000000"/>
                <w:sz w:val="21"/>
                <w:szCs w:val="21"/>
              </w:rPr>
            </w:pPr>
          </w:p>
        </w:tc>
        <w:tc>
          <w:tcPr>
            <w:tcW w:w="1889"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both"/>
              <w:rPr>
                <w:rFonts w:cs="Times New Roman"/>
                <w:sz w:val="21"/>
                <w:szCs w:val="21"/>
              </w:rPr>
            </w:pPr>
            <w:r>
              <w:rPr>
                <w:rFonts w:hint="eastAsia" w:cs="Times New Roman"/>
                <w:sz w:val="21"/>
                <w:szCs w:val="21"/>
              </w:rPr>
              <w:t>员工宿舍严禁设置在仓库内。</w:t>
            </w:r>
          </w:p>
        </w:tc>
        <w:tc>
          <w:tcPr>
            <w:tcW w:w="1241"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both"/>
              <w:rPr>
                <w:rFonts w:cs="Times New Roman"/>
                <w:sz w:val="21"/>
                <w:szCs w:val="21"/>
              </w:rPr>
            </w:pPr>
            <w:r>
              <w:rPr>
                <w:rFonts w:hint="eastAsia" w:cs="Times New Roman"/>
                <w:sz w:val="21"/>
                <w:szCs w:val="21"/>
              </w:rPr>
              <w:t>《建筑设计防火规范（2018年版）》（GB 50016-2014）3.3.9</w:t>
            </w:r>
          </w:p>
        </w:tc>
        <w:tc>
          <w:tcPr>
            <w:tcW w:w="871"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both"/>
              <w:rPr>
                <w:rFonts w:cs="Times New Roman"/>
                <w:sz w:val="21"/>
                <w:szCs w:val="21"/>
              </w:rPr>
            </w:pPr>
            <w:r>
              <w:rPr>
                <w:rFonts w:hint="eastAsia" w:cs="Times New Roman"/>
                <w:sz w:val="21"/>
                <w:szCs w:val="21"/>
              </w:rPr>
              <w:t>仓库内无员工宿舍</w:t>
            </w:r>
          </w:p>
        </w:tc>
        <w:tc>
          <w:tcPr>
            <w:tcW w:w="690" w:type="pct"/>
            <w:tcBorders>
              <w:top w:val="single" w:color="auto" w:sz="4" w:space="0"/>
              <w:left w:val="single" w:color="auto" w:sz="4" w:space="0"/>
              <w:bottom w:val="single" w:color="auto" w:sz="4" w:space="0"/>
            </w:tcBorders>
            <w:vAlign w:val="center"/>
          </w:tcPr>
          <w:p>
            <w:pPr>
              <w:spacing w:line="240" w:lineRule="auto"/>
              <w:ind w:firstLine="0" w:firstLineChars="0"/>
              <w:jc w:val="center"/>
              <w:rPr>
                <w:rFonts w:cs="Times New Roman"/>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06" w:type="pct"/>
            <w:tcBorders>
              <w:top w:val="single" w:color="auto" w:sz="4" w:space="0"/>
              <w:bottom w:val="single" w:color="auto" w:sz="4" w:space="0"/>
              <w:right w:val="single" w:color="auto" w:sz="4" w:space="0"/>
            </w:tcBorders>
            <w:vAlign w:val="center"/>
          </w:tcPr>
          <w:p>
            <w:pPr>
              <w:numPr>
                <w:ilvl w:val="0"/>
                <w:numId w:val="57"/>
              </w:numPr>
              <w:tabs>
                <w:tab w:val="left" w:pos="397"/>
                <w:tab w:val="clear" w:pos="0"/>
              </w:tabs>
              <w:spacing w:line="240" w:lineRule="auto"/>
              <w:ind w:firstLine="0" w:firstLineChars="0"/>
              <w:jc w:val="center"/>
              <w:rPr>
                <w:rFonts w:ascii="宋体" w:hAnsi="宋体" w:cs="宋体"/>
                <w:b/>
                <w:bCs/>
                <w:color w:val="000000"/>
                <w:sz w:val="21"/>
                <w:szCs w:val="21"/>
              </w:rPr>
            </w:pPr>
          </w:p>
        </w:tc>
        <w:tc>
          <w:tcPr>
            <w:tcW w:w="1889"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both"/>
              <w:rPr>
                <w:rFonts w:cs="Times New Roman"/>
                <w:sz w:val="21"/>
                <w:szCs w:val="21"/>
              </w:rPr>
            </w:pPr>
            <w:r>
              <w:rPr>
                <w:rFonts w:cs="Times New Roman"/>
                <w:sz w:val="21"/>
                <w:szCs w:val="21"/>
              </w:rPr>
              <w:t>厂房之间及与乙、丙、丁、戊类仓库、民用建筑等的防火间距不应小于表3.4.1的规定</w:t>
            </w:r>
            <w:r>
              <w:rPr>
                <w:rFonts w:hint="eastAsia" w:cs="Times New Roman"/>
                <w:sz w:val="21"/>
                <w:szCs w:val="21"/>
              </w:rPr>
              <w:t>，与甲类仓库的防火间距应符合本规范第3.5.1条的规定。</w:t>
            </w:r>
          </w:p>
        </w:tc>
        <w:tc>
          <w:tcPr>
            <w:tcW w:w="1241"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both"/>
              <w:rPr>
                <w:rFonts w:cs="Times New Roman"/>
                <w:sz w:val="21"/>
                <w:szCs w:val="21"/>
              </w:rPr>
            </w:pPr>
            <w:r>
              <w:rPr>
                <w:rFonts w:hint="eastAsia" w:cs="Times New Roman"/>
                <w:sz w:val="21"/>
                <w:szCs w:val="21"/>
              </w:rPr>
              <w:t>《建筑设计防火规范（2018年版）》（GB 50016-2014）</w:t>
            </w:r>
            <w:r>
              <w:rPr>
                <w:rFonts w:cs="Times New Roman"/>
                <w:sz w:val="21"/>
                <w:szCs w:val="21"/>
              </w:rPr>
              <w:t>3.4.1</w:t>
            </w:r>
          </w:p>
        </w:tc>
        <w:tc>
          <w:tcPr>
            <w:tcW w:w="871"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both"/>
              <w:rPr>
                <w:rFonts w:cs="Times New Roman"/>
                <w:sz w:val="21"/>
                <w:szCs w:val="21"/>
              </w:rPr>
            </w:pPr>
            <w:r>
              <w:rPr>
                <w:rFonts w:cs="Times New Roman"/>
                <w:sz w:val="21"/>
                <w:szCs w:val="21"/>
              </w:rPr>
              <w:t>厂房之间及与乙、丙、丁、戊类仓库、民用建筑等的防火间距不应小于表3.4.1的规定</w:t>
            </w:r>
            <w:r>
              <w:rPr>
                <w:rFonts w:hint="eastAsia" w:cs="Times New Roman"/>
                <w:sz w:val="21"/>
                <w:szCs w:val="21"/>
              </w:rPr>
              <w:t>。项目无甲类仓库。</w:t>
            </w:r>
          </w:p>
        </w:tc>
        <w:tc>
          <w:tcPr>
            <w:tcW w:w="690" w:type="pct"/>
            <w:tcBorders>
              <w:top w:val="single" w:color="auto" w:sz="4" w:space="0"/>
              <w:left w:val="single" w:color="auto" w:sz="4" w:space="0"/>
              <w:bottom w:val="single" w:color="auto" w:sz="4" w:space="0"/>
            </w:tcBorders>
            <w:vAlign w:val="center"/>
          </w:tcPr>
          <w:p>
            <w:pPr>
              <w:spacing w:line="240" w:lineRule="auto"/>
              <w:ind w:firstLine="0" w:firstLineChars="0"/>
              <w:jc w:val="center"/>
              <w:rPr>
                <w:rFonts w:cs="Times New Roman"/>
                <w:sz w:val="21"/>
                <w:szCs w:val="21"/>
              </w:rPr>
            </w:pPr>
            <w:r>
              <w:rPr>
                <w:rFonts w:hint="eastAsia" w:cs="Times New Roman"/>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06" w:type="pct"/>
            <w:tcBorders>
              <w:top w:val="single" w:color="auto" w:sz="4" w:space="0"/>
              <w:bottom w:val="single" w:color="auto" w:sz="4" w:space="0"/>
              <w:right w:val="single" w:color="auto" w:sz="4" w:space="0"/>
            </w:tcBorders>
            <w:vAlign w:val="center"/>
          </w:tcPr>
          <w:p>
            <w:pPr>
              <w:numPr>
                <w:ilvl w:val="0"/>
                <w:numId w:val="57"/>
              </w:numPr>
              <w:tabs>
                <w:tab w:val="left" w:pos="397"/>
                <w:tab w:val="clear" w:pos="0"/>
              </w:tabs>
              <w:spacing w:line="240" w:lineRule="auto"/>
              <w:ind w:firstLine="0" w:firstLineChars="0"/>
              <w:jc w:val="center"/>
              <w:rPr>
                <w:rFonts w:ascii="宋体" w:hAnsi="宋体" w:cs="宋体"/>
                <w:b/>
                <w:bCs/>
                <w:color w:val="000000"/>
                <w:sz w:val="21"/>
                <w:szCs w:val="21"/>
              </w:rPr>
            </w:pPr>
          </w:p>
        </w:tc>
        <w:tc>
          <w:tcPr>
            <w:tcW w:w="1889"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both"/>
              <w:rPr>
                <w:rFonts w:cs="Times New Roman"/>
                <w:sz w:val="21"/>
                <w:szCs w:val="21"/>
              </w:rPr>
            </w:pPr>
            <w:r>
              <w:rPr>
                <w:rFonts w:hint="eastAsia" w:cs="Times New Roman"/>
                <w:sz w:val="21"/>
                <w:szCs w:val="21"/>
              </w:rPr>
              <w:t>厂区围墙与厂区内建筑的间距不宜小于5m，围墙两侧建筑的间距应满足相应建筑的防火间距要求。</w:t>
            </w:r>
          </w:p>
        </w:tc>
        <w:tc>
          <w:tcPr>
            <w:tcW w:w="1241"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both"/>
              <w:rPr>
                <w:rFonts w:cs="Times New Roman"/>
                <w:sz w:val="21"/>
                <w:szCs w:val="21"/>
              </w:rPr>
            </w:pPr>
            <w:r>
              <w:rPr>
                <w:rFonts w:hint="eastAsia" w:cs="Times New Roman"/>
                <w:sz w:val="21"/>
                <w:szCs w:val="21"/>
              </w:rPr>
              <w:t xml:space="preserve">《建筑设计防火规范（2018年版）》（GB 50016-2014）3.4.12 </w:t>
            </w:r>
          </w:p>
        </w:tc>
        <w:tc>
          <w:tcPr>
            <w:tcW w:w="871"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both"/>
              <w:rPr>
                <w:rFonts w:cs="Times New Roman"/>
                <w:sz w:val="21"/>
                <w:szCs w:val="21"/>
              </w:rPr>
            </w:pPr>
            <w:r>
              <w:rPr>
                <w:rFonts w:hint="eastAsia" w:cs="Times New Roman"/>
                <w:sz w:val="21"/>
                <w:szCs w:val="21"/>
              </w:rPr>
              <w:t>厂区围墙与厂区内建筑的间距不小于5m，围墙两侧建筑的间距满足相应建筑的防火间距要求。</w:t>
            </w:r>
          </w:p>
        </w:tc>
        <w:tc>
          <w:tcPr>
            <w:tcW w:w="690" w:type="pct"/>
            <w:tcBorders>
              <w:top w:val="single" w:color="auto" w:sz="4" w:space="0"/>
              <w:left w:val="single" w:color="auto" w:sz="4" w:space="0"/>
              <w:bottom w:val="single" w:color="auto" w:sz="4" w:space="0"/>
            </w:tcBorders>
            <w:vAlign w:val="center"/>
          </w:tcPr>
          <w:p>
            <w:pPr>
              <w:spacing w:line="240" w:lineRule="auto"/>
              <w:ind w:firstLine="0" w:firstLineChars="0"/>
              <w:jc w:val="center"/>
              <w:rPr>
                <w:rFonts w:cs="Times New Roman"/>
                <w:sz w:val="21"/>
                <w:szCs w:val="21"/>
              </w:rPr>
            </w:pPr>
            <w:r>
              <w:rPr>
                <w:rFonts w:hint="eastAsia" w:cs="Times New Roman"/>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06" w:type="pct"/>
            <w:tcBorders>
              <w:top w:val="single" w:color="auto" w:sz="4" w:space="0"/>
              <w:right w:val="single" w:color="auto" w:sz="4" w:space="0"/>
            </w:tcBorders>
            <w:vAlign w:val="center"/>
          </w:tcPr>
          <w:p>
            <w:pPr>
              <w:numPr>
                <w:ilvl w:val="0"/>
                <w:numId w:val="57"/>
              </w:numPr>
              <w:tabs>
                <w:tab w:val="left" w:pos="397"/>
                <w:tab w:val="clear" w:pos="0"/>
              </w:tabs>
              <w:spacing w:line="240" w:lineRule="auto"/>
              <w:ind w:firstLine="0" w:firstLineChars="0"/>
              <w:jc w:val="center"/>
              <w:rPr>
                <w:rFonts w:ascii="宋体" w:hAnsi="宋体" w:cs="宋体"/>
                <w:b/>
                <w:bCs/>
                <w:color w:val="000000"/>
                <w:sz w:val="21"/>
                <w:szCs w:val="21"/>
              </w:rPr>
            </w:pPr>
          </w:p>
        </w:tc>
        <w:tc>
          <w:tcPr>
            <w:tcW w:w="1889" w:type="pct"/>
            <w:tcBorders>
              <w:top w:val="single" w:color="auto" w:sz="4" w:space="0"/>
              <w:left w:val="single" w:color="auto" w:sz="4" w:space="0"/>
              <w:right w:val="single" w:color="auto" w:sz="4" w:space="0"/>
            </w:tcBorders>
            <w:vAlign w:val="center"/>
          </w:tcPr>
          <w:p>
            <w:pPr>
              <w:spacing w:line="240" w:lineRule="auto"/>
              <w:ind w:firstLine="0" w:firstLineChars="0"/>
              <w:jc w:val="both"/>
              <w:rPr>
                <w:rFonts w:cs="Times New Roman"/>
                <w:sz w:val="21"/>
                <w:szCs w:val="21"/>
              </w:rPr>
            </w:pPr>
            <w:r>
              <w:rPr>
                <w:rFonts w:hint="eastAsia" w:cs="Times New Roman"/>
                <w:sz w:val="21"/>
                <w:szCs w:val="21"/>
              </w:rPr>
              <w:t>有爆炸危险的厂房或厂房内有爆炸危险的部位应设置泄压设施。</w:t>
            </w:r>
          </w:p>
        </w:tc>
        <w:tc>
          <w:tcPr>
            <w:tcW w:w="1241" w:type="pct"/>
            <w:tcBorders>
              <w:top w:val="single" w:color="auto" w:sz="4" w:space="0"/>
              <w:left w:val="single" w:color="auto" w:sz="4" w:space="0"/>
              <w:right w:val="single" w:color="auto" w:sz="4" w:space="0"/>
            </w:tcBorders>
            <w:vAlign w:val="center"/>
          </w:tcPr>
          <w:p>
            <w:pPr>
              <w:spacing w:line="240" w:lineRule="auto"/>
              <w:ind w:firstLine="0" w:firstLineChars="0"/>
              <w:rPr>
                <w:rFonts w:cs="Times New Roman"/>
                <w:sz w:val="21"/>
                <w:szCs w:val="21"/>
              </w:rPr>
            </w:pPr>
            <w:r>
              <w:rPr>
                <w:rFonts w:hint="eastAsia" w:cs="Times New Roman"/>
                <w:sz w:val="21"/>
                <w:szCs w:val="21"/>
              </w:rPr>
              <w:t>《建筑设计防火规范（2018年版）》（GB 50016-2014）3.6.2</w:t>
            </w:r>
          </w:p>
        </w:tc>
        <w:tc>
          <w:tcPr>
            <w:tcW w:w="871" w:type="pct"/>
            <w:tcBorders>
              <w:top w:val="single" w:color="auto" w:sz="4" w:space="0"/>
              <w:left w:val="single" w:color="auto" w:sz="4" w:space="0"/>
              <w:right w:val="single" w:color="auto" w:sz="4" w:space="0"/>
            </w:tcBorders>
            <w:vAlign w:val="center"/>
          </w:tcPr>
          <w:p>
            <w:pPr>
              <w:spacing w:line="240" w:lineRule="auto"/>
              <w:ind w:firstLine="0" w:firstLineChars="0"/>
              <w:jc w:val="both"/>
              <w:rPr>
                <w:rFonts w:cs="Times New Roman"/>
                <w:sz w:val="21"/>
                <w:szCs w:val="21"/>
              </w:rPr>
            </w:pPr>
            <w:r>
              <w:rPr>
                <w:rFonts w:hint="eastAsia" w:cs="Times New Roman"/>
                <w:sz w:val="21"/>
                <w:szCs w:val="21"/>
              </w:rPr>
              <w:t>有爆炸危险的喷塑间厂房采用轻质屋面，满足事故泄压的要求。</w:t>
            </w:r>
          </w:p>
        </w:tc>
        <w:tc>
          <w:tcPr>
            <w:tcW w:w="690" w:type="pct"/>
            <w:tcBorders>
              <w:top w:val="single" w:color="auto" w:sz="4" w:space="0"/>
              <w:left w:val="single" w:color="auto" w:sz="4" w:space="0"/>
            </w:tcBorders>
            <w:vAlign w:val="center"/>
          </w:tcPr>
          <w:p>
            <w:pPr>
              <w:spacing w:line="240" w:lineRule="auto"/>
              <w:ind w:firstLine="0" w:firstLineChars="0"/>
              <w:jc w:val="center"/>
              <w:rPr>
                <w:rFonts w:cs="Times New Roman"/>
                <w:sz w:val="21"/>
                <w:szCs w:val="21"/>
              </w:rPr>
            </w:pPr>
            <w:r>
              <w:rPr>
                <w:rFonts w:hint="eastAsia" w:cs="Times New Roman"/>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06" w:type="pct"/>
            <w:tcBorders>
              <w:top w:val="single" w:color="auto" w:sz="4" w:space="0"/>
              <w:right w:val="single" w:color="auto" w:sz="4" w:space="0"/>
            </w:tcBorders>
            <w:vAlign w:val="center"/>
          </w:tcPr>
          <w:p>
            <w:pPr>
              <w:numPr>
                <w:ilvl w:val="0"/>
                <w:numId w:val="57"/>
              </w:numPr>
              <w:tabs>
                <w:tab w:val="left" w:pos="397"/>
                <w:tab w:val="clear" w:pos="0"/>
              </w:tabs>
              <w:spacing w:line="240" w:lineRule="auto"/>
              <w:ind w:firstLine="0" w:firstLineChars="0"/>
              <w:jc w:val="center"/>
              <w:rPr>
                <w:rFonts w:ascii="宋体" w:hAnsi="宋体" w:cs="宋体"/>
                <w:b/>
                <w:bCs/>
                <w:color w:val="000000"/>
                <w:sz w:val="21"/>
                <w:szCs w:val="21"/>
              </w:rPr>
            </w:pPr>
          </w:p>
        </w:tc>
        <w:tc>
          <w:tcPr>
            <w:tcW w:w="1889" w:type="pct"/>
            <w:tcBorders>
              <w:top w:val="single" w:color="auto" w:sz="4" w:space="0"/>
              <w:left w:val="single" w:color="auto" w:sz="4" w:space="0"/>
              <w:right w:val="single" w:color="auto" w:sz="4" w:space="0"/>
            </w:tcBorders>
            <w:vAlign w:val="center"/>
          </w:tcPr>
          <w:p>
            <w:pPr>
              <w:spacing w:line="240" w:lineRule="auto"/>
              <w:ind w:firstLine="0" w:firstLineChars="0"/>
              <w:jc w:val="both"/>
              <w:rPr>
                <w:rFonts w:cs="Times New Roman"/>
                <w:sz w:val="21"/>
                <w:szCs w:val="21"/>
              </w:rPr>
            </w:pPr>
            <w:r>
              <w:rPr>
                <w:rFonts w:hint="eastAsia" w:cs="Times New Roman"/>
                <w:sz w:val="21"/>
                <w:szCs w:val="21"/>
              </w:rPr>
              <w:t>泄压设施宜采用轻质屋面板、轻质墙体和易于泄压的门、窗等，应采用安全玻璃等在爆炸时不产生尖锐碎片的材料。</w:t>
            </w:r>
          </w:p>
          <w:p>
            <w:pPr>
              <w:spacing w:line="240" w:lineRule="auto"/>
              <w:ind w:firstLine="0" w:firstLineChars="0"/>
              <w:jc w:val="both"/>
              <w:rPr>
                <w:rFonts w:cs="Times New Roman"/>
                <w:sz w:val="21"/>
                <w:szCs w:val="21"/>
              </w:rPr>
            </w:pPr>
            <w:r>
              <w:rPr>
                <w:rFonts w:hint="eastAsia" w:cs="Times New Roman"/>
                <w:sz w:val="21"/>
                <w:szCs w:val="21"/>
              </w:rPr>
              <w:t>泄压设施的设置应避开人员密集场所和主要交通道路，并宜靠近有爆炸危险的部位。</w:t>
            </w:r>
          </w:p>
          <w:p>
            <w:pPr>
              <w:spacing w:line="240" w:lineRule="auto"/>
              <w:ind w:firstLine="0" w:firstLineChars="0"/>
              <w:jc w:val="both"/>
              <w:rPr>
                <w:rFonts w:cs="Times New Roman"/>
                <w:sz w:val="21"/>
                <w:szCs w:val="21"/>
              </w:rPr>
            </w:pPr>
            <w:r>
              <w:rPr>
                <w:rFonts w:hint="eastAsia" w:cs="Times New Roman"/>
                <w:sz w:val="21"/>
                <w:szCs w:val="21"/>
              </w:rPr>
              <w:t>作为泄压设施的轻质屋面板和墙体的质量不宜大于60kg/m</w:t>
            </w:r>
            <w:r>
              <w:rPr>
                <w:rFonts w:hint="eastAsia" w:cs="Times New Roman"/>
                <w:sz w:val="21"/>
                <w:szCs w:val="21"/>
                <w:vertAlign w:val="superscript"/>
              </w:rPr>
              <w:t>2</w:t>
            </w:r>
            <w:r>
              <w:rPr>
                <w:rFonts w:hint="eastAsia" w:cs="Times New Roman"/>
                <w:sz w:val="21"/>
                <w:szCs w:val="21"/>
              </w:rPr>
              <w:t>。</w:t>
            </w:r>
          </w:p>
          <w:p>
            <w:pPr>
              <w:spacing w:line="240" w:lineRule="auto"/>
              <w:ind w:firstLine="0" w:firstLineChars="0"/>
              <w:jc w:val="both"/>
              <w:rPr>
                <w:rFonts w:cs="Times New Roman"/>
                <w:sz w:val="21"/>
                <w:szCs w:val="21"/>
              </w:rPr>
            </w:pPr>
            <w:r>
              <w:rPr>
                <w:rFonts w:hint="eastAsia" w:cs="Times New Roman"/>
                <w:sz w:val="21"/>
                <w:szCs w:val="21"/>
              </w:rPr>
              <w:t>屋顶上的泄压设施应采取防冰雪积聚措施。</w:t>
            </w:r>
          </w:p>
        </w:tc>
        <w:tc>
          <w:tcPr>
            <w:tcW w:w="1241" w:type="pct"/>
            <w:tcBorders>
              <w:top w:val="single" w:color="auto" w:sz="4" w:space="0"/>
              <w:left w:val="single" w:color="auto" w:sz="4" w:space="0"/>
              <w:right w:val="single" w:color="auto" w:sz="4" w:space="0"/>
            </w:tcBorders>
            <w:vAlign w:val="center"/>
          </w:tcPr>
          <w:p>
            <w:pPr>
              <w:spacing w:line="240" w:lineRule="auto"/>
              <w:ind w:firstLine="0" w:firstLineChars="0"/>
              <w:jc w:val="both"/>
              <w:rPr>
                <w:rFonts w:cs="Times New Roman"/>
                <w:sz w:val="21"/>
                <w:szCs w:val="21"/>
              </w:rPr>
            </w:pPr>
            <w:r>
              <w:rPr>
                <w:rFonts w:hint="eastAsia" w:cs="Times New Roman"/>
                <w:sz w:val="21"/>
                <w:szCs w:val="21"/>
              </w:rPr>
              <w:t xml:space="preserve">《建筑设计防火规范（2018年版）》（GB 50016-2014）3.6.3 </w:t>
            </w:r>
          </w:p>
        </w:tc>
        <w:tc>
          <w:tcPr>
            <w:tcW w:w="871" w:type="pct"/>
            <w:tcBorders>
              <w:top w:val="single" w:color="auto" w:sz="4" w:space="0"/>
              <w:left w:val="single" w:color="auto" w:sz="4" w:space="0"/>
              <w:right w:val="single" w:color="auto" w:sz="4" w:space="0"/>
            </w:tcBorders>
            <w:vAlign w:val="center"/>
          </w:tcPr>
          <w:p>
            <w:pPr>
              <w:spacing w:line="240" w:lineRule="auto"/>
              <w:ind w:firstLine="0" w:firstLineChars="0"/>
              <w:jc w:val="both"/>
              <w:rPr>
                <w:rFonts w:cs="Times New Roman"/>
                <w:sz w:val="21"/>
                <w:szCs w:val="21"/>
              </w:rPr>
            </w:pPr>
            <w:r>
              <w:rPr>
                <w:rFonts w:hint="eastAsia" w:cs="Times New Roman"/>
                <w:sz w:val="21"/>
                <w:szCs w:val="21"/>
              </w:rPr>
              <w:t>喷塑间厂房采用轻质屋面，采用半封闭喷涂，满足事故泄压的要求。</w:t>
            </w:r>
          </w:p>
        </w:tc>
        <w:tc>
          <w:tcPr>
            <w:tcW w:w="690" w:type="pct"/>
            <w:tcBorders>
              <w:top w:val="single" w:color="auto" w:sz="4" w:space="0"/>
              <w:left w:val="single" w:color="auto" w:sz="4" w:space="0"/>
            </w:tcBorders>
            <w:vAlign w:val="center"/>
          </w:tcPr>
          <w:p>
            <w:pPr>
              <w:spacing w:line="240" w:lineRule="auto"/>
              <w:ind w:firstLine="0" w:firstLineChars="0"/>
              <w:jc w:val="center"/>
              <w:rPr>
                <w:rFonts w:cs="Times New Roman"/>
                <w:sz w:val="21"/>
                <w:szCs w:val="21"/>
              </w:rPr>
            </w:pPr>
            <w:r>
              <w:rPr>
                <w:rFonts w:hint="eastAsia" w:cs="Times New Roman"/>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06" w:type="pct"/>
            <w:tcBorders>
              <w:top w:val="single" w:color="auto" w:sz="4" w:space="0"/>
              <w:bottom w:val="single" w:color="auto" w:sz="4" w:space="0"/>
              <w:right w:val="single" w:color="auto" w:sz="4" w:space="0"/>
            </w:tcBorders>
            <w:vAlign w:val="center"/>
          </w:tcPr>
          <w:p>
            <w:pPr>
              <w:numPr>
                <w:ilvl w:val="0"/>
                <w:numId w:val="57"/>
              </w:numPr>
              <w:tabs>
                <w:tab w:val="left" w:pos="397"/>
                <w:tab w:val="clear" w:pos="0"/>
              </w:tabs>
              <w:spacing w:line="240" w:lineRule="auto"/>
              <w:ind w:firstLine="0" w:firstLineChars="0"/>
              <w:jc w:val="center"/>
              <w:rPr>
                <w:rFonts w:ascii="宋体" w:hAnsi="宋体" w:cs="宋体"/>
                <w:b/>
                <w:bCs/>
                <w:color w:val="000000"/>
                <w:sz w:val="21"/>
                <w:szCs w:val="21"/>
              </w:rPr>
            </w:pPr>
          </w:p>
        </w:tc>
        <w:tc>
          <w:tcPr>
            <w:tcW w:w="1889"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both"/>
              <w:rPr>
                <w:rFonts w:cs="Times New Roman"/>
                <w:sz w:val="21"/>
                <w:szCs w:val="21"/>
              </w:rPr>
            </w:pPr>
            <w:r>
              <w:rPr>
                <w:rFonts w:hint="eastAsia" w:cs="Times New Roman"/>
                <w:sz w:val="21"/>
                <w:szCs w:val="21"/>
              </w:rPr>
              <w:t>生产厂房、仓库和各种构筑物的结构强度、耐火等级、抗震设防烈度、通风、采光、照明等，均应按其使用特点和地区环境条件符合有关标准规定，应有抗震、防水、防漏、防风、防雪等措施。</w:t>
            </w:r>
          </w:p>
        </w:tc>
        <w:tc>
          <w:tcPr>
            <w:tcW w:w="1241" w:type="pct"/>
            <w:tcBorders>
              <w:top w:val="single" w:color="auto" w:sz="4" w:space="0"/>
              <w:left w:val="single" w:color="auto" w:sz="4" w:space="0"/>
              <w:bottom w:val="single" w:color="auto" w:sz="4" w:space="0"/>
              <w:right w:val="single" w:color="auto" w:sz="4" w:space="0"/>
            </w:tcBorders>
            <w:vAlign w:val="center"/>
          </w:tcPr>
          <w:p>
            <w:pPr>
              <w:wordWrap w:val="0"/>
              <w:spacing w:line="240" w:lineRule="auto"/>
              <w:ind w:firstLine="0" w:firstLineChars="0"/>
              <w:rPr>
                <w:rFonts w:cs="Times New Roman"/>
                <w:sz w:val="21"/>
                <w:szCs w:val="21"/>
              </w:rPr>
            </w:pPr>
            <w:r>
              <w:rPr>
                <w:rFonts w:hint="eastAsia" w:cs="Times New Roman"/>
                <w:sz w:val="21"/>
                <w:szCs w:val="21"/>
              </w:rPr>
              <w:t>《生产过程安全卫生要求总则》（GB/T 12801-2008）5.4.1</w:t>
            </w:r>
          </w:p>
        </w:tc>
        <w:tc>
          <w:tcPr>
            <w:tcW w:w="871"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both"/>
              <w:rPr>
                <w:rFonts w:cs="Times New Roman"/>
                <w:sz w:val="21"/>
                <w:szCs w:val="21"/>
              </w:rPr>
            </w:pPr>
            <w:r>
              <w:rPr>
                <w:rFonts w:hint="eastAsia" w:cs="Times New Roman"/>
                <w:sz w:val="21"/>
                <w:szCs w:val="21"/>
              </w:rPr>
              <w:t>生产厂房、仓库和各种构筑物的结构强度、耐火等级、抗震设防烈度、通风、采光、照明等符合有关标准规定，有抗震、防水、防漏、防风、防雪等措施。</w:t>
            </w:r>
          </w:p>
        </w:tc>
        <w:tc>
          <w:tcPr>
            <w:tcW w:w="690" w:type="pct"/>
            <w:tcBorders>
              <w:top w:val="single" w:color="auto" w:sz="4" w:space="0"/>
              <w:left w:val="single" w:color="auto" w:sz="4" w:space="0"/>
              <w:bottom w:val="single" w:color="auto" w:sz="4" w:space="0"/>
            </w:tcBorders>
            <w:vAlign w:val="center"/>
          </w:tcPr>
          <w:p>
            <w:pPr>
              <w:spacing w:line="240" w:lineRule="auto"/>
              <w:ind w:firstLine="0" w:firstLineChars="0"/>
              <w:jc w:val="center"/>
              <w:rPr>
                <w:rFonts w:cs="Times New Roman"/>
                <w:sz w:val="21"/>
                <w:szCs w:val="21"/>
              </w:rPr>
            </w:pPr>
            <w:r>
              <w:rPr>
                <w:rFonts w:hint="eastAsia" w:cs="Times New Roman"/>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06" w:type="pct"/>
            <w:tcBorders>
              <w:top w:val="single" w:color="auto" w:sz="4" w:space="0"/>
              <w:bottom w:val="single" w:color="auto" w:sz="4" w:space="0"/>
              <w:right w:val="single" w:color="auto" w:sz="4" w:space="0"/>
            </w:tcBorders>
            <w:vAlign w:val="center"/>
          </w:tcPr>
          <w:p>
            <w:pPr>
              <w:numPr>
                <w:ilvl w:val="0"/>
                <w:numId w:val="57"/>
              </w:numPr>
              <w:tabs>
                <w:tab w:val="left" w:pos="397"/>
                <w:tab w:val="clear" w:pos="0"/>
              </w:tabs>
              <w:spacing w:line="240" w:lineRule="auto"/>
              <w:ind w:firstLine="0" w:firstLineChars="0"/>
              <w:jc w:val="center"/>
              <w:rPr>
                <w:rFonts w:ascii="宋体" w:hAnsi="宋体" w:cs="宋体"/>
                <w:b/>
                <w:bCs/>
                <w:color w:val="000000"/>
                <w:sz w:val="21"/>
                <w:szCs w:val="21"/>
              </w:rPr>
            </w:pPr>
          </w:p>
        </w:tc>
        <w:tc>
          <w:tcPr>
            <w:tcW w:w="1889"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both"/>
              <w:rPr>
                <w:rFonts w:cs="Times New Roman"/>
                <w:sz w:val="21"/>
                <w:szCs w:val="21"/>
              </w:rPr>
            </w:pPr>
            <w:r>
              <w:rPr>
                <w:rFonts w:hint="eastAsia" w:cs="Times New Roman"/>
                <w:sz w:val="21"/>
                <w:szCs w:val="21"/>
              </w:rPr>
              <w:t>建（构）筑物的通风换气条件，应保证作业环境空气中的危险和有害物质浓度不超过国家卫生标准和防爆规定。</w:t>
            </w:r>
          </w:p>
        </w:tc>
        <w:tc>
          <w:tcPr>
            <w:tcW w:w="1241" w:type="pct"/>
            <w:tcBorders>
              <w:top w:val="single" w:color="auto" w:sz="4" w:space="0"/>
              <w:left w:val="single" w:color="auto" w:sz="4" w:space="0"/>
              <w:bottom w:val="single" w:color="auto" w:sz="4" w:space="0"/>
              <w:right w:val="single" w:color="auto" w:sz="4" w:space="0"/>
            </w:tcBorders>
            <w:vAlign w:val="center"/>
          </w:tcPr>
          <w:p>
            <w:pPr>
              <w:wordWrap w:val="0"/>
              <w:spacing w:line="240" w:lineRule="auto"/>
              <w:ind w:firstLine="0" w:firstLineChars="0"/>
              <w:rPr>
                <w:rFonts w:cs="Times New Roman"/>
                <w:sz w:val="21"/>
                <w:szCs w:val="21"/>
              </w:rPr>
            </w:pPr>
            <w:r>
              <w:rPr>
                <w:rFonts w:hint="eastAsia" w:cs="Times New Roman"/>
                <w:sz w:val="21"/>
                <w:szCs w:val="21"/>
              </w:rPr>
              <w:t>《生产过程安全卫生要求总则》（GB/T 12801-2008）5.4.2</w:t>
            </w:r>
          </w:p>
        </w:tc>
        <w:tc>
          <w:tcPr>
            <w:tcW w:w="871"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both"/>
              <w:rPr>
                <w:rFonts w:cs="Times New Roman"/>
                <w:sz w:val="21"/>
                <w:szCs w:val="21"/>
              </w:rPr>
            </w:pPr>
            <w:r>
              <w:rPr>
                <w:rFonts w:hint="eastAsia" w:cs="Times New Roman"/>
                <w:sz w:val="21"/>
                <w:szCs w:val="21"/>
              </w:rPr>
              <w:t>通风换气条件满足要求</w:t>
            </w:r>
          </w:p>
        </w:tc>
        <w:tc>
          <w:tcPr>
            <w:tcW w:w="690" w:type="pct"/>
            <w:tcBorders>
              <w:top w:val="single" w:color="auto" w:sz="4" w:space="0"/>
              <w:left w:val="single" w:color="auto" w:sz="4" w:space="0"/>
              <w:bottom w:val="single" w:color="auto" w:sz="4" w:space="0"/>
            </w:tcBorders>
            <w:vAlign w:val="center"/>
          </w:tcPr>
          <w:p>
            <w:pPr>
              <w:spacing w:line="240" w:lineRule="auto"/>
              <w:ind w:firstLine="0" w:firstLineChars="0"/>
              <w:jc w:val="center"/>
              <w:rPr>
                <w:rFonts w:cs="Times New Roman"/>
                <w:sz w:val="21"/>
                <w:szCs w:val="21"/>
              </w:rPr>
            </w:pPr>
            <w:r>
              <w:rPr>
                <w:rFonts w:hint="eastAsia" w:cs="Times New Roman"/>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06" w:type="pct"/>
            <w:tcBorders>
              <w:top w:val="single" w:color="auto" w:sz="4" w:space="0"/>
              <w:bottom w:val="single" w:color="auto" w:sz="4" w:space="0"/>
              <w:right w:val="single" w:color="auto" w:sz="4" w:space="0"/>
            </w:tcBorders>
            <w:vAlign w:val="center"/>
          </w:tcPr>
          <w:p>
            <w:pPr>
              <w:numPr>
                <w:ilvl w:val="0"/>
                <w:numId w:val="57"/>
              </w:numPr>
              <w:tabs>
                <w:tab w:val="left" w:pos="397"/>
                <w:tab w:val="clear" w:pos="0"/>
              </w:tabs>
              <w:spacing w:line="240" w:lineRule="auto"/>
              <w:ind w:firstLine="0" w:firstLineChars="0"/>
              <w:jc w:val="center"/>
              <w:rPr>
                <w:rFonts w:ascii="宋体" w:hAnsi="宋体" w:cs="宋体"/>
                <w:b/>
                <w:bCs/>
                <w:color w:val="000000"/>
                <w:sz w:val="21"/>
                <w:szCs w:val="21"/>
              </w:rPr>
            </w:pPr>
          </w:p>
        </w:tc>
        <w:tc>
          <w:tcPr>
            <w:tcW w:w="1889"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both"/>
              <w:rPr>
                <w:rFonts w:cs="Times New Roman"/>
                <w:sz w:val="21"/>
                <w:szCs w:val="21"/>
              </w:rPr>
            </w:pPr>
            <w:r>
              <w:rPr>
                <w:rFonts w:hint="eastAsia" w:cs="Times New Roman"/>
                <w:sz w:val="21"/>
                <w:szCs w:val="21"/>
              </w:rPr>
              <w:t>生产过程中产生的振动、高温、高压、深冷、腐蚀等因素，如对建(构)筑物造成影响时，应采取相应的防范措施。</w:t>
            </w:r>
          </w:p>
        </w:tc>
        <w:tc>
          <w:tcPr>
            <w:tcW w:w="1241" w:type="pct"/>
            <w:tcBorders>
              <w:top w:val="single" w:color="auto" w:sz="4" w:space="0"/>
              <w:left w:val="single" w:color="auto" w:sz="4" w:space="0"/>
              <w:bottom w:val="single" w:color="auto" w:sz="4" w:space="0"/>
              <w:right w:val="single" w:color="auto" w:sz="4" w:space="0"/>
            </w:tcBorders>
            <w:vAlign w:val="center"/>
          </w:tcPr>
          <w:p>
            <w:pPr>
              <w:wordWrap w:val="0"/>
              <w:spacing w:line="240" w:lineRule="auto"/>
              <w:ind w:firstLine="0" w:firstLineChars="0"/>
              <w:rPr>
                <w:rFonts w:cs="Times New Roman"/>
                <w:sz w:val="21"/>
                <w:szCs w:val="21"/>
              </w:rPr>
            </w:pPr>
            <w:r>
              <w:rPr>
                <w:rFonts w:hint="eastAsia" w:cs="Times New Roman"/>
                <w:sz w:val="21"/>
                <w:szCs w:val="21"/>
              </w:rPr>
              <w:t>《生产过程安全卫生要求总则》（GB/T12801-2008）5.4.3</w:t>
            </w:r>
          </w:p>
        </w:tc>
        <w:tc>
          <w:tcPr>
            <w:tcW w:w="871"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both"/>
              <w:rPr>
                <w:rFonts w:cs="Times New Roman"/>
                <w:sz w:val="21"/>
                <w:szCs w:val="21"/>
              </w:rPr>
            </w:pPr>
            <w:r>
              <w:rPr>
                <w:rFonts w:hint="eastAsia" w:cs="Times New Roman"/>
                <w:sz w:val="21"/>
                <w:szCs w:val="21"/>
              </w:rPr>
              <w:t>生产过程中产生的振动、高温、高压、腐蚀等因素，对建(构)筑物造成影响的，采取相应的防范措施。</w:t>
            </w:r>
          </w:p>
        </w:tc>
        <w:tc>
          <w:tcPr>
            <w:tcW w:w="690" w:type="pct"/>
            <w:tcBorders>
              <w:top w:val="single" w:color="auto" w:sz="4" w:space="0"/>
              <w:left w:val="single" w:color="auto" w:sz="4" w:space="0"/>
              <w:bottom w:val="single" w:color="auto" w:sz="4" w:space="0"/>
            </w:tcBorders>
            <w:vAlign w:val="center"/>
          </w:tcPr>
          <w:p>
            <w:pPr>
              <w:spacing w:line="240" w:lineRule="auto"/>
              <w:ind w:firstLine="0" w:firstLineChars="0"/>
              <w:jc w:val="center"/>
              <w:rPr>
                <w:rFonts w:cs="Times New Roman"/>
                <w:sz w:val="21"/>
                <w:szCs w:val="21"/>
              </w:rPr>
            </w:pPr>
            <w:r>
              <w:rPr>
                <w:rFonts w:hint="eastAsia" w:cs="Times New Roman"/>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06" w:type="pct"/>
            <w:tcBorders>
              <w:top w:val="single" w:color="auto" w:sz="4" w:space="0"/>
              <w:bottom w:val="single" w:color="auto" w:sz="4" w:space="0"/>
              <w:right w:val="single" w:color="auto" w:sz="4" w:space="0"/>
            </w:tcBorders>
            <w:vAlign w:val="center"/>
          </w:tcPr>
          <w:p>
            <w:pPr>
              <w:numPr>
                <w:ilvl w:val="0"/>
                <w:numId w:val="57"/>
              </w:numPr>
              <w:tabs>
                <w:tab w:val="left" w:pos="397"/>
                <w:tab w:val="clear" w:pos="0"/>
              </w:tabs>
              <w:spacing w:line="240" w:lineRule="auto"/>
              <w:ind w:firstLine="0" w:firstLineChars="0"/>
              <w:jc w:val="center"/>
              <w:rPr>
                <w:rFonts w:ascii="宋体" w:hAnsi="宋体" w:cs="宋体"/>
                <w:b/>
                <w:bCs/>
                <w:color w:val="000000"/>
                <w:sz w:val="21"/>
                <w:szCs w:val="21"/>
              </w:rPr>
            </w:pPr>
          </w:p>
        </w:tc>
        <w:tc>
          <w:tcPr>
            <w:tcW w:w="1889"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both"/>
              <w:rPr>
                <w:rFonts w:cs="Times New Roman"/>
                <w:sz w:val="21"/>
                <w:szCs w:val="21"/>
              </w:rPr>
            </w:pPr>
            <w:r>
              <w:rPr>
                <w:rFonts w:hint="eastAsia" w:cs="Times New Roman"/>
                <w:sz w:val="21"/>
                <w:szCs w:val="21"/>
              </w:rPr>
              <w:t>具有爆炸危险场所的建（构）筑物的结构形式以及选用的建筑材料，应符合防火、防爆要求。</w:t>
            </w:r>
          </w:p>
        </w:tc>
        <w:tc>
          <w:tcPr>
            <w:tcW w:w="1241" w:type="pct"/>
            <w:tcBorders>
              <w:top w:val="single" w:color="auto" w:sz="4" w:space="0"/>
              <w:left w:val="single" w:color="auto" w:sz="4" w:space="0"/>
              <w:bottom w:val="single" w:color="auto" w:sz="4" w:space="0"/>
              <w:right w:val="single" w:color="auto" w:sz="4" w:space="0"/>
            </w:tcBorders>
            <w:vAlign w:val="center"/>
          </w:tcPr>
          <w:p>
            <w:pPr>
              <w:wordWrap w:val="0"/>
              <w:spacing w:line="240" w:lineRule="auto"/>
              <w:ind w:firstLine="0" w:firstLineChars="0"/>
              <w:rPr>
                <w:rFonts w:cs="Times New Roman"/>
                <w:sz w:val="21"/>
                <w:szCs w:val="21"/>
              </w:rPr>
            </w:pPr>
            <w:r>
              <w:rPr>
                <w:rFonts w:hint="eastAsia" w:cs="Times New Roman"/>
                <w:sz w:val="21"/>
                <w:szCs w:val="21"/>
              </w:rPr>
              <w:t>《生产过程安全卫生要求总则》（GB/T 12801-2008）5.4.5</w:t>
            </w:r>
          </w:p>
        </w:tc>
        <w:tc>
          <w:tcPr>
            <w:tcW w:w="871"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both"/>
              <w:rPr>
                <w:rFonts w:cs="Times New Roman"/>
                <w:sz w:val="21"/>
                <w:szCs w:val="21"/>
              </w:rPr>
            </w:pPr>
            <w:r>
              <w:rPr>
                <w:rFonts w:hint="eastAsia" w:cs="Times New Roman"/>
                <w:sz w:val="21"/>
                <w:szCs w:val="21"/>
              </w:rPr>
              <w:t>具有爆炸危险场所的建（构）筑物的结构形式以及选用的建筑材料，符合防火、防爆要求。</w:t>
            </w:r>
          </w:p>
        </w:tc>
        <w:tc>
          <w:tcPr>
            <w:tcW w:w="690" w:type="pct"/>
            <w:tcBorders>
              <w:top w:val="single" w:color="auto" w:sz="4" w:space="0"/>
              <w:left w:val="single" w:color="auto" w:sz="4" w:space="0"/>
              <w:bottom w:val="single" w:color="auto" w:sz="4" w:space="0"/>
            </w:tcBorders>
            <w:vAlign w:val="center"/>
          </w:tcPr>
          <w:p>
            <w:pPr>
              <w:spacing w:line="240" w:lineRule="auto"/>
              <w:ind w:firstLine="0" w:firstLineChars="0"/>
              <w:jc w:val="center"/>
              <w:rPr>
                <w:rFonts w:cs="Times New Roman"/>
                <w:sz w:val="21"/>
                <w:szCs w:val="21"/>
              </w:rPr>
            </w:pPr>
            <w:r>
              <w:rPr>
                <w:rFonts w:hint="eastAsia" w:cs="Times New Roman"/>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06" w:type="pct"/>
            <w:tcBorders>
              <w:top w:val="single" w:color="auto" w:sz="4" w:space="0"/>
              <w:bottom w:val="single" w:color="auto" w:sz="4" w:space="0"/>
              <w:right w:val="single" w:color="auto" w:sz="4" w:space="0"/>
            </w:tcBorders>
            <w:vAlign w:val="center"/>
          </w:tcPr>
          <w:p>
            <w:pPr>
              <w:numPr>
                <w:ilvl w:val="0"/>
                <w:numId w:val="57"/>
              </w:numPr>
              <w:tabs>
                <w:tab w:val="left" w:pos="397"/>
                <w:tab w:val="clear" w:pos="0"/>
              </w:tabs>
              <w:spacing w:line="240" w:lineRule="auto"/>
              <w:ind w:firstLine="0" w:firstLineChars="0"/>
              <w:jc w:val="center"/>
              <w:rPr>
                <w:rFonts w:ascii="宋体" w:hAnsi="宋体" w:cs="宋体"/>
                <w:b/>
                <w:bCs/>
                <w:color w:val="000000"/>
                <w:sz w:val="21"/>
                <w:szCs w:val="21"/>
              </w:rPr>
            </w:pPr>
          </w:p>
        </w:tc>
        <w:tc>
          <w:tcPr>
            <w:tcW w:w="1889"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both"/>
              <w:rPr>
                <w:rFonts w:cs="Times New Roman"/>
                <w:sz w:val="21"/>
                <w:szCs w:val="21"/>
              </w:rPr>
            </w:pPr>
            <w:r>
              <w:rPr>
                <w:rFonts w:hint="eastAsia" w:cs="Times New Roman"/>
                <w:sz w:val="21"/>
                <w:szCs w:val="21"/>
              </w:rPr>
              <w:t>危险性作业场所，应设置安全通道；应设应急照明、安全标志和疏散指示标志；门窗应向外开启。通道和出口应保持畅通；出入口的设置应符合有关规定。</w:t>
            </w:r>
          </w:p>
        </w:tc>
        <w:tc>
          <w:tcPr>
            <w:tcW w:w="1241" w:type="pct"/>
            <w:tcBorders>
              <w:top w:val="single" w:color="auto" w:sz="4" w:space="0"/>
              <w:left w:val="single" w:color="auto" w:sz="4" w:space="0"/>
              <w:bottom w:val="single" w:color="auto" w:sz="4" w:space="0"/>
              <w:right w:val="single" w:color="auto" w:sz="4" w:space="0"/>
            </w:tcBorders>
            <w:vAlign w:val="center"/>
          </w:tcPr>
          <w:p>
            <w:pPr>
              <w:wordWrap w:val="0"/>
              <w:spacing w:line="240" w:lineRule="auto"/>
              <w:ind w:firstLine="0" w:firstLineChars="0"/>
              <w:rPr>
                <w:rFonts w:cs="Times New Roman"/>
                <w:sz w:val="21"/>
                <w:szCs w:val="21"/>
              </w:rPr>
            </w:pPr>
            <w:r>
              <w:rPr>
                <w:rFonts w:hint="eastAsia" w:cs="Times New Roman"/>
                <w:sz w:val="21"/>
                <w:szCs w:val="21"/>
              </w:rPr>
              <w:t>《生产过程安全卫生要求总则》（GB/T 12801-2008）5.4.6</w:t>
            </w:r>
          </w:p>
        </w:tc>
        <w:tc>
          <w:tcPr>
            <w:tcW w:w="871"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both"/>
              <w:rPr>
                <w:rFonts w:cs="Times New Roman"/>
                <w:sz w:val="21"/>
                <w:szCs w:val="21"/>
              </w:rPr>
            </w:pPr>
            <w:r>
              <w:rPr>
                <w:rFonts w:hint="eastAsia" w:cs="Times New Roman"/>
                <w:sz w:val="21"/>
                <w:szCs w:val="21"/>
              </w:rPr>
              <w:t>危险性作业场所，设置安全通道；设置应急照明、安全标志和疏散指示标志；门窗向外开启。通道和出口保持畅通；出入口的设置符合有关规定。</w:t>
            </w:r>
          </w:p>
        </w:tc>
        <w:tc>
          <w:tcPr>
            <w:tcW w:w="690" w:type="pct"/>
            <w:tcBorders>
              <w:top w:val="single" w:color="auto" w:sz="4" w:space="0"/>
              <w:left w:val="single" w:color="auto" w:sz="4" w:space="0"/>
              <w:bottom w:val="single" w:color="auto" w:sz="4" w:space="0"/>
            </w:tcBorders>
            <w:vAlign w:val="center"/>
          </w:tcPr>
          <w:p>
            <w:pPr>
              <w:spacing w:line="240" w:lineRule="auto"/>
              <w:ind w:firstLine="0" w:firstLineChars="0"/>
              <w:jc w:val="center"/>
              <w:rPr>
                <w:rFonts w:cs="Times New Roman"/>
                <w:sz w:val="21"/>
                <w:szCs w:val="21"/>
              </w:rPr>
            </w:pPr>
            <w:r>
              <w:rPr>
                <w:rFonts w:hint="eastAsia" w:cs="Times New Roman"/>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06" w:type="pct"/>
            <w:tcBorders>
              <w:top w:val="single" w:color="auto" w:sz="4" w:space="0"/>
              <w:bottom w:val="single" w:color="auto" w:sz="4" w:space="0"/>
              <w:right w:val="single" w:color="auto" w:sz="4" w:space="0"/>
            </w:tcBorders>
            <w:vAlign w:val="center"/>
          </w:tcPr>
          <w:p>
            <w:pPr>
              <w:numPr>
                <w:ilvl w:val="0"/>
                <w:numId w:val="57"/>
              </w:numPr>
              <w:tabs>
                <w:tab w:val="left" w:pos="397"/>
                <w:tab w:val="clear" w:pos="0"/>
              </w:tabs>
              <w:spacing w:line="240" w:lineRule="auto"/>
              <w:ind w:firstLine="0" w:firstLineChars="0"/>
              <w:jc w:val="center"/>
              <w:rPr>
                <w:rFonts w:ascii="宋体" w:hAnsi="宋体" w:cs="宋体"/>
                <w:b/>
                <w:bCs/>
                <w:color w:val="000000"/>
                <w:sz w:val="21"/>
                <w:szCs w:val="21"/>
              </w:rPr>
            </w:pPr>
          </w:p>
        </w:tc>
        <w:tc>
          <w:tcPr>
            <w:tcW w:w="1889"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both"/>
              <w:rPr>
                <w:rFonts w:cs="Times New Roman"/>
                <w:sz w:val="21"/>
                <w:szCs w:val="21"/>
              </w:rPr>
            </w:pPr>
            <w:r>
              <w:rPr>
                <w:rFonts w:hint="eastAsia" w:cs="Times New Roman"/>
                <w:sz w:val="21"/>
                <w:szCs w:val="21"/>
              </w:rPr>
              <w:t>根据建（构）筑物的防雷类别，按有关标准规定设置防雷电设施，并定期检测。</w:t>
            </w:r>
          </w:p>
        </w:tc>
        <w:tc>
          <w:tcPr>
            <w:tcW w:w="1241" w:type="pct"/>
            <w:tcBorders>
              <w:top w:val="single" w:color="auto" w:sz="4" w:space="0"/>
              <w:left w:val="single" w:color="auto" w:sz="4" w:space="0"/>
              <w:bottom w:val="single" w:color="auto" w:sz="4" w:space="0"/>
              <w:right w:val="single" w:color="auto" w:sz="4" w:space="0"/>
            </w:tcBorders>
            <w:vAlign w:val="center"/>
          </w:tcPr>
          <w:p>
            <w:pPr>
              <w:wordWrap w:val="0"/>
              <w:spacing w:line="240" w:lineRule="auto"/>
              <w:ind w:firstLine="0" w:firstLineChars="0"/>
              <w:rPr>
                <w:rFonts w:cs="Times New Roman"/>
                <w:sz w:val="21"/>
                <w:szCs w:val="21"/>
              </w:rPr>
            </w:pPr>
            <w:r>
              <w:rPr>
                <w:rFonts w:hint="eastAsia" w:cs="Times New Roman"/>
                <w:sz w:val="21"/>
                <w:szCs w:val="21"/>
              </w:rPr>
              <w:t>《生产过程安全卫生要求总则》（GB/T 12801-2008）5.4.7</w:t>
            </w:r>
          </w:p>
        </w:tc>
        <w:tc>
          <w:tcPr>
            <w:tcW w:w="871"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both"/>
              <w:rPr>
                <w:rFonts w:cs="Times New Roman"/>
                <w:sz w:val="21"/>
                <w:szCs w:val="21"/>
              </w:rPr>
            </w:pPr>
            <w:r>
              <w:rPr>
                <w:rFonts w:hint="eastAsia" w:cs="Times New Roman"/>
                <w:sz w:val="21"/>
                <w:szCs w:val="21"/>
              </w:rPr>
              <w:t>根据建（构）筑物的防雷类别，按有关标准规定设置防雷电设施，并定期检测。</w:t>
            </w:r>
          </w:p>
        </w:tc>
        <w:tc>
          <w:tcPr>
            <w:tcW w:w="690" w:type="pct"/>
            <w:tcBorders>
              <w:top w:val="single" w:color="auto" w:sz="4" w:space="0"/>
              <w:left w:val="single" w:color="auto" w:sz="4" w:space="0"/>
              <w:bottom w:val="single" w:color="auto" w:sz="4" w:space="0"/>
            </w:tcBorders>
            <w:vAlign w:val="center"/>
          </w:tcPr>
          <w:p>
            <w:pPr>
              <w:spacing w:line="240" w:lineRule="auto"/>
              <w:ind w:firstLine="0" w:firstLineChars="0"/>
              <w:jc w:val="center"/>
              <w:rPr>
                <w:rFonts w:cs="Times New Roman"/>
                <w:sz w:val="21"/>
                <w:szCs w:val="21"/>
              </w:rPr>
            </w:pPr>
            <w:r>
              <w:rPr>
                <w:rFonts w:hint="eastAsia" w:cs="Times New Roman"/>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06" w:type="pct"/>
            <w:tcBorders>
              <w:top w:val="single" w:color="auto" w:sz="4" w:space="0"/>
              <w:bottom w:val="single" w:color="auto" w:sz="4" w:space="0"/>
              <w:right w:val="single" w:color="auto" w:sz="4" w:space="0"/>
            </w:tcBorders>
            <w:vAlign w:val="center"/>
          </w:tcPr>
          <w:p>
            <w:pPr>
              <w:numPr>
                <w:ilvl w:val="0"/>
                <w:numId w:val="57"/>
              </w:numPr>
              <w:tabs>
                <w:tab w:val="left" w:pos="397"/>
                <w:tab w:val="clear" w:pos="0"/>
              </w:tabs>
              <w:spacing w:line="240" w:lineRule="auto"/>
              <w:ind w:firstLine="0" w:firstLineChars="0"/>
              <w:jc w:val="center"/>
              <w:rPr>
                <w:rFonts w:ascii="宋体" w:hAnsi="宋体" w:cs="宋体"/>
                <w:b/>
                <w:bCs/>
                <w:color w:val="000000"/>
                <w:sz w:val="21"/>
                <w:szCs w:val="21"/>
              </w:rPr>
            </w:pPr>
            <w:bookmarkStart w:id="280" w:name="_Toc498299360"/>
            <w:bookmarkStart w:id="281" w:name="_Toc500007168"/>
            <w:bookmarkStart w:id="282" w:name="_Toc498519830"/>
          </w:p>
        </w:tc>
        <w:tc>
          <w:tcPr>
            <w:tcW w:w="1889"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both"/>
              <w:rPr>
                <w:rFonts w:cs="Times New Roman"/>
                <w:sz w:val="21"/>
                <w:szCs w:val="21"/>
              </w:rPr>
            </w:pPr>
            <w:r>
              <w:rPr>
                <w:rFonts w:hint="eastAsia" w:cs="Times New Roman"/>
                <w:sz w:val="21"/>
                <w:szCs w:val="21"/>
              </w:rPr>
              <w:t>应合理布局冶炼(熔炼)炉熔融金属和熔渣排出系统、炉外精炼、连铸(或半连铸、模铸)及熔融金属吊运通道，保证工艺顺畅，尽量减少高温熔融金属吊运次数和距离。</w:t>
            </w:r>
          </w:p>
        </w:tc>
        <w:tc>
          <w:tcPr>
            <w:tcW w:w="1241"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cs="Times New Roman"/>
                <w:sz w:val="21"/>
                <w:szCs w:val="21"/>
              </w:rPr>
            </w:pPr>
            <w:r>
              <w:rPr>
                <w:rFonts w:hint="eastAsia" w:cs="Times New Roman"/>
                <w:sz w:val="21"/>
                <w:szCs w:val="21"/>
              </w:rPr>
              <w:t>《高温熔融金属吊运安全规程》(AQ 7011-2018)5.l</w:t>
            </w:r>
          </w:p>
        </w:tc>
        <w:tc>
          <w:tcPr>
            <w:tcW w:w="871"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both"/>
              <w:rPr>
                <w:rFonts w:cs="Times New Roman"/>
                <w:sz w:val="21"/>
                <w:szCs w:val="21"/>
              </w:rPr>
            </w:pPr>
            <w:r>
              <w:rPr>
                <w:rFonts w:hint="eastAsia" w:cs="Times New Roman"/>
                <w:sz w:val="21"/>
                <w:szCs w:val="21"/>
              </w:rPr>
              <w:t>厂房布局满足要求。</w:t>
            </w:r>
          </w:p>
        </w:tc>
        <w:tc>
          <w:tcPr>
            <w:tcW w:w="690" w:type="pct"/>
            <w:tcBorders>
              <w:top w:val="single" w:color="auto" w:sz="4" w:space="0"/>
              <w:left w:val="single" w:color="auto" w:sz="4" w:space="0"/>
              <w:bottom w:val="single" w:color="auto" w:sz="4" w:space="0"/>
            </w:tcBorders>
            <w:vAlign w:val="center"/>
          </w:tcPr>
          <w:p>
            <w:pPr>
              <w:spacing w:line="240" w:lineRule="auto"/>
              <w:ind w:firstLine="0" w:firstLineChars="0"/>
              <w:jc w:val="center"/>
              <w:rPr>
                <w:rFonts w:cs="Times New Roman"/>
                <w:sz w:val="21"/>
                <w:szCs w:val="21"/>
              </w:rPr>
            </w:pPr>
            <w:r>
              <w:rPr>
                <w:rFonts w:hint="eastAsia" w:cs="Times New Roman"/>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06" w:type="pct"/>
            <w:tcBorders>
              <w:top w:val="single" w:color="auto" w:sz="4" w:space="0"/>
              <w:bottom w:val="single" w:color="auto" w:sz="4" w:space="0"/>
              <w:right w:val="single" w:color="auto" w:sz="4" w:space="0"/>
            </w:tcBorders>
            <w:vAlign w:val="center"/>
          </w:tcPr>
          <w:p>
            <w:pPr>
              <w:numPr>
                <w:ilvl w:val="0"/>
                <w:numId w:val="57"/>
              </w:numPr>
              <w:tabs>
                <w:tab w:val="left" w:pos="397"/>
                <w:tab w:val="clear" w:pos="0"/>
              </w:tabs>
              <w:spacing w:line="240" w:lineRule="auto"/>
              <w:ind w:firstLine="0" w:firstLineChars="0"/>
              <w:jc w:val="center"/>
              <w:rPr>
                <w:rFonts w:ascii="宋体" w:hAnsi="宋体" w:cs="宋体"/>
                <w:b/>
                <w:bCs/>
                <w:color w:val="000000"/>
                <w:sz w:val="21"/>
                <w:szCs w:val="21"/>
              </w:rPr>
            </w:pPr>
          </w:p>
        </w:tc>
        <w:tc>
          <w:tcPr>
            <w:tcW w:w="1889"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both"/>
              <w:rPr>
                <w:rFonts w:cs="Times New Roman"/>
                <w:sz w:val="21"/>
                <w:szCs w:val="21"/>
              </w:rPr>
            </w:pPr>
            <w:r>
              <w:rPr>
                <w:rFonts w:hint="eastAsia" w:cs="Times New Roman"/>
                <w:sz w:val="21"/>
                <w:szCs w:val="21"/>
              </w:rPr>
              <w:t>金属冶炼有高温熔融金属的厂房，车间地面标高应高出厂区周围地面标高0.3m以上，并采取防止屋面漏水和天窗飘雨等措施，还应防止区域内地面积水。</w:t>
            </w:r>
          </w:p>
        </w:tc>
        <w:tc>
          <w:tcPr>
            <w:tcW w:w="1241"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both"/>
              <w:rPr>
                <w:rFonts w:cs="Times New Roman"/>
                <w:sz w:val="21"/>
                <w:szCs w:val="21"/>
              </w:rPr>
            </w:pPr>
            <w:r>
              <w:rPr>
                <w:rFonts w:hint="eastAsia" w:cs="Times New Roman"/>
                <w:sz w:val="21"/>
                <w:szCs w:val="21"/>
              </w:rPr>
              <w:t>《高温熔融金属吊运安全规程》(AQ 7011-2018)5.2</w:t>
            </w:r>
          </w:p>
        </w:tc>
        <w:tc>
          <w:tcPr>
            <w:tcW w:w="871"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both"/>
              <w:rPr>
                <w:rFonts w:cs="Times New Roman"/>
                <w:sz w:val="21"/>
                <w:szCs w:val="21"/>
              </w:rPr>
            </w:pPr>
            <w:r>
              <w:rPr>
                <w:rFonts w:hint="eastAsia" w:cs="Times New Roman"/>
                <w:sz w:val="21"/>
                <w:szCs w:val="21"/>
              </w:rPr>
              <w:t>铸造车间厂房高出厂区周围地面标高0.3m以上，并采取防止屋面漏水和天窗飘雨等措施，还应防止区域内地面积水。</w:t>
            </w:r>
          </w:p>
        </w:tc>
        <w:tc>
          <w:tcPr>
            <w:tcW w:w="690" w:type="pct"/>
            <w:tcBorders>
              <w:top w:val="single" w:color="auto" w:sz="4" w:space="0"/>
              <w:left w:val="single" w:color="auto" w:sz="4" w:space="0"/>
              <w:bottom w:val="single" w:color="auto" w:sz="4" w:space="0"/>
            </w:tcBorders>
            <w:vAlign w:val="center"/>
          </w:tcPr>
          <w:p>
            <w:pPr>
              <w:spacing w:line="240" w:lineRule="auto"/>
              <w:ind w:firstLine="0" w:firstLineChars="0"/>
              <w:jc w:val="center"/>
              <w:rPr>
                <w:rFonts w:cs="Times New Roman"/>
                <w:sz w:val="21"/>
                <w:szCs w:val="21"/>
              </w:rPr>
            </w:pPr>
            <w:r>
              <w:rPr>
                <w:rFonts w:hint="eastAsia" w:cs="Times New Roman"/>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06" w:type="pct"/>
            <w:tcBorders>
              <w:top w:val="single" w:color="auto" w:sz="4" w:space="0"/>
              <w:bottom w:val="single" w:color="auto" w:sz="4" w:space="0"/>
              <w:right w:val="single" w:color="auto" w:sz="4" w:space="0"/>
            </w:tcBorders>
            <w:vAlign w:val="center"/>
          </w:tcPr>
          <w:p>
            <w:pPr>
              <w:numPr>
                <w:ilvl w:val="0"/>
                <w:numId w:val="57"/>
              </w:numPr>
              <w:tabs>
                <w:tab w:val="left" w:pos="397"/>
                <w:tab w:val="clear" w:pos="0"/>
              </w:tabs>
              <w:spacing w:line="240" w:lineRule="auto"/>
              <w:ind w:firstLine="0" w:firstLineChars="0"/>
              <w:jc w:val="center"/>
              <w:rPr>
                <w:rFonts w:ascii="宋体" w:hAnsi="宋体" w:cs="宋体"/>
                <w:b/>
                <w:bCs/>
                <w:color w:val="000000"/>
                <w:sz w:val="21"/>
                <w:szCs w:val="21"/>
              </w:rPr>
            </w:pPr>
          </w:p>
        </w:tc>
        <w:tc>
          <w:tcPr>
            <w:tcW w:w="1889"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both"/>
              <w:rPr>
                <w:rFonts w:cs="Times New Roman"/>
                <w:sz w:val="21"/>
                <w:szCs w:val="21"/>
              </w:rPr>
            </w:pPr>
            <w:r>
              <w:rPr>
                <w:rFonts w:hint="eastAsia" w:cs="Times New Roman"/>
                <w:sz w:val="21"/>
                <w:szCs w:val="21"/>
              </w:rPr>
              <w:t>高温熔融金属吊运作业的厂房基础的桩基应采取可靠的防止沉降的措施。</w:t>
            </w:r>
          </w:p>
        </w:tc>
        <w:tc>
          <w:tcPr>
            <w:tcW w:w="1241"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both"/>
              <w:rPr>
                <w:rFonts w:cs="Times New Roman"/>
                <w:sz w:val="21"/>
                <w:szCs w:val="21"/>
              </w:rPr>
            </w:pPr>
            <w:r>
              <w:rPr>
                <w:rFonts w:hint="eastAsia" w:cs="Times New Roman"/>
                <w:sz w:val="21"/>
                <w:szCs w:val="21"/>
              </w:rPr>
              <w:t>《高温熔融金属吊运安全规程》(AQ 7011-2018)5.3</w:t>
            </w:r>
          </w:p>
        </w:tc>
        <w:tc>
          <w:tcPr>
            <w:tcW w:w="871"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both"/>
              <w:rPr>
                <w:rFonts w:cs="Times New Roman"/>
                <w:sz w:val="21"/>
                <w:szCs w:val="21"/>
              </w:rPr>
            </w:pPr>
            <w:r>
              <w:rPr>
                <w:rFonts w:hint="eastAsia" w:cs="Times New Roman"/>
                <w:sz w:val="21"/>
                <w:szCs w:val="21"/>
              </w:rPr>
              <w:t>厂房基础的桩基采取可靠的防止沉降的措施。</w:t>
            </w:r>
          </w:p>
        </w:tc>
        <w:tc>
          <w:tcPr>
            <w:tcW w:w="690" w:type="pct"/>
            <w:tcBorders>
              <w:top w:val="single" w:color="auto" w:sz="4" w:space="0"/>
              <w:left w:val="single" w:color="auto" w:sz="4" w:space="0"/>
              <w:bottom w:val="single" w:color="auto" w:sz="4" w:space="0"/>
            </w:tcBorders>
            <w:vAlign w:val="center"/>
          </w:tcPr>
          <w:p>
            <w:pPr>
              <w:spacing w:line="240" w:lineRule="auto"/>
              <w:ind w:firstLine="0" w:firstLineChars="0"/>
              <w:jc w:val="center"/>
              <w:rPr>
                <w:rFonts w:cs="Times New Roman"/>
                <w:sz w:val="21"/>
                <w:szCs w:val="21"/>
              </w:rPr>
            </w:pPr>
            <w:r>
              <w:rPr>
                <w:rFonts w:hint="eastAsia" w:cs="Times New Roman"/>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06" w:type="pct"/>
            <w:tcBorders>
              <w:top w:val="single" w:color="auto" w:sz="4" w:space="0"/>
              <w:right w:val="single" w:color="auto" w:sz="4" w:space="0"/>
            </w:tcBorders>
            <w:vAlign w:val="center"/>
          </w:tcPr>
          <w:p>
            <w:pPr>
              <w:numPr>
                <w:ilvl w:val="0"/>
                <w:numId w:val="57"/>
              </w:numPr>
              <w:tabs>
                <w:tab w:val="left" w:pos="397"/>
                <w:tab w:val="clear" w:pos="0"/>
              </w:tabs>
              <w:spacing w:line="240" w:lineRule="auto"/>
              <w:ind w:firstLine="0" w:firstLineChars="0"/>
              <w:jc w:val="center"/>
              <w:rPr>
                <w:rFonts w:ascii="宋体" w:hAnsi="宋体" w:cs="宋体"/>
                <w:b/>
                <w:bCs/>
                <w:color w:val="000000"/>
                <w:sz w:val="21"/>
                <w:szCs w:val="21"/>
              </w:rPr>
            </w:pPr>
          </w:p>
        </w:tc>
        <w:tc>
          <w:tcPr>
            <w:tcW w:w="1889" w:type="pct"/>
            <w:tcBorders>
              <w:top w:val="single" w:color="auto" w:sz="4" w:space="0"/>
              <w:left w:val="single" w:color="auto" w:sz="4" w:space="0"/>
              <w:right w:val="single" w:color="auto" w:sz="4" w:space="0"/>
            </w:tcBorders>
            <w:vAlign w:val="center"/>
          </w:tcPr>
          <w:p>
            <w:pPr>
              <w:spacing w:line="240" w:lineRule="auto"/>
              <w:ind w:firstLine="0" w:firstLineChars="0"/>
              <w:jc w:val="both"/>
              <w:rPr>
                <w:rFonts w:cs="Times New Roman"/>
                <w:sz w:val="21"/>
                <w:szCs w:val="21"/>
              </w:rPr>
            </w:pPr>
            <w:r>
              <w:rPr>
                <w:rFonts w:hint="eastAsia" w:cs="Times New Roman"/>
                <w:sz w:val="21"/>
                <w:szCs w:val="21"/>
              </w:rPr>
              <w:t>建(构)筑物有可能被高温熔融金属喷溅造成危害的建筑构件，应有隔热、绝热保护措施。运载高温熔融金属的罐车、过跨车、底盘铸车、(空)铸锭模车等车辆及运载物的外表面距楼板和厂房(平台)柱的外表面不应小于800mm，受火焰影响或辐射温度较高(钢结构≥200℃，普通混凝土≥80℃)的楼板和柱子应采取隔热保护措施。</w:t>
            </w:r>
          </w:p>
        </w:tc>
        <w:tc>
          <w:tcPr>
            <w:tcW w:w="1241" w:type="pct"/>
            <w:tcBorders>
              <w:top w:val="single" w:color="auto" w:sz="4" w:space="0"/>
              <w:left w:val="single" w:color="auto" w:sz="4" w:space="0"/>
              <w:right w:val="single" w:color="auto" w:sz="4" w:space="0"/>
            </w:tcBorders>
            <w:vAlign w:val="center"/>
          </w:tcPr>
          <w:p>
            <w:pPr>
              <w:spacing w:line="240" w:lineRule="auto"/>
              <w:ind w:firstLine="0" w:firstLineChars="0"/>
              <w:jc w:val="both"/>
              <w:rPr>
                <w:rFonts w:cs="Times New Roman"/>
                <w:sz w:val="21"/>
                <w:szCs w:val="21"/>
              </w:rPr>
            </w:pPr>
            <w:r>
              <w:rPr>
                <w:rFonts w:hint="eastAsia" w:cs="Times New Roman"/>
                <w:sz w:val="21"/>
                <w:szCs w:val="21"/>
              </w:rPr>
              <w:t>《高温熔融金属吊运安全规程》(AQ 7011-2018)5.6</w:t>
            </w:r>
          </w:p>
        </w:tc>
        <w:tc>
          <w:tcPr>
            <w:tcW w:w="871" w:type="pct"/>
            <w:tcBorders>
              <w:top w:val="single" w:color="auto" w:sz="4" w:space="0"/>
              <w:left w:val="single" w:color="auto" w:sz="4" w:space="0"/>
              <w:right w:val="single" w:color="auto" w:sz="4" w:space="0"/>
            </w:tcBorders>
            <w:vAlign w:val="center"/>
          </w:tcPr>
          <w:p>
            <w:pPr>
              <w:spacing w:line="240" w:lineRule="auto"/>
              <w:ind w:firstLine="0" w:firstLineChars="0"/>
              <w:jc w:val="both"/>
              <w:rPr>
                <w:rFonts w:cs="Times New Roman"/>
                <w:sz w:val="21"/>
                <w:szCs w:val="21"/>
              </w:rPr>
            </w:pPr>
            <w:r>
              <w:rPr>
                <w:rFonts w:hint="eastAsia" w:cs="Times New Roman"/>
                <w:sz w:val="21"/>
                <w:szCs w:val="21"/>
              </w:rPr>
              <w:t>运载高温熔融金属的叉车距楼板和厂房(平台)柱的外表面不小于800mm,</w:t>
            </w:r>
          </w:p>
        </w:tc>
        <w:tc>
          <w:tcPr>
            <w:tcW w:w="690" w:type="pct"/>
            <w:tcBorders>
              <w:top w:val="single" w:color="auto" w:sz="4" w:space="0"/>
              <w:left w:val="single" w:color="auto" w:sz="4" w:space="0"/>
            </w:tcBorders>
            <w:vAlign w:val="center"/>
          </w:tcPr>
          <w:p>
            <w:pPr>
              <w:spacing w:line="240" w:lineRule="auto"/>
              <w:ind w:firstLine="0" w:firstLineChars="0"/>
              <w:jc w:val="center"/>
              <w:rPr>
                <w:rFonts w:cs="Times New Roman"/>
                <w:sz w:val="21"/>
                <w:szCs w:val="21"/>
              </w:rPr>
            </w:pPr>
            <w:r>
              <w:rPr>
                <w:rFonts w:hint="eastAsia" w:cs="Times New Roman"/>
                <w:sz w:val="21"/>
                <w:szCs w:val="21"/>
              </w:rPr>
              <w:t>符合</w:t>
            </w:r>
          </w:p>
        </w:tc>
      </w:tr>
    </w:tbl>
    <w:p>
      <w:pPr>
        <w:ind w:firstLine="560"/>
      </w:pPr>
      <w:r>
        <w:rPr>
          <w:rFonts w:hint="eastAsia"/>
        </w:rPr>
        <w:t>针对项目建（构）筑物对抗震设防，防火防爆，厂房结构设计所采取的承受重荷载、高温辐射、熔融金属喷溅冲刷、振动与冲击、防渗、防酸碱腐蚀和通风、散热、采光等措施符合相关标准规范要求。</w:t>
      </w:r>
    </w:p>
    <w:p>
      <w:pPr>
        <w:pStyle w:val="6"/>
        <w:spacing w:before="156" w:after="156"/>
      </w:pPr>
      <w:bookmarkStart w:id="283" w:name="_Toc1322"/>
      <w:r>
        <w:t>工艺布置与运输</w:t>
      </w:r>
      <w:bookmarkEnd w:id="283"/>
    </w:p>
    <w:p>
      <w:pPr>
        <w:ind w:firstLine="560"/>
        <w:rPr>
          <w:rFonts w:ascii="宋体" w:hAnsi="宋体" w:cs="宋体"/>
        </w:rPr>
      </w:pPr>
      <w:r>
        <w:rPr>
          <w:rFonts w:hint="eastAsia" w:ascii="宋体" w:hAnsi="宋体" w:cs="宋体"/>
        </w:rPr>
        <w:t>依据《生产过程安全卫生要求总则》（GB/T 12801-2008）、《建筑设计防火规范（2018年版）》（GB50016-2014）、《生产设备安全卫生设计总则》(GB5083-1999)等规范采用安全检查表对项目工艺布置与运输进行符合性评价。</w:t>
      </w:r>
    </w:p>
    <w:p>
      <w:pPr>
        <w:pStyle w:val="14"/>
        <w:spacing w:before="156" w:after="156"/>
      </w:pPr>
      <w:r>
        <w:t xml:space="preserve">表 </w:t>
      </w:r>
      <w:r>
        <w:fldChar w:fldCharType="begin"/>
      </w:r>
      <w:r>
        <w:instrText xml:space="preserve"> STYLEREF 2 \s </w:instrText>
      </w:r>
      <w:r>
        <w:fldChar w:fldCharType="separate"/>
      </w:r>
      <w:r>
        <w:t>5.3</w:t>
      </w:r>
      <w:r>
        <w:fldChar w:fldCharType="end"/>
      </w:r>
      <w:r>
        <w:rPr>
          <w:rFonts w:hint="eastAsia"/>
        </w:rPr>
        <w:t>-</w:t>
      </w:r>
      <w:r>
        <w:fldChar w:fldCharType="begin"/>
      </w:r>
      <w:r>
        <w:instrText xml:space="preserve"> SEQ 表 \* ARABIC \s 2 </w:instrText>
      </w:r>
      <w:r>
        <w:fldChar w:fldCharType="separate"/>
      </w:r>
      <w:r>
        <w:t>2</w:t>
      </w:r>
      <w:r>
        <w:fldChar w:fldCharType="end"/>
      </w:r>
      <w:r>
        <w:rPr>
          <w:rFonts w:hint="eastAsia" w:ascii="宋体" w:hAnsi="宋体" w:cs="宋体"/>
        </w:rPr>
        <w:t>项目工艺布置与运输符合性安全检查表</w:t>
      </w:r>
    </w:p>
    <w:tbl>
      <w:tblPr>
        <w:tblStyle w:val="29"/>
        <w:tblW w:w="4998" w:type="pct"/>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autofit"/>
        <w:tblCellMar>
          <w:top w:w="0" w:type="dxa"/>
          <w:left w:w="108" w:type="dxa"/>
          <w:bottom w:w="0" w:type="dxa"/>
          <w:right w:w="108" w:type="dxa"/>
        </w:tblCellMar>
      </w:tblPr>
      <w:tblGrid>
        <w:gridCol w:w="706"/>
        <w:gridCol w:w="3024"/>
        <w:gridCol w:w="2224"/>
        <w:gridCol w:w="1767"/>
        <w:gridCol w:w="798"/>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414" w:type="pct"/>
            <w:vAlign w:val="center"/>
          </w:tcPr>
          <w:p>
            <w:pPr>
              <w:tabs>
                <w:tab w:val="left" w:pos="397"/>
              </w:tabs>
              <w:snapToGrid w:val="0"/>
              <w:spacing w:line="240" w:lineRule="auto"/>
              <w:ind w:firstLine="0" w:firstLineChars="0"/>
              <w:jc w:val="center"/>
              <w:rPr>
                <w:rFonts w:ascii="宋体" w:hAnsi="宋体"/>
                <w:b/>
                <w:sz w:val="24"/>
                <w:szCs w:val="20"/>
              </w:rPr>
            </w:pPr>
            <w:r>
              <w:rPr>
                <w:rFonts w:ascii="宋体" w:hAnsi="宋体"/>
                <w:b/>
                <w:sz w:val="24"/>
                <w:szCs w:val="20"/>
              </w:rPr>
              <w:t>序号</w:t>
            </w:r>
          </w:p>
        </w:tc>
        <w:tc>
          <w:tcPr>
            <w:tcW w:w="1774" w:type="pct"/>
            <w:vAlign w:val="center"/>
          </w:tcPr>
          <w:p>
            <w:pPr>
              <w:snapToGrid w:val="0"/>
              <w:spacing w:line="240" w:lineRule="auto"/>
              <w:ind w:firstLine="0" w:firstLineChars="0"/>
              <w:jc w:val="center"/>
              <w:rPr>
                <w:rFonts w:ascii="宋体" w:hAnsi="宋体"/>
                <w:b/>
                <w:sz w:val="24"/>
                <w:szCs w:val="20"/>
              </w:rPr>
            </w:pPr>
            <w:r>
              <w:rPr>
                <w:rFonts w:ascii="宋体" w:hAnsi="宋体"/>
                <w:b/>
                <w:sz w:val="24"/>
                <w:szCs w:val="20"/>
              </w:rPr>
              <w:t>检查内容</w:t>
            </w:r>
          </w:p>
        </w:tc>
        <w:tc>
          <w:tcPr>
            <w:tcW w:w="1305" w:type="pct"/>
            <w:vAlign w:val="center"/>
          </w:tcPr>
          <w:p>
            <w:pPr>
              <w:snapToGrid w:val="0"/>
              <w:spacing w:line="240" w:lineRule="auto"/>
              <w:ind w:firstLine="0" w:firstLineChars="0"/>
              <w:jc w:val="center"/>
              <w:rPr>
                <w:rFonts w:ascii="宋体" w:hAnsi="宋体"/>
                <w:b/>
                <w:sz w:val="24"/>
                <w:szCs w:val="20"/>
              </w:rPr>
            </w:pPr>
            <w:r>
              <w:rPr>
                <w:rFonts w:ascii="宋体" w:hAnsi="宋体"/>
                <w:b/>
                <w:sz w:val="24"/>
                <w:szCs w:val="20"/>
              </w:rPr>
              <w:t>评价依据</w:t>
            </w:r>
          </w:p>
        </w:tc>
        <w:tc>
          <w:tcPr>
            <w:tcW w:w="1037" w:type="pct"/>
            <w:vAlign w:val="center"/>
          </w:tcPr>
          <w:p>
            <w:pPr>
              <w:snapToGrid w:val="0"/>
              <w:spacing w:line="240" w:lineRule="auto"/>
              <w:ind w:firstLine="0" w:firstLineChars="0"/>
              <w:jc w:val="center"/>
              <w:rPr>
                <w:rFonts w:ascii="宋体" w:hAnsi="宋体"/>
                <w:b/>
                <w:sz w:val="24"/>
                <w:szCs w:val="20"/>
              </w:rPr>
            </w:pPr>
            <w:r>
              <w:rPr>
                <w:rFonts w:ascii="宋体" w:hAnsi="宋体"/>
                <w:b/>
                <w:sz w:val="24"/>
                <w:szCs w:val="20"/>
              </w:rPr>
              <w:t>检查</w:t>
            </w:r>
            <w:r>
              <w:rPr>
                <w:rFonts w:hint="eastAsia" w:ascii="宋体" w:hAnsi="宋体"/>
                <w:b/>
                <w:sz w:val="24"/>
                <w:szCs w:val="20"/>
              </w:rPr>
              <w:t>情况</w:t>
            </w:r>
          </w:p>
        </w:tc>
        <w:tc>
          <w:tcPr>
            <w:tcW w:w="468" w:type="pct"/>
            <w:vAlign w:val="center"/>
          </w:tcPr>
          <w:p>
            <w:pPr>
              <w:snapToGrid w:val="0"/>
              <w:spacing w:line="240" w:lineRule="auto"/>
              <w:ind w:firstLine="0" w:firstLineChars="0"/>
              <w:jc w:val="center"/>
              <w:rPr>
                <w:rFonts w:ascii="宋体" w:hAnsi="宋体"/>
                <w:b/>
                <w:sz w:val="24"/>
                <w:szCs w:val="20"/>
              </w:rPr>
            </w:pPr>
            <w:r>
              <w:rPr>
                <w:rFonts w:ascii="宋体" w:hAnsi="宋体"/>
                <w:b/>
                <w:sz w:val="24"/>
                <w:szCs w:val="20"/>
              </w:rPr>
              <w:t>检查</w:t>
            </w:r>
          </w:p>
          <w:p>
            <w:pPr>
              <w:snapToGrid w:val="0"/>
              <w:spacing w:line="240" w:lineRule="auto"/>
              <w:ind w:firstLine="0" w:firstLineChars="0"/>
              <w:jc w:val="center"/>
              <w:rPr>
                <w:rFonts w:ascii="宋体" w:hAnsi="宋体"/>
                <w:b/>
                <w:sz w:val="24"/>
                <w:szCs w:val="20"/>
              </w:rPr>
            </w:pPr>
            <w:r>
              <w:rPr>
                <w:rFonts w:ascii="宋体" w:hAnsi="宋体"/>
                <w:b/>
                <w:sz w:val="24"/>
                <w:szCs w:val="20"/>
              </w:rPr>
              <w:t>结果</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414" w:type="pct"/>
            <w:vAlign w:val="center"/>
          </w:tcPr>
          <w:p>
            <w:pPr>
              <w:numPr>
                <w:ilvl w:val="0"/>
                <w:numId w:val="58"/>
              </w:numPr>
              <w:spacing w:line="240" w:lineRule="auto"/>
              <w:ind w:firstLine="422"/>
              <w:jc w:val="center"/>
              <w:rPr>
                <w:rFonts w:ascii="宋体" w:hAnsi="宋体" w:cs="宋体"/>
                <w:b/>
                <w:bCs/>
                <w:color w:val="000000"/>
                <w:sz w:val="21"/>
                <w:szCs w:val="21"/>
              </w:rPr>
            </w:pPr>
          </w:p>
        </w:tc>
        <w:tc>
          <w:tcPr>
            <w:tcW w:w="1774" w:type="pct"/>
            <w:vAlign w:val="center"/>
          </w:tcPr>
          <w:p>
            <w:pPr>
              <w:spacing w:line="240" w:lineRule="auto"/>
              <w:ind w:firstLine="0" w:firstLineChars="0"/>
              <w:rPr>
                <w:rFonts w:cs="Times New Roman"/>
                <w:sz w:val="21"/>
                <w:szCs w:val="21"/>
              </w:rPr>
            </w:pPr>
            <w:r>
              <w:rPr>
                <w:rFonts w:hint="eastAsia" w:ascii="宋体" w:hAnsi="宋体" w:cs="宋体"/>
                <w:sz w:val="21"/>
                <w:szCs w:val="21"/>
              </w:rPr>
              <w:t>厂区出入口的位置和数量，应根据企业的生产规模、总体规划、厂区用地面积及总平面布置等因素综合确定，并应符合下列要求：1 出入口的数量不宜少于 2 个；2 主要人流出入口宜与主要货流出入口分开设置，并应位于厂区主干道通往居住区或城镇的一侧；主要货流出入口应位于主要货流方向，应靠近运输繁忙的仓库、堆场，并应与外部运输线路连接方便；3 铁路出入口，应具备良好的瞭望条件。</w:t>
            </w:r>
          </w:p>
        </w:tc>
        <w:tc>
          <w:tcPr>
            <w:tcW w:w="1305" w:type="pct"/>
            <w:vAlign w:val="center"/>
          </w:tcPr>
          <w:p>
            <w:pPr>
              <w:spacing w:line="240" w:lineRule="auto"/>
              <w:ind w:firstLine="0" w:firstLineChars="0"/>
              <w:jc w:val="center"/>
              <w:rPr>
                <w:rFonts w:cs="Times New Roman"/>
                <w:sz w:val="21"/>
                <w:szCs w:val="21"/>
              </w:rPr>
            </w:pPr>
            <w:r>
              <w:rPr>
                <w:rFonts w:hint="eastAsia" w:ascii="宋体" w:hAnsi="宋体" w:cs="宋体"/>
                <w:sz w:val="21"/>
                <w:szCs w:val="21"/>
              </w:rPr>
              <w:t>《工业企业总平面设计规范》（GB50187－2012）5.7.4</w:t>
            </w:r>
          </w:p>
        </w:tc>
        <w:tc>
          <w:tcPr>
            <w:tcW w:w="1037" w:type="pct"/>
            <w:vAlign w:val="center"/>
          </w:tcPr>
          <w:p>
            <w:pPr>
              <w:spacing w:line="240" w:lineRule="auto"/>
              <w:ind w:firstLine="0" w:firstLineChars="0"/>
              <w:rPr>
                <w:rFonts w:cs="Times New Roman"/>
                <w:sz w:val="21"/>
                <w:szCs w:val="21"/>
              </w:rPr>
            </w:pPr>
            <w:r>
              <w:rPr>
                <w:rFonts w:hint="eastAsia" w:ascii="宋体" w:hAnsi="宋体" w:cs="宋体"/>
                <w:sz w:val="21"/>
                <w:szCs w:val="21"/>
              </w:rPr>
              <w:t>厂区出入口的位置和数量，符合要求：门卫室设人流出入口，厂区大门为物流出入口；主要人流出入口与主要货流出入口分开设置，并位于厂区主干道通往居住区或城镇的一侧；主要货流出入口位于主要货流方向，靠近运输繁忙的仓库、堆场，并与外部运输线路连接方便；3 无铁路出入口。</w:t>
            </w:r>
          </w:p>
        </w:tc>
        <w:tc>
          <w:tcPr>
            <w:tcW w:w="468" w:type="pct"/>
            <w:vAlign w:val="center"/>
          </w:tcPr>
          <w:p>
            <w:pPr>
              <w:spacing w:line="240" w:lineRule="auto"/>
              <w:ind w:firstLine="0" w:firstLineChars="0"/>
              <w:jc w:val="center"/>
              <w:rPr>
                <w:rFonts w:cs="Times New Roman"/>
                <w:sz w:val="21"/>
                <w:szCs w:val="21"/>
              </w:rPr>
            </w:pPr>
            <w:r>
              <w:rPr>
                <w:rFonts w:hint="eastAsia" w:ascii="宋体" w:hAnsi="宋体" w:cs="宋体"/>
                <w:snapToGrid w:val="0"/>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414" w:type="pct"/>
            <w:vAlign w:val="center"/>
          </w:tcPr>
          <w:p>
            <w:pPr>
              <w:numPr>
                <w:ilvl w:val="0"/>
                <w:numId w:val="58"/>
              </w:numPr>
              <w:spacing w:line="240" w:lineRule="auto"/>
              <w:ind w:firstLine="422"/>
              <w:jc w:val="center"/>
              <w:rPr>
                <w:rFonts w:ascii="宋体" w:hAnsi="宋体" w:cs="宋体"/>
                <w:b/>
                <w:bCs/>
                <w:color w:val="000000"/>
                <w:sz w:val="21"/>
                <w:szCs w:val="21"/>
              </w:rPr>
            </w:pPr>
          </w:p>
        </w:tc>
        <w:tc>
          <w:tcPr>
            <w:tcW w:w="1774" w:type="pct"/>
            <w:vAlign w:val="center"/>
          </w:tcPr>
          <w:p>
            <w:pPr>
              <w:spacing w:line="240" w:lineRule="auto"/>
              <w:ind w:firstLine="0" w:firstLineChars="0"/>
              <w:jc w:val="both"/>
              <w:rPr>
                <w:rFonts w:cs="Times New Roman"/>
                <w:sz w:val="21"/>
                <w:szCs w:val="21"/>
              </w:rPr>
            </w:pPr>
            <w:r>
              <w:rPr>
                <w:rFonts w:hint="eastAsia" w:cs="Times New Roman"/>
                <w:sz w:val="21"/>
                <w:szCs w:val="21"/>
              </w:rPr>
              <w:t>1）应防止工作人员直接接触具有或能产生危险和有害因素的设备、设施、生产物料、产品和剩余物料；</w:t>
            </w:r>
          </w:p>
          <w:p>
            <w:pPr>
              <w:spacing w:line="240" w:lineRule="auto"/>
              <w:ind w:firstLine="0" w:firstLineChars="0"/>
              <w:jc w:val="both"/>
              <w:rPr>
                <w:rFonts w:cs="Times New Roman"/>
                <w:sz w:val="21"/>
                <w:szCs w:val="21"/>
              </w:rPr>
            </w:pPr>
            <w:r>
              <w:rPr>
                <w:rFonts w:hint="eastAsia" w:cs="Times New Roman"/>
                <w:sz w:val="21"/>
                <w:szCs w:val="21"/>
              </w:rPr>
              <w:t>2）对具有或能产生危险和有害因素的工艺、作业、施工过程，应采用综合机械化、自动化或其他措施，实现遥控或隔离操作；</w:t>
            </w:r>
          </w:p>
          <w:p>
            <w:pPr>
              <w:spacing w:line="240" w:lineRule="auto"/>
              <w:ind w:firstLine="0" w:firstLineChars="0"/>
              <w:jc w:val="both"/>
              <w:rPr>
                <w:rFonts w:cs="Times New Roman"/>
                <w:sz w:val="21"/>
                <w:szCs w:val="21"/>
              </w:rPr>
            </w:pPr>
            <w:r>
              <w:rPr>
                <w:rFonts w:hint="eastAsia" w:cs="Times New Roman"/>
                <w:sz w:val="21"/>
                <w:szCs w:val="21"/>
              </w:rPr>
              <w:t>3）对产生危险和有害因素的过程，应配置监控检测仪器、仪表，必要时配置自动联锁、自动报警装置；</w:t>
            </w:r>
          </w:p>
          <w:p>
            <w:pPr>
              <w:spacing w:line="240" w:lineRule="auto"/>
              <w:ind w:firstLine="0" w:firstLineChars="0"/>
              <w:jc w:val="both"/>
              <w:rPr>
                <w:rFonts w:cs="Times New Roman"/>
                <w:sz w:val="21"/>
                <w:szCs w:val="21"/>
              </w:rPr>
            </w:pPr>
            <w:r>
              <w:rPr>
                <w:rFonts w:hint="eastAsia" w:cs="Times New Roman"/>
                <w:sz w:val="21"/>
                <w:szCs w:val="21"/>
              </w:rPr>
              <w:t>4）对产生尘毒危害较大的工艺、作业和施工过程，应采取密闭、负压等综合措施；</w:t>
            </w:r>
          </w:p>
          <w:p>
            <w:pPr>
              <w:spacing w:line="240" w:lineRule="auto"/>
              <w:ind w:firstLine="0" w:firstLineChars="0"/>
              <w:jc w:val="both"/>
              <w:rPr>
                <w:rFonts w:cs="Times New Roman"/>
                <w:sz w:val="21"/>
                <w:szCs w:val="21"/>
              </w:rPr>
            </w:pPr>
            <w:r>
              <w:rPr>
                <w:rFonts w:hint="eastAsia" w:cs="Times New Roman"/>
                <w:sz w:val="21"/>
                <w:szCs w:val="21"/>
              </w:rPr>
              <w:t>5)易燃、易爆的工艺、作业和施工过程，必须采取防火防爆措施；</w:t>
            </w:r>
          </w:p>
        </w:tc>
        <w:tc>
          <w:tcPr>
            <w:tcW w:w="1305" w:type="pct"/>
            <w:vAlign w:val="center"/>
          </w:tcPr>
          <w:p>
            <w:pPr>
              <w:spacing w:line="240" w:lineRule="auto"/>
              <w:ind w:firstLine="0" w:firstLineChars="0"/>
              <w:rPr>
                <w:rFonts w:cs="Times New Roman"/>
                <w:sz w:val="21"/>
                <w:szCs w:val="21"/>
              </w:rPr>
            </w:pPr>
            <w:r>
              <w:rPr>
                <w:rFonts w:hint="eastAsia" w:ascii="宋体" w:hAnsi="宋体" w:cs="宋体"/>
                <w:sz w:val="21"/>
                <w:szCs w:val="21"/>
              </w:rPr>
              <w:t>《</w:t>
            </w:r>
            <w:r>
              <w:rPr>
                <w:rFonts w:hint="eastAsia" w:cs="Times New Roman"/>
                <w:sz w:val="21"/>
                <w:szCs w:val="21"/>
              </w:rPr>
              <w:t>生产过程安全卫生要求总则》（GB/T 12801-2008）</w:t>
            </w:r>
            <w:r>
              <w:rPr>
                <w:rFonts w:hint="eastAsia" w:ascii="宋体" w:hAnsi="宋体" w:cs="宋体"/>
                <w:sz w:val="21"/>
                <w:szCs w:val="21"/>
              </w:rPr>
              <w:t>5.3.1</w:t>
            </w:r>
          </w:p>
        </w:tc>
        <w:tc>
          <w:tcPr>
            <w:tcW w:w="1037" w:type="pct"/>
            <w:vAlign w:val="center"/>
          </w:tcPr>
          <w:p>
            <w:pPr>
              <w:spacing w:line="240" w:lineRule="auto"/>
              <w:ind w:firstLine="0" w:firstLineChars="0"/>
              <w:jc w:val="both"/>
              <w:rPr>
                <w:rFonts w:cs="Times New Roman"/>
                <w:sz w:val="21"/>
                <w:szCs w:val="21"/>
              </w:rPr>
            </w:pPr>
            <w:r>
              <w:rPr>
                <w:rFonts w:hint="eastAsia" w:cs="Times New Roman"/>
                <w:sz w:val="21"/>
                <w:szCs w:val="21"/>
              </w:rPr>
              <w:t>1）采取措施防止工作人员直接接触具有或能产生危险和有害因素的设备、设施、生产物料、产品和剩余物料；</w:t>
            </w:r>
          </w:p>
          <w:p>
            <w:pPr>
              <w:spacing w:line="240" w:lineRule="auto"/>
              <w:ind w:firstLine="0" w:firstLineChars="0"/>
              <w:jc w:val="both"/>
              <w:rPr>
                <w:rFonts w:cs="Times New Roman"/>
                <w:sz w:val="21"/>
                <w:szCs w:val="21"/>
              </w:rPr>
            </w:pPr>
            <w:r>
              <w:rPr>
                <w:rFonts w:hint="eastAsia" w:cs="Times New Roman"/>
                <w:sz w:val="21"/>
                <w:szCs w:val="21"/>
              </w:rPr>
              <w:t>2）对具有或能产生危险和有害因素的工艺、作业、施工过程，采用综合机械化、自动化或其他措施，实现遥控或隔离操作；</w:t>
            </w:r>
          </w:p>
          <w:p>
            <w:pPr>
              <w:spacing w:line="240" w:lineRule="auto"/>
              <w:ind w:firstLine="0" w:firstLineChars="0"/>
              <w:jc w:val="both"/>
              <w:rPr>
                <w:rFonts w:cs="Times New Roman"/>
                <w:sz w:val="21"/>
                <w:szCs w:val="21"/>
              </w:rPr>
            </w:pPr>
            <w:r>
              <w:rPr>
                <w:rFonts w:hint="eastAsia" w:cs="Times New Roman"/>
                <w:sz w:val="21"/>
                <w:szCs w:val="21"/>
              </w:rPr>
              <w:t>3）对产生危险和有害因素的过程，配置监控检测仪器、仪表，必要时配置自动联锁、自动报警装置；</w:t>
            </w:r>
          </w:p>
          <w:p>
            <w:pPr>
              <w:spacing w:line="240" w:lineRule="auto"/>
              <w:ind w:firstLine="0" w:firstLineChars="0"/>
              <w:jc w:val="both"/>
              <w:rPr>
                <w:rFonts w:cs="Times New Roman"/>
                <w:sz w:val="21"/>
                <w:szCs w:val="21"/>
              </w:rPr>
            </w:pPr>
            <w:r>
              <w:rPr>
                <w:rFonts w:hint="eastAsia" w:cs="Times New Roman"/>
                <w:sz w:val="21"/>
                <w:szCs w:val="21"/>
              </w:rPr>
              <w:t>4）对产生尘毒危害较大的工艺、作业和施工过程，采取密闭、负压等综合措施；</w:t>
            </w:r>
          </w:p>
          <w:p>
            <w:pPr>
              <w:spacing w:line="240" w:lineRule="auto"/>
              <w:ind w:firstLine="0" w:firstLineChars="0"/>
              <w:jc w:val="both"/>
              <w:rPr>
                <w:rFonts w:cs="Times New Roman"/>
                <w:sz w:val="21"/>
                <w:szCs w:val="21"/>
              </w:rPr>
            </w:pPr>
            <w:r>
              <w:rPr>
                <w:rFonts w:hint="eastAsia" w:cs="Times New Roman"/>
                <w:sz w:val="21"/>
                <w:szCs w:val="21"/>
              </w:rPr>
              <w:t>5)易燃、易爆的工艺、作业和施工过程，采取防火防爆措施；</w:t>
            </w:r>
          </w:p>
        </w:tc>
        <w:tc>
          <w:tcPr>
            <w:tcW w:w="468" w:type="pct"/>
            <w:vAlign w:val="center"/>
          </w:tcPr>
          <w:p>
            <w:pPr>
              <w:spacing w:line="240" w:lineRule="auto"/>
              <w:ind w:firstLine="0" w:firstLineChars="0"/>
              <w:jc w:val="center"/>
              <w:rPr>
                <w:rFonts w:cs="Times New Roman"/>
                <w:sz w:val="21"/>
                <w:szCs w:val="21"/>
              </w:rPr>
            </w:pPr>
            <w:r>
              <w:rPr>
                <w:rFonts w:hint="eastAsia" w:cs="Times New Roman"/>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414" w:type="pct"/>
            <w:vAlign w:val="center"/>
          </w:tcPr>
          <w:p>
            <w:pPr>
              <w:numPr>
                <w:ilvl w:val="0"/>
                <w:numId w:val="58"/>
              </w:numPr>
              <w:spacing w:line="240" w:lineRule="auto"/>
              <w:ind w:firstLine="422"/>
              <w:jc w:val="center"/>
              <w:rPr>
                <w:rFonts w:ascii="宋体" w:hAnsi="宋体" w:cs="宋体"/>
                <w:b/>
                <w:bCs/>
                <w:color w:val="000000"/>
                <w:sz w:val="21"/>
                <w:szCs w:val="21"/>
              </w:rPr>
            </w:pPr>
          </w:p>
        </w:tc>
        <w:tc>
          <w:tcPr>
            <w:tcW w:w="1774" w:type="pct"/>
            <w:vAlign w:val="center"/>
          </w:tcPr>
          <w:p>
            <w:pPr>
              <w:spacing w:line="240" w:lineRule="auto"/>
              <w:ind w:firstLine="0" w:firstLineChars="0"/>
              <w:jc w:val="both"/>
              <w:rPr>
                <w:rFonts w:cs="Times New Roman"/>
                <w:sz w:val="21"/>
                <w:szCs w:val="21"/>
              </w:rPr>
            </w:pPr>
            <w:r>
              <w:rPr>
                <w:rFonts w:hint="eastAsia" w:cs="Times New Roman"/>
                <w:sz w:val="21"/>
                <w:szCs w:val="21"/>
              </w:rPr>
              <w:t>各种仪器、仪表、监测记录装置等，必须选用合理，灵敏可靠，易于辨识。</w:t>
            </w:r>
          </w:p>
        </w:tc>
        <w:tc>
          <w:tcPr>
            <w:tcW w:w="1305" w:type="pct"/>
            <w:vAlign w:val="center"/>
          </w:tcPr>
          <w:p>
            <w:pPr>
              <w:spacing w:line="240" w:lineRule="auto"/>
              <w:ind w:firstLine="0" w:firstLineChars="0"/>
              <w:rPr>
                <w:rFonts w:cs="Times New Roman"/>
                <w:sz w:val="21"/>
                <w:szCs w:val="21"/>
              </w:rPr>
            </w:pPr>
            <w:r>
              <w:rPr>
                <w:rFonts w:hint="eastAsia" w:cs="Times New Roman"/>
                <w:sz w:val="21"/>
                <w:szCs w:val="21"/>
              </w:rPr>
              <w:t>《生产过程安全卫生要求总则》（GB/T 12801-2008）5.3.2</w:t>
            </w:r>
          </w:p>
        </w:tc>
        <w:tc>
          <w:tcPr>
            <w:tcW w:w="1037" w:type="pct"/>
            <w:vAlign w:val="center"/>
          </w:tcPr>
          <w:p>
            <w:pPr>
              <w:spacing w:line="240" w:lineRule="auto"/>
              <w:ind w:firstLine="0" w:firstLineChars="0"/>
              <w:jc w:val="both"/>
              <w:rPr>
                <w:rFonts w:cs="Times New Roman"/>
                <w:sz w:val="21"/>
                <w:szCs w:val="21"/>
              </w:rPr>
            </w:pPr>
            <w:r>
              <w:rPr>
                <w:rFonts w:hint="eastAsia" w:cs="Times New Roman"/>
                <w:sz w:val="21"/>
                <w:szCs w:val="21"/>
              </w:rPr>
              <w:t>各种仪器、仪表、监测记录装置等，灵敏可靠，易于辨识。</w:t>
            </w:r>
          </w:p>
        </w:tc>
        <w:tc>
          <w:tcPr>
            <w:tcW w:w="468" w:type="pct"/>
            <w:vAlign w:val="center"/>
          </w:tcPr>
          <w:p>
            <w:pPr>
              <w:spacing w:line="240" w:lineRule="auto"/>
              <w:ind w:firstLine="0" w:firstLineChars="0"/>
              <w:jc w:val="center"/>
              <w:rPr>
                <w:rFonts w:cs="Times New Roman"/>
                <w:sz w:val="21"/>
                <w:szCs w:val="21"/>
              </w:rPr>
            </w:pPr>
            <w:r>
              <w:rPr>
                <w:rFonts w:hint="eastAsia" w:cs="Times New Roman"/>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414" w:type="pct"/>
            <w:vAlign w:val="center"/>
          </w:tcPr>
          <w:p>
            <w:pPr>
              <w:numPr>
                <w:ilvl w:val="0"/>
                <w:numId w:val="58"/>
              </w:numPr>
              <w:spacing w:line="240" w:lineRule="auto"/>
              <w:ind w:firstLine="422"/>
              <w:jc w:val="center"/>
              <w:rPr>
                <w:rFonts w:ascii="宋体" w:hAnsi="宋体" w:cs="宋体"/>
                <w:b/>
                <w:bCs/>
                <w:color w:val="000000"/>
                <w:sz w:val="21"/>
                <w:szCs w:val="21"/>
              </w:rPr>
            </w:pPr>
          </w:p>
        </w:tc>
        <w:tc>
          <w:tcPr>
            <w:tcW w:w="1774" w:type="pct"/>
            <w:vAlign w:val="center"/>
          </w:tcPr>
          <w:p>
            <w:pPr>
              <w:spacing w:line="240" w:lineRule="auto"/>
              <w:ind w:firstLine="0" w:firstLineChars="0"/>
              <w:jc w:val="both"/>
              <w:rPr>
                <w:rFonts w:cs="Times New Roman"/>
                <w:sz w:val="21"/>
                <w:szCs w:val="21"/>
              </w:rPr>
            </w:pPr>
            <w:r>
              <w:rPr>
                <w:rFonts w:cs="Times New Roman"/>
                <w:sz w:val="21"/>
                <w:szCs w:val="21"/>
              </w:rPr>
              <w:t>危险性作业场所，必须设置安全通道；出入口不少于两个；门窗应向外开启</w:t>
            </w:r>
          </w:p>
        </w:tc>
        <w:tc>
          <w:tcPr>
            <w:tcW w:w="1305" w:type="pct"/>
            <w:vAlign w:val="center"/>
          </w:tcPr>
          <w:p>
            <w:pPr>
              <w:spacing w:line="240" w:lineRule="auto"/>
              <w:ind w:firstLine="0" w:firstLineChars="0"/>
              <w:rPr>
                <w:rFonts w:cs="Times New Roman"/>
                <w:sz w:val="21"/>
                <w:szCs w:val="21"/>
              </w:rPr>
            </w:pPr>
            <w:r>
              <w:rPr>
                <w:rFonts w:hint="eastAsia" w:cs="Times New Roman"/>
                <w:sz w:val="21"/>
                <w:szCs w:val="21"/>
              </w:rPr>
              <w:t>《生产过程安全卫生要求总则》（GB/T 12801-2008）5.4.6</w:t>
            </w:r>
          </w:p>
        </w:tc>
        <w:tc>
          <w:tcPr>
            <w:tcW w:w="1037" w:type="pct"/>
            <w:vAlign w:val="center"/>
          </w:tcPr>
          <w:p>
            <w:pPr>
              <w:spacing w:line="240" w:lineRule="auto"/>
              <w:ind w:firstLine="0" w:firstLineChars="0"/>
              <w:jc w:val="both"/>
              <w:rPr>
                <w:rFonts w:cs="Times New Roman"/>
                <w:sz w:val="21"/>
                <w:szCs w:val="21"/>
              </w:rPr>
            </w:pPr>
            <w:r>
              <w:rPr>
                <w:rFonts w:hint="eastAsia" w:cs="Times New Roman"/>
                <w:sz w:val="21"/>
                <w:szCs w:val="21"/>
              </w:rPr>
              <w:t>金属冶炼</w:t>
            </w:r>
            <w:r>
              <w:rPr>
                <w:rFonts w:cs="Times New Roman"/>
                <w:sz w:val="21"/>
                <w:szCs w:val="21"/>
              </w:rPr>
              <w:t>危险性作业场所设置安全通道；出入口不少于两个；门窗应向外开启</w:t>
            </w:r>
          </w:p>
        </w:tc>
        <w:tc>
          <w:tcPr>
            <w:tcW w:w="468" w:type="pct"/>
            <w:vAlign w:val="center"/>
          </w:tcPr>
          <w:p>
            <w:pPr>
              <w:spacing w:line="240" w:lineRule="auto"/>
              <w:ind w:firstLine="0" w:firstLineChars="0"/>
              <w:jc w:val="both"/>
              <w:rPr>
                <w:rFonts w:cs="Times New Roman"/>
                <w:sz w:val="21"/>
                <w:szCs w:val="21"/>
              </w:rPr>
            </w:pPr>
            <w:r>
              <w:rPr>
                <w:rFonts w:hint="eastAsia" w:cs="Times New Roman"/>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414" w:type="pct"/>
            <w:vAlign w:val="center"/>
          </w:tcPr>
          <w:p>
            <w:pPr>
              <w:numPr>
                <w:ilvl w:val="0"/>
                <w:numId w:val="58"/>
              </w:numPr>
              <w:spacing w:line="240" w:lineRule="auto"/>
              <w:ind w:firstLine="422"/>
              <w:jc w:val="center"/>
              <w:rPr>
                <w:rFonts w:ascii="宋体" w:hAnsi="宋体" w:cs="宋体"/>
                <w:b/>
                <w:bCs/>
                <w:color w:val="000000"/>
                <w:sz w:val="21"/>
                <w:szCs w:val="21"/>
              </w:rPr>
            </w:pPr>
          </w:p>
        </w:tc>
        <w:tc>
          <w:tcPr>
            <w:tcW w:w="1774" w:type="pct"/>
            <w:vAlign w:val="center"/>
          </w:tcPr>
          <w:p>
            <w:pPr>
              <w:spacing w:line="240" w:lineRule="auto"/>
              <w:ind w:firstLine="0" w:firstLineChars="0"/>
              <w:jc w:val="both"/>
              <w:rPr>
                <w:rFonts w:cs="Times New Roman"/>
                <w:sz w:val="21"/>
                <w:szCs w:val="21"/>
              </w:rPr>
            </w:pPr>
            <w:r>
              <w:rPr>
                <w:rFonts w:hint="eastAsia" w:cs="Times New Roman"/>
                <w:sz w:val="21"/>
                <w:szCs w:val="21"/>
              </w:rPr>
              <w:t>应尽量选用自动化程度高的设备。危险性较大的、重要的关键性生产设备，必须由持有专业许可证的单位进行设计、制造和检验。</w:t>
            </w:r>
          </w:p>
        </w:tc>
        <w:tc>
          <w:tcPr>
            <w:tcW w:w="1305" w:type="pct"/>
            <w:vAlign w:val="center"/>
          </w:tcPr>
          <w:p>
            <w:pPr>
              <w:spacing w:line="240" w:lineRule="auto"/>
              <w:ind w:firstLine="0" w:firstLineChars="0"/>
              <w:jc w:val="both"/>
              <w:rPr>
                <w:rFonts w:cs="Times New Roman"/>
                <w:sz w:val="21"/>
                <w:szCs w:val="21"/>
              </w:rPr>
            </w:pPr>
            <w:r>
              <w:rPr>
                <w:rFonts w:hint="eastAsia" w:cs="Times New Roman"/>
                <w:sz w:val="21"/>
                <w:szCs w:val="21"/>
              </w:rPr>
              <w:t>《生产过程安全卫生要求总则》（GB/T 12801-2008）5.6.1</w:t>
            </w:r>
          </w:p>
        </w:tc>
        <w:tc>
          <w:tcPr>
            <w:tcW w:w="1037" w:type="pct"/>
            <w:vAlign w:val="center"/>
          </w:tcPr>
          <w:p>
            <w:pPr>
              <w:spacing w:line="240" w:lineRule="auto"/>
              <w:ind w:firstLine="0" w:firstLineChars="0"/>
              <w:jc w:val="both"/>
              <w:rPr>
                <w:rFonts w:cs="Times New Roman"/>
                <w:sz w:val="21"/>
                <w:szCs w:val="21"/>
              </w:rPr>
            </w:pPr>
            <w:r>
              <w:rPr>
                <w:rFonts w:hint="eastAsia" w:cs="Times New Roman"/>
                <w:sz w:val="21"/>
                <w:szCs w:val="21"/>
              </w:rPr>
              <w:t>选用自动化程度高的设备。危险性较大的、重要的关键性生产设备，由持有专业许可证的单位进行设计、制造和检验。</w:t>
            </w:r>
          </w:p>
        </w:tc>
        <w:tc>
          <w:tcPr>
            <w:tcW w:w="468" w:type="pct"/>
            <w:vAlign w:val="center"/>
          </w:tcPr>
          <w:p>
            <w:pPr>
              <w:spacing w:line="240" w:lineRule="auto"/>
              <w:ind w:firstLine="0" w:firstLineChars="0"/>
              <w:jc w:val="both"/>
              <w:rPr>
                <w:rFonts w:cs="Times New Roman"/>
                <w:sz w:val="21"/>
                <w:szCs w:val="21"/>
              </w:rPr>
            </w:pPr>
            <w:r>
              <w:rPr>
                <w:rFonts w:hint="eastAsia" w:cs="Times New Roman"/>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414" w:type="pct"/>
            <w:vAlign w:val="center"/>
          </w:tcPr>
          <w:p>
            <w:pPr>
              <w:numPr>
                <w:ilvl w:val="0"/>
                <w:numId w:val="58"/>
              </w:numPr>
              <w:spacing w:line="240" w:lineRule="auto"/>
              <w:ind w:firstLine="422"/>
              <w:jc w:val="center"/>
              <w:rPr>
                <w:rFonts w:ascii="宋体" w:hAnsi="宋体" w:cs="宋体"/>
                <w:b/>
                <w:bCs/>
                <w:color w:val="000000"/>
                <w:sz w:val="21"/>
                <w:szCs w:val="21"/>
              </w:rPr>
            </w:pPr>
          </w:p>
        </w:tc>
        <w:tc>
          <w:tcPr>
            <w:tcW w:w="1774" w:type="pct"/>
            <w:vAlign w:val="center"/>
          </w:tcPr>
          <w:p>
            <w:pPr>
              <w:spacing w:line="240" w:lineRule="auto"/>
              <w:ind w:firstLine="0" w:firstLineChars="0"/>
              <w:jc w:val="both"/>
              <w:rPr>
                <w:rFonts w:cs="Times New Roman"/>
                <w:sz w:val="21"/>
                <w:szCs w:val="21"/>
              </w:rPr>
            </w:pPr>
            <w:r>
              <w:rPr>
                <w:rFonts w:hint="eastAsia" w:cs="Times New Roman"/>
                <w:sz w:val="21"/>
                <w:szCs w:val="21"/>
              </w:rPr>
              <w:t>设备本身应具备必要的防护、净化、减振、消音、保险、联锁、信号、监测等可靠的安全、卫生装置。对有突然超压或瞬间爆炸危险的设备，还必须设置符合标准要求的泄压、防爆等安全装置。</w:t>
            </w:r>
          </w:p>
        </w:tc>
        <w:tc>
          <w:tcPr>
            <w:tcW w:w="1305" w:type="pct"/>
            <w:vAlign w:val="center"/>
          </w:tcPr>
          <w:p>
            <w:pPr>
              <w:spacing w:line="240" w:lineRule="auto"/>
              <w:ind w:firstLine="0" w:firstLineChars="0"/>
              <w:jc w:val="both"/>
              <w:rPr>
                <w:rFonts w:cs="Times New Roman"/>
                <w:sz w:val="21"/>
                <w:szCs w:val="21"/>
              </w:rPr>
            </w:pPr>
            <w:r>
              <w:rPr>
                <w:rFonts w:hint="eastAsia" w:cs="Times New Roman"/>
                <w:sz w:val="21"/>
                <w:szCs w:val="21"/>
              </w:rPr>
              <w:t>《生产过程安全卫生要求总则》（GB/T 12801-2008）5.6.5</w:t>
            </w:r>
          </w:p>
        </w:tc>
        <w:tc>
          <w:tcPr>
            <w:tcW w:w="1037" w:type="pct"/>
            <w:vAlign w:val="center"/>
          </w:tcPr>
          <w:p>
            <w:pPr>
              <w:spacing w:line="240" w:lineRule="auto"/>
              <w:ind w:firstLine="0" w:firstLineChars="0"/>
              <w:jc w:val="both"/>
              <w:rPr>
                <w:rFonts w:cs="Times New Roman"/>
                <w:sz w:val="21"/>
                <w:szCs w:val="21"/>
              </w:rPr>
            </w:pPr>
            <w:r>
              <w:rPr>
                <w:rFonts w:hint="eastAsia" w:cs="Times New Roman"/>
                <w:sz w:val="21"/>
                <w:szCs w:val="21"/>
              </w:rPr>
              <w:t>设备本身具备必要的防护、净化、减振、消音、保险、联锁、信号、监测等可靠的安全、卫生装置。对有突然超压或瞬间爆炸危险的设备，设置有符合标准要求的泄压、防爆等安全装置。</w:t>
            </w:r>
          </w:p>
        </w:tc>
        <w:tc>
          <w:tcPr>
            <w:tcW w:w="468" w:type="pct"/>
            <w:vAlign w:val="center"/>
          </w:tcPr>
          <w:p>
            <w:pPr>
              <w:spacing w:line="240" w:lineRule="auto"/>
              <w:ind w:firstLine="0" w:firstLineChars="0"/>
              <w:jc w:val="both"/>
              <w:rPr>
                <w:rFonts w:cs="Times New Roman"/>
                <w:sz w:val="21"/>
                <w:szCs w:val="21"/>
              </w:rPr>
            </w:pPr>
            <w:r>
              <w:rPr>
                <w:rFonts w:hint="eastAsia" w:cs="Times New Roman"/>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414" w:type="pct"/>
            <w:vAlign w:val="center"/>
          </w:tcPr>
          <w:p>
            <w:pPr>
              <w:numPr>
                <w:ilvl w:val="0"/>
                <w:numId w:val="58"/>
              </w:numPr>
              <w:spacing w:line="240" w:lineRule="auto"/>
              <w:ind w:firstLine="422"/>
              <w:jc w:val="center"/>
              <w:rPr>
                <w:rFonts w:ascii="宋体" w:hAnsi="宋体" w:cs="宋体"/>
                <w:b/>
                <w:bCs/>
                <w:color w:val="000000"/>
                <w:sz w:val="21"/>
                <w:szCs w:val="21"/>
              </w:rPr>
            </w:pPr>
          </w:p>
        </w:tc>
        <w:tc>
          <w:tcPr>
            <w:tcW w:w="1774" w:type="pct"/>
            <w:vAlign w:val="center"/>
          </w:tcPr>
          <w:p>
            <w:pPr>
              <w:spacing w:line="240" w:lineRule="auto"/>
              <w:ind w:firstLine="0" w:firstLineChars="0"/>
              <w:jc w:val="both"/>
              <w:rPr>
                <w:rFonts w:cs="Times New Roman"/>
                <w:sz w:val="21"/>
                <w:szCs w:val="21"/>
              </w:rPr>
            </w:pPr>
            <w:r>
              <w:rPr>
                <w:rFonts w:hint="eastAsia" w:cs="Times New Roman"/>
                <w:sz w:val="21"/>
                <w:szCs w:val="21"/>
              </w:rPr>
              <w:t>在设备、设施、管线上需要人员操作、</w:t>
            </w:r>
            <w:r>
              <w:rPr>
                <w:rFonts w:hint="eastAsia" w:cs="Times New Roman"/>
                <w:sz w:val="21"/>
                <w:szCs w:val="21"/>
                <w:lang w:eastAsia="zh-CN"/>
              </w:rPr>
              <w:t>检查</w:t>
            </w:r>
            <w:r>
              <w:rPr>
                <w:rFonts w:hint="eastAsia" w:cs="Times New Roman"/>
                <w:sz w:val="21"/>
                <w:szCs w:val="21"/>
              </w:rPr>
              <w:t>和维修，并有发生高处坠落危险的部位，应配置扶梯、平台、围栏和系挂装置等附属设施。</w:t>
            </w:r>
          </w:p>
        </w:tc>
        <w:tc>
          <w:tcPr>
            <w:tcW w:w="1305" w:type="pct"/>
            <w:vAlign w:val="center"/>
          </w:tcPr>
          <w:p>
            <w:pPr>
              <w:spacing w:line="240" w:lineRule="auto"/>
              <w:ind w:firstLine="0" w:firstLineChars="0"/>
              <w:jc w:val="both"/>
              <w:rPr>
                <w:rFonts w:cs="Times New Roman"/>
                <w:sz w:val="21"/>
                <w:szCs w:val="21"/>
              </w:rPr>
            </w:pPr>
            <w:r>
              <w:rPr>
                <w:rFonts w:hint="eastAsia" w:cs="Times New Roman"/>
                <w:sz w:val="21"/>
                <w:szCs w:val="21"/>
              </w:rPr>
              <w:t>《生产过程安全卫生要求总则》（GB/T 12801-2008）5.7.1</w:t>
            </w:r>
          </w:p>
        </w:tc>
        <w:tc>
          <w:tcPr>
            <w:tcW w:w="1037" w:type="pct"/>
            <w:vAlign w:val="center"/>
          </w:tcPr>
          <w:p>
            <w:pPr>
              <w:spacing w:line="240" w:lineRule="auto"/>
              <w:ind w:firstLine="0" w:firstLineChars="0"/>
              <w:jc w:val="both"/>
              <w:rPr>
                <w:rFonts w:cs="Times New Roman"/>
                <w:sz w:val="21"/>
                <w:szCs w:val="21"/>
              </w:rPr>
            </w:pPr>
            <w:r>
              <w:rPr>
                <w:rFonts w:hint="eastAsia" w:cs="Times New Roman"/>
                <w:sz w:val="21"/>
                <w:szCs w:val="21"/>
              </w:rPr>
              <w:t>在设备、设施、管线上需要人员操作、</w:t>
            </w:r>
            <w:r>
              <w:rPr>
                <w:rFonts w:hint="eastAsia" w:cs="Times New Roman"/>
                <w:sz w:val="21"/>
                <w:szCs w:val="21"/>
                <w:lang w:eastAsia="zh-CN"/>
              </w:rPr>
              <w:t>检查</w:t>
            </w:r>
            <w:r>
              <w:rPr>
                <w:rFonts w:hint="eastAsia" w:cs="Times New Roman"/>
                <w:sz w:val="21"/>
                <w:szCs w:val="21"/>
              </w:rPr>
              <w:t>和维修，并有发生高处坠落危险的部位，配置有扶梯、平台、围栏和系挂装置等附属设施。</w:t>
            </w:r>
          </w:p>
        </w:tc>
        <w:tc>
          <w:tcPr>
            <w:tcW w:w="468" w:type="pct"/>
            <w:vAlign w:val="center"/>
          </w:tcPr>
          <w:p>
            <w:pPr>
              <w:spacing w:line="240" w:lineRule="auto"/>
              <w:ind w:firstLine="0" w:firstLineChars="0"/>
              <w:jc w:val="both"/>
              <w:rPr>
                <w:rFonts w:cs="Times New Roman"/>
                <w:sz w:val="21"/>
                <w:szCs w:val="21"/>
              </w:rPr>
            </w:pPr>
            <w:r>
              <w:rPr>
                <w:rFonts w:hint="eastAsia" w:cs="Times New Roman"/>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414" w:type="pct"/>
            <w:vAlign w:val="center"/>
          </w:tcPr>
          <w:p>
            <w:pPr>
              <w:numPr>
                <w:ilvl w:val="0"/>
                <w:numId w:val="58"/>
              </w:numPr>
              <w:spacing w:line="240" w:lineRule="auto"/>
              <w:ind w:firstLine="422"/>
              <w:jc w:val="center"/>
              <w:rPr>
                <w:rFonts w:ascii="宋体" w:hAnsi="宋体" w:cs="宋体"/>
                <w:b/>
                <w:bCs/>
                <w:color w:val="000000"/>
                <w:sz w:val="21"/>
                <w:szCs w:val="21"/>
              </w:rPr>
            </w:pPr>
          </w:p>
        </w:tc>
        <w:tc>
          <w:tcPr>
            <w:tcW w:w="1774" w:type="pct"/>
            <w:vAlign w:val="center"/>
          </w:tcPr>
          <w:p>
            <w:pPr>
              <w:spacing w:line="240" w:lineRule="auto"/>
              <w:ind w:firstLine="0" w:firstLineChars="0"/>
              <w:jc w:val="both"/>
              <w:rPr>
                <w:rFonts w:cs="Times New Roman"/>
                <w:sz w:val="21"/>
                <w:szCs w:val="21"/>
              </w:rPr>
            </w:pPr>
            <w:r>
              <w:rPr>
                <w:rFonts w:hint="eastAsia" w:cs="Times New Roman"/>
                <w:sz w:val="21"/>
                <w:szCs w:val="21"/>
              </w:rPr>
              <w:t>布置具有潜在危险的设备时，应根据有关规定进行分散和隔离，并设置必要的提示、标志和警告信号；</w:t>
            </w:r>
          </w:p>
        </w:tc>
        <w:tc>
          <w:tcPr>
            <w:tcW w:w="1305" w:type="pct"/>
            <w:vAlign w:val="center"/>
          </w:tcPr>
          <w:p>
            <w:pPr>
              <w:spacing w:line="240" w:lineRule="auto"/>
              <w:ind w:firstLine="0" w:firstLineChars="0"/>
              <w:jc w:val="both"/>
              <w:rPr>
                <w:rFonts w:cs="Times New Roman"/>
                <w:sz w:val="21"/>
                <w:szCs w:val="21"/>
              </w:rPr>
            </w:pPr>
            <w:r>
              <w:rPr>
                <w:rFonts w:hint="eastAsia" w:cs="Times New Roman"/>
                <w:sz w:val="21"/>
                <w:szCs w:val="21"/>
              </w:rPr>
              <w:t>《生产过程安全卫生要求总则》（GB/T 12801-2008）5.7.2</w:t>
            </w:r>
          </w:p>
        </w:tc>
        <w:tc>
          <w:tcPr>
            <w:tcW w:w="1037" w:type="pct"/>
            <w:vAlign w:val="center"/>
          </w:tcPr>
          <w:p>
            <w:pPr>
              <w:spacing w:line="240" w:lineRule="auto"/>
              <w:ind w:firstLine="0" w:firstLineChars="0"/>
              <w:jc w:val="both"/>
              <w:rPr>
                <w:rFonts w:cs="Times New Roman"/>
                <w:sz w:val="21"/>
                <w:szCs w:val="21"/>
              </w:rPr>
            </w:pPr>
            <w:r>
              <w:rPr>
                <w:rFonts w:hint="eastAsia" w:cs="Times New Roman"/>
                <w:sz w:val="21"/>
                <w:szCs w:val="21"/>
              </w:rPr>
              <w:t>布置具有潜在危险的设备时，根据有关规定进行分散和隔离，并设置必要的提示、标志和警告信号；</w:t>
            </w:r>
          </w:p>
        </w:tc>
        <w:tc>
          <w:tcPr>
            <w:tcW w:w="468" w:type="pct"/>
            <w:vAlign w:val="center"/>
          </w:tcPr>
          <w:p>
            <w:pPr>
              <w:spacing w:line="240" w:lineRule="auto"/>
              <w:ind w:firstLine="0" w:firstLineChars="0"/>
              <w:jc w:val="both"/>
              <w:rPr>
                <w:rFonts w:cs="Times New Roman"/>
                <w:sz w:val="21"/>
                <w:szCs w:val="21"/>
              </w:rPr>
            </w:pPr>
            <w:r>
              <w:rPr>
                <w:rFonts w:hint="eastAsia" w:cs="Times New Roman"/>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414" w:type="pct"/>
            <w:vAlign w:val="center"/>
          </w:tcPr>
          <w:p>
            <w:pPr>
              <w:numPr>
                <w:ilvl w:val="0"/>
                <w:numId w:val="58"/>
              </w:numPr>
              <w:spacing w:line="240" w:lineRule="auto"/>
              <w:ind w:firstLine="422"/>
              <w:jc w:val="center"/>
              <w:rPr>
                <w:rFonts w:ascii="宋体" w:hAnsi="宋体" w:cs="宋体"/>
                <w:b/>
                <w:bCs/>
                <w:color w:val="000000"/>
                <w:sz w:val="21"/>
                <w:szCs w:val="21"/>
              </w:rPr>
            </w:pPr>
          </w:p>
        </w:tc>
        <w:tc>
          <w:tcPr>
            <w:tcW w:w="1774" w:type="pct"/>
            <w:vAlign w:val="center"/>
          </w:tcPr>
          <w:p>
            <w:pPr>
              <w:spacing w:line="240" w:lineRule="auto"/>
              <w:ind w:firstLine="0" w:firstLineChars="0"/>
              <w:rPr>
                <w:rFonts w:ascii="宋体" w:hAnsi="宋体" w:cs="宋体"/>
                <w:sz w:val="21"/>
                <w:szCs w:val="21"/>
              </w:rPr>
            </w:pPr>
            <w:r>
              <w:rPr>
                <w:rFonts w:hint="eastAsia" w:ascii="宋体" w:hAnsi="宋体" w:cs="宋体"/>
                <w:sz w:val="21"/>
                <w:szCs w:val="21"/>
              </w:rPr>
              <w:t>厂房的安全出口应分散布置。每个防火分区或一个防火分区的每个楼层，其相邻2个安全出口最近边缘之间的水平距离不应小于5m。</w:t>
            </w:r>
          </w:p>
        </w:tc>
        <w:tc>
          <w:tcPr>
            <w:tcW w:w="1305" w:type="pct"/>
            <w:vAlign w:val="center"/>
          </w:tcPr>
          <w:p>
            <w:pPr>
              <w:spacing w:line="240" w:lineRule="auto"/>
              <w:ind w:firstLine="0" w:firstLineChars="0"/>
              <w:rPr>
                <w:rFonts w:ascii="宋体" w:hAnsi="宋体" w:cs="宋体"/>
                <w:sz w:val="21"/>
                <w:szCs w:val="21"/>
              </w:rPr>
            </w:pPr>
            <w:r>
              <w:rPr>
                <w:rFonts w:hint="eastAsia" w:ascii="宋体" w:hAnsi="宋体" w:cs="宋体"/>
                <w:sz w:val="21"/>
                <w:szCs w:val="21"/>
              </w:rPr>
              <w:t>《建筑设计防火规范（2018年版）》（GB50016-2014）3.7.1</w:t>
            </w:r>
          </w:p>
        </w:tc>
        <w:tc>
          <w:tcPr>
            <w:tcW w:w="1037" w:type="pct"/>
            <w:vAlign w:val="center"/>
          </w:tcPr>
          <w:p>
            <w:pPr>
              <w:spacing w:line="240" w:lineRule="auto"/>
              <w:ind w:firstLine="0" w:firstLineChars="0"/>
              <w:rPr>
                <w:rFonts w:ascii="宋体" w:hAnsi="宋体" w:cs="宋体"/>
                <w:sz w:val="21"/>
                <w:szCs w:val="21"/>
              </w:rPr>
            </w:pPr>
            <w:r>
              <w:rPr>
                <w:rFonts w:hint="eastAsia" w:ascii="宋体" w:hAnsi="宋体" w:cs="宋体"/>
                <w:sz w:val="21"/>
                <w:szCs w:val="21"/>
              </w:rPr>
              <w:t>厂房的安全出口分散布置。每个防火分区或一个防火分区的每个楼层，其相邻2个安全出口最近边缘之间的水平距离不小于5m。</w:t>
            </w:r>
          </w:p>
        </w:tc>
        <w:tc>
          <w:tcPr>
            <w:tcW w:w="468" w:type="pct"/>
            <w:vAlign w:val="center"/>
          </w:tcPr>
          <w:p>
            <w:pPr>
              <w:spacing w:line="240" w:lineRule="auto"/>
              <w:ind w:firstLine="0" w:firstLineChars="0"/>
              <w:rPr>
                <w:rFonts w:ascii="宋体" w:hAnsi="宋体" w:cs="宋体"/>
                <w:sz w:val="21"/>
                <w:szCs w:val="21"/>
              </w:rPr>
            </w:pPr>
            <w:r>
              <w:rPr>
                <w:rFonts w:hint="eastAsia" w:cs="Times New Roman"/>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414" w:type="pct"/>
            <w:vAlign w:val="center"/>
          </w:tcPr>
          <w:p>
            <w:pPr>
              <w:numPr>
                <w:ilvl w:val="0"/>
                <w:numId w:val="58"/>
              </w:numPr>
              <w:spacing w:line="240" w:lineRule="auto"/>
              <w:ind w:firstLine="422"/>
              <w:jc w:val="center"/>
              <w:rPr>
                <w:rFonts w:ascii="宋体" w:hAnsi="宋体" w:cs="宋体"/>
                <w:b/>
                <w:bCs/>
                <w:color w:val="000000"/>
                <w:sz w:val="21"/>
                <w:szCs w:val="21"/>
              </w:rPr>
            </w:pPr>
          </w:p>
        </w:tc>
        <w:tc>
          <w:tcPr>
            <w:tcW w:w="1774" w:type="pct"/>
            <w:vAlign w:val="center"/>
          </w:tcPr>
          <w:p>
            <w:pPr>
              <w:spacing w:line="240" w:lineRule="auto"/>
              <w:ind w:firstLine="0" w:firstLineChars="0"/>
              <w:rPr>
                <w:rFonts w:ascii="宋体" w:hAnsi="宋体" w:cs="宋体"/>
                <w:sz w:val="21"/>
                <w:szCs w:val="21"/>
              </w:rPr>
            </w:pPr>
            <w:r>
              <w:rPr>
                <w:rFonts w:hint="eastAsia" w:ascii="宋体" w:hAnsi="宋体" w:cs="宋体"/>
                <w:sz w:val="21"/>
                <w:szCs w:val="21"/>
              </w:rPr>
              <w:t>厂房内每个防火分区或一个防火分区内的每个楼层，其安全出口的数量应经计算确定，且不应少于2个；当符合下列条件时，可设置1个安全出口：</w:t>
            </w:r>
          </w:p>
          <w:p>
            <w:pPr>
              <w:spacing w:line="240" w:lineRule="auto"/>
              <w:ind w:firstLine="0" w:firstLineChars="0"/>
              <w:rPr>
                <w:rFonts w:ascii="宋体" w:hAnsi="宋体" w:cs="宋体"/>
                <w:sz w:val="21"/>
                <w:szCs w:val="21"/>
              </w:rPr>
            </w:pPr>
            <w:r>
              <w:rPr>
                <w:rFonts w:hint="eastAsia" w:ascii="宋体" w:hAnsi="宋体" w:cs="宋体"/>
                <w:sz w:val="21"/>
                <w:szCs w:val="21"/>
              </w:rPr>
              <w:t>1 甲类厂房，每层建筑面积不大于100㎡，且同一时间的作业人数不超过5人；</w:t>
            </w:r>
          </w:p>
          <w:p>
            <w:pPr>
              <w:spacing w:line="240" w:lineRule="auto"/>
              <w:ind w:firstLine="0" w:firstLineChars="0"/>
              <w:rPr>
                <w:rFonts w:ascii="宋体" w:hAnsi="宋体" w:cs="宋体"/>
                <w:sz w:val="21"/>
                <w:szCs w:val="21"/>
              </w:rPr>
            </w:pPr>
            <w:r>
              <w:rPr>
                <w:rFonts w:hint="eastAsia" w:ascii="宋体" w:hAnsi="宋体" w:cs="宋体"/>
                <w:sz w:val="21"/>
                <w:szCs w:val="21"/>
              </w:rPr>
              <w:t>2 乙类厂房，每层建筑面积不大于150㎡，且同一时间的作业人数不超过10人；</w:t>
            </w:r>
          </w:p>
          <w:p>
            <w:pPr>
              <w:spacing w:line="240" w:lineRule="auto"/>
              <w:ind w:firstLine="0" w:firstLineChars="0"/>
              <w:rPr>
                <w:rFonts w:ascii="宋体" w:hAnsi="宋体" w:cs="宋体"/>
                <w:sz w:val="21"/>
                <w:szCs w:val="21"/>
              </w:rPr>
            </w:pPr>
            <w:r>
              <w:rPr>
                <w:rFonts w:hint="eastAsia" w:ascii="宋体" w:hAnsi="宋体" w:cs="宋体"/>
                <w:sz w:val="21"/>
                <w:szCs w:val="21"/>
              </w:rPr>
              <w:t>3 丙类厂房，每层建筑面积不大于250㎡，且同一时间的作业人数不超过20人；</w:t>
            </w:r>
          </w:p>
          <w:p>
            <w:pPr>
              <w:spacing w:line="240" w:lineRule="auto"/>
              <w:ind w:firstLine="0" w:firstLineChars="0"/>
              <w:rPr>
                <w:rFonts w:ascii="宋体" w:hAnsi="宋体" w:cs="宋体"/>
                <w:sz w:val="21"/>
                <w:szCs w:val="21"/>
              </w:rPr>
            </w:pPr>
            <w:r>
              <w:rPr>
                <w:rFonts w:hint="eastAsia" w:ascii="宋体" w:hAnsi="宋体" w:cs="宋体"/>
                <w:sz w:val="21"/>
                <w:szCs w:val="21"/>
              </w:rPr>
              <w:t>4 丁、戊类厂房，每层建筑面积不大于400㎡，且同一时间的作业人数不超过30人；</w:t>
            </w:r>
          </w:p>
        </w:tc>
        <w:tc>
          <w:tcPr>
            <w:tcW w:w="1305" w:type="pct"/>
            <w:vAlign w:val="center"/>
          </w:tcPr>
          <w:p>
            <w:pPr>
              <w:spacing w:line="240" w:lineRule="auto"/>
              <w:ind w:firstLine="0" w:firstLineChars="0"/>
              <w:rPr>
                <w:rFonts w:ascii="宋体" w:hAnsi="宋体" w:cs="宋体"/>
                <w:sz w:val="21"/>
                <w:szCs w:val="21"/>
              </w:rPr>
            </w:pPr>
            <w:r>
              <w:rPr>
                <w:rFonts w:hint="eastAsia" w:ascii="宋体" w:hAnsi="宋体" w:cs="宋体"/>
                <w:sz w:val="21"/>
                <w:szCs w:val="21"/>
              </w:rPr>
              <w:t>《建筑设计防火规范（2018年版）》（GB50016-2014）3.7.2</w:t>
            </w:r>
          </w:p>
        </w:tc>
        <w:tc>
          <w:tcPr>
            <w:tcW w:w="1037" w:type="pct"/>
            <w:vAlign w:val="center"/>
          </w:tcPr>
          <w:p>
            <w:pPr>
              <w:spacing w:line="240" w:lineRule="auto"/>
              <w:ind w:firstLine="0" w:firstLineChars="0"/>
              <w:rPr>
                <w:rFonts w:ascii="宋体" w:hAnsi="宋体" w:cs="宋体"/>
                <w:sz w:val="21"/>
                <w:szCs w:val="21"/>
              </w:rPr>
            </w:pPr>
            <w:r>
              <w:rPr>
                <w:rFonts w:hint="eastAsia" w:ascii="宋体" w:hAnsi="宋体" w:cs="宋体"/>
                <w:sz w:val="21"/>
                <w:szCs w:val="21"/>
              </w:rPr>
              <w:t>厂房内每个防火分区或一个防火分区内的每个楼层，其安全出口的数量经计算确定，且不少于2个。</w:t>
            </w:r>
          </w:p>
        </w:tc>
        <w:tc>
          <w:tcPr>
            <w:tcW w:w="468" w:type="pct"/>
            <w:vAlign w:val="center"/>
          </w:tcPr>
          <w:p>
            <w:pPr>
              <w:spacing w:line="240" w:lineRule="auto"/>
              <w:ind w:firstLine="0" w:firstLineChars="0"/>
              <w:jc w:val="center"/>
              <w:rPr>
                <w:rFonts w:ascii="宋体" w:hAnsi="宋体" w:cs="宋体"/>
                <w:sz w:val="21"/>
                <w:szCs w:val="21"/>
              </w:rPr>
            </w:pPr>
            <w:r>
              <w:rPr>
                <w:rFonts w:hint="eastAsia" w:cs="Times New Roman"/>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414" w:type="pct"/>
            <w:vAlign w:val="center"/>
          </w:tcPr>
          <w:p>
            <w:pPr>
              <w:numPr>
                <w:ilvl w:val="0"/>
                <w:numId w:val="58"/>
              </w:numPr>
              <w:spacing w:line="240" w:lineRule="auto"/>
              <w:ind w:firstLine="422"/>
              <w:jc w:val="center"/>
              <w:rPr>
                <w:rFonts w:ascii="宋体" w:hAnsi="宋体" w:cs="宋体"/>
                <w:b/>
                <w:bCs/>
                <w:color w:val="000000"/>
                <w:sz w:val="21"/>
                <w:szCs w:val="21"/>
              </w:rPr>
            </w:pPr>
          </w:p>
        </w:tc>
        <w:tc>
          <w:tcPr>
            <w:tcW w:w="1774" w:type="pct"/>
            <w:vAlign w:val="center"/>
          </w:tcPr>
          <w:p>
            <w:pPr>
              <w:spacing w:line="240" w:lineRule="auto"/>
              <w:ind w:firstLine="0" w:firstLineChars="0"/>
              <w:rPr>
                <w:rFonts w:ascii="宋体" w:hAnsi="宋体" w:cs="宋体"/>
                <w:sz w:val="21"/>
                <w:szCs w:val="21"/>
              </w:rPr>
            </w:pPr>
            <w:r>
              <w:rPr>
                <w:rFonts w:hint="eastAsia" w:ascii="宋体" w:hAnsi="宋体" w:cs="宋体"/>
                <w:sz w:val="21"/>
                <w:szCs w:val="21"/>
              </w:rPr>
              <w:t>厂房内任一点至最近安全出口的直线距离不应大于《建筑设计防火规范（2018年版）》（GB50016-2014）表3.7.4的规定</w:t>
            </w:r>
          </w:p>
        </w:tc>
        <w:tc>
          <w:tcPr>
            <w:tcW w:w="1305" w:type="pct"/>
            <w:vAlign w:val="center"/>
          </w:tcPr>
          <w:p>
            <w:pPr>
              <w:spacing w:line="240" w:lineRule="auto"/>
              <w:ind w:firstLine="0" w:firstLineChars="0"/>
              <w:rPr>
                <w:rFonts w:ascii="宋体" w:hAnsi="宋体" w:cs="宋体"/>
                <w:sz w:val="21"/>
                <w:szCs w:val="21"/>
              </w:rPr>
            </w:pPr>
            <w:r>
              <w:rPr>
                <w:rFonts w:hint="eastAsia" w:ascii="宋体" w:hAnsi="宋体" w:cs="宋体"/>
                <w:sz w:val="21"/>
                <w:szCs w:val="21"/>
              </w:rPr>
              <w:t>《建筑设计防火规范（2018年版）》（GB50016-2014）3.7.4</w:t>
            </w:r>
          </w:p>
        </w:tc>
        <w:tc>
          <w:tcPr>
            <w:tcW w:w="1037" w:type="pct"/>
            <w:vAlign w:val="center"/>
          </w:tcPr>
          <w:p>
            <w:pPr>
              <w:spacing w:line="240" w:lineRule="auto"/>
              <w:ind w:firstLine="0" w:firstLineChars="0"/>
              <w:rPr>
                <w:rFonts w:ascii="宋体" w:hAnsi="宋体" w:cs="宋体"/>
                <w:sz w:val="21"/>
                <w:szCs w:val="21"/>
              </w:rPr>
            </w:pPr>
            <w:r>
              <w:rPr>
                <w:rFonts w:hint="eastAsia" w:ascii="宋体" w:hAnsi="宋体" w:cs="宋体"/>
                <w:sz w:val="21"/>
                <w:szCs w:val="21"/>
              </w:rPr>
              <w:t>厂房内任一点至最近安全出口的直线距离不大于表3.7.4的规定</w:t>
            </w:r>
          </w:p>
        </w:tc>
        <w:tc>
          <w:tcPr>
            <w:tcW w:w="468" w:type="pct"/>
            <w:vAlign w:val="center"/>
          </w:tcPr>
          <w:p>
            <w:pPr>
              <w:spacing w:line="240" w:lineRule="auto"/>
              <w:ind w:firstLine="0" w:firstLineChars="0"/>
              <w:jc w:val="center"/>
              <w:rPr>
                <w:rFonts w:cs="Times New Roman"/>
                <w:sz w:val="21"/>
                <w:szCs w:val="21"/>
              </w:rPr>
            </w:pPr>
            <w:r>
              <w:rPr>
                <w:rFonts w:hint="eastAsia" w:cs="Times New Roman"/>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414" w:type="pct"/>
            <w:vAlign w:val="center"/>
          </w:tcPr>
          <w:p>
            <w:pPr>
              <w:numPr>
                <w:ilvl w:val="0"/>
                <w:numId w:val="58"/>
              </w:numPr>
              <w:spacing w:line="240" w:lineRule="auto"/>
              <w:ind w:firstLine="422"/>
              <w:jc w:val="center"/>
              <w:rPr>
                <w:rFonts w:ascii="宋体" w:hAnsi="宋体" w:cs="宋体"/>
                <w:b/>
                <w:bCs/>
                <w:color w:val="000000"/>
                <w:sz w:val="21"/>
                <w:szCs w:val="21"/>
              </w:rPr>
            </w:pPr>
          </w:p>
        </w:tc>
        <w:tc>
          <w:tcPr>
            <w:tcW w:w="1774" w:type="pct"/>
            <w:vAlign w:val="center"/>
          </w:tcPr>
          <w:p>
            <w:pPr>
              <w:spacing w:line="240" w:lineRule="auto"/>
              <w:ind w:firstLine="0" w:firstLineChars="0"/>
              <w:rPr>
                <w:rFonts w:ascii="宋体" w:hAnsi="宋体" w:cs="宋体"/>
                <w:sz w:val="21"/>
                <w:szCs w:val="21"/>
              </w:rPr>
            </w:pPr>
            <w:r>
              <w:rPr>
                <w:rFonts w:hint="eastAsia" w:ascii="宋体" w:hAnsi="宋体" w:cs="宋体"/>
                <w:sz w:val="21"/>
                <w:szCs w:val="21"/>
              </w:rPr>
              <w:t>厂房内疏散楼梯、走道、门的各自总净宽度，应根据疏散人数按每100人的最小疏散净宽度不小于表3.7.5的规定计算确定。但疏散楼梯的最小净宽度不宜小于1.10m，疏散走道的最小净宽度不宜小于1.40m，门的最小净宽度不宜小于0.90m。当每层疏散人数不相等时，疏散楼梯的总净宽度应分层计算，下层楼梯总净宽度应按该层及以上疏散人数最多一层的疏散人数计算。</w:t>
            </w:r>
          </w:p>
          <w:p>
            <w:pPr>
              <w:spacing w:line="240" w:lineRule="auto"/>
              <w:ind w:firstLine="0" w:firstLineChars="0"/>
              <w:rPr>
                <w:rFonts w:ascii="宋体" w:hAnsi="宋体" w:cs="宋体"/>
                <w:sz w:val="21"/>
                <w:szCs w:val="21"/>
              </w:rPr>
            </w:pPr>
            <w:r>
              <w:rPr>
                <w:rFonts w:hint="eastAsia" w:ascii="宋体" w:hAnsi="宋体" w:cs="宋体"/>
                <w:sz w:val="21"/>
                <w:szCs w:val="21"/>
              </w:rPr>
              <w:t>首层外门的总净宽度应按该层及以上疏散人数最多一层的疏散人数计算，且该门的最小净宽度不应小于1.20m。</w:t>
            </w:r>
          </w:p>
        </w:tc>
        <w:tc>
          <w:tcPr>
            <w:tcW w:w="1305" w:type="pct"/>
            <w:vAlign w:val="center"/>
          </w:tcPr>
          <w:p>
            <w:pPr>
              <w:spacing w:line="240" w:lineRule="auto"/>
              <w:ind w:firstLine="0" w:firstLineChars="0"/>
              <w:rPr>
                <w:rFonts w:ascii="宋体" w:hAnsi="宋体" w:cs="宋体"/>
                <w:sz w:val="21"/>
                <w:szCs w:val="21"/>
              </w:rPr>
            </w:pPr>
            <w:r>
              <w:rPr>
                <w:rFonts w:hint="eastAsia" w:ascii="宋体" w:hAnsi="宋体" w:cs="宋体"/>
                <w:sz w:val="21"/>
                <w:szCs w:val="21"/>
              </w:rPr>
              <w:t>《建筑设计防火规范（2018年版）》（GB50016-2014）3.7.5</w:t>
            </w:r>
          </w:p>
        </w:tc>
        <w:tc>
          <w:tcPr>
            <w:tcW w:w="1037" w:type="pct"/>
            <w:vAlign w:val="center"/>
          </w:tcPr>
          <w:p>
            <w:pPr>
              <w:spacing w:line="240" w:lineRule="auto"/>
              <w:ind w:firstLine="0" w:firstLineChars="0"/>
              <w:rPr>
                <w:rFonts w:ascii="宋体" w:hAnsi="宋体" w:cs="宋体"/>
                <w:sz w:val="21"/>
                <w:szCs w:val="21"/>
              </w:rPr>
            </w:pPr>
            <w:r>
              <w:rPr>
                <w:rFonts w:hint="eastAsia" w:ascii="宋体" w:hAnsi="宋体" w:cs="宋体"/>
                <w:sz w:val="21"/>
                <w:szCs w:val="21"/>
              </w:rPr>
              <w:t>厂房内疏散楼梯、走道、门的各自总净宽度，应根据疏散人数按每100人的最小疏散净宽度不小于表3.7.5的规定计算确定。首层外门的总净宽度应按该层及以上疏散人数最多一层的疏散人数计算，且该门的最小净宽度不小于1.20m。</w:t>
            </w:r>
          </w:p>
        </w:tc>
        <w:tc>
          <w:tcPr>
            <w:tcW w:w="468" w:type="pct"/>
            <w:vAlign w:val="center"/>
          </w:tcPr>
          <w:p>
            <w:pPr>
              <w:spacing w:line="240" w:lineRule="auto"/>
              <w:ind w:firstLine="0" w:firstLineChars="0"/>
              <w:jc w:val="center"/>
              <w:rPr>
                <w:rFonts w:cs="Times New Roman"/>
                <w:sz w:val="21"/>
                <w:szCs w:val="21"/>
              </w:rPr>
            </w:pPr>
            <w:r>
              <w:rPr>
                <w:rFonts w:hint="eastAsia" w:ascii="宋体" w:hAnsi="宋体" w:cs="宋体"/>
                <w:snapToGrid w:val="0"/>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414" w:type="pct"/>
            <w:vAlign w:val="center"/>
          </w:tcPr>
          <w:p>
            <w:pPr>
              <w:numPr>
                <w:ilvl w:val="0"/>
                <w:numId w:val="58"/>
              </w:numPr>
              <w:spacing w:line="240" w:lineRule="auto"/>
              <w:ind w:firstLine="422"/>
              <w:jc w:val="center"/>
              <w:rPr>
                <w:rFonts w:ascii="宋体" w:hAnsi="宋体" w:cs="宋体"/>
                <w:b/>
                <w:bCs/>
                <w:color w:val="000000"/>
                <w:sz w:val="21"/>
                <w:szCs w:val="21"/>
              </w:rPr>
            </w:pPr>
          </w:p>
        </w:tc>
        <w:tc>
          <w:tcPr>
            <w:tcW w:w="1774" w:type="pct"/>
            <w:vAlign w:val="center"/>
          </w:tcPr>
          <w:p>
            <w:pPr>
              <w:spacing w:line="240" w:lineRule="auto"/>
              <w:ind w:firstLine="0" w:firstLineChars="0"/>
              <w:rPr>
                <w:rFonts w:ascii="宋体" w:hAnsi="宋体" w:cs="宋体"/>
                <w:sz w:val="21"/>
                <w:szCs w:val="21"/>
              </w:rPr>
            </w:pPr>
            <w:r>
              <w:rPr>
                <w:rFonts w:hint="eastAsia" w:ascii="宋体" w:hAnsi="宋体" w:cs="宋体"/>
                <w:sz w:val="21"/>
                <w:szCs w:val="21"/>
              </w:rPr>
              <w:t>消防车道应符合下列要求：1车道的净宽度和净空高度均不应小于 4.0m；2转弯半径应满足消防车转弯的要求；3消防车道与建筑之间不应设置妨碍消防车操作的树木、架空管线等障碍物；4消防车道靠建筑外墙一侧的边缘距离建筑外墙不宜小于5m；5消防车道的坡度不宜大于8%。</w:t>
            </w:r>
          </w:p>
        </w:tc>
        <w:tc>
          <w:tcPr>
            <w:tcW w:w="1305"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《建筑设计防火规范（2018年版）》（GB50016-2014）7.1.8</w:t>
            </w:r>
          </w:p>
        </w:tc>
        <w:tc>
          <w:tcPr>
            <w:tcW w:w="1037" w:type="pct"/>
            <w:vAlign w:val="center"/>
          </w:tcPr>
          <w:p>
            <w:pPr>
              <w:spacing w:line="240" w:lineRule="auto"/>
              <w:ind w:firstLine="0" w:firstLineChars="0"/>
              <w:rPr>
                <w:rFonts w:ascii="宋体" w:hAnsi="宋体" w:cs="宋体"/>
                <w:sz w:val="21"/>
                <w:szCs w:val="21"/>
              </w:rPr>
            </w:pPr>
            <w:r>
              <w:rPr>
                <w:rFonts w:hint="eastAsia" w:ascii="宋体" w:hAnsi="宋体" w:cs="宋体"/>
                <w:sz w:val="21"/>
                <w:szCs w:val="21"/>
              </w:rPr>
              <w:t>现场检查消防车道符合要求。</w:t>
            </w:r>
          </w:p>
        </w:tc>
        <w:tc>
          <w:tcPr>
            <w:tcW w:w="468" w:type="pct"/>
            <w:vAlign w:val="center"/>
          </w:tcPr>
          <w:p>
            <w:pPr>
              <w:spacing w:line="240" w:lineRule="auto"/>
              <w:ind w:firstLine="0" w:firstLineChars="0"/>
              <w:jc w:val="center"/>
              <w:rPr>
                <w:rFonts w:ascii="宋体" w:hAnsi="宋体" w:cs="宋体"/>
                <w:sz w:val="21"/>
                <w:szCs w:val="21"/>
              </w:rPr>
            </w:pPr>
            <w:r>
              <w:rPr>
                <w:rFonts w:hint="eastAsia" w:ascii="宋体" w:hAnsi="宋体" w:cs="宋体"/>
                <w:snapToGrid w:val="0"/>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414" w:type="pct"/>
            <w:vAlign w:val="center"/>
          </w:tcPr>
          <w:p>
            <w:pPr>
              <w:numPr>
                <w:ilvl w:val="0"/>
                <w:numId w:val="58"/>
              </w:numPr>
              <w:spacing w:line="240" w:lineRule="auto"/>
              <w:ind w:firstLine="422"/>
              <w:jc w:val="center"/>
              <w:rPr>
                <w:rFonts w:ascii="宋体" w:hAnsi="宋体" w:cs="宋体"/>
                <w:b/>
                <w:bCs/>
                <w:color w:val="000000"/>
                <w:sz w:val="21"/>
                <w:szCs w:val="21"/>
              </w:rPr>
            </w:pPr>
          </w:p>
        </w:tc>
        <w:tc>
          <w:tcPr>
            <w:tcW w:w="1774" w:type="pct"/>
            <w:vAlign w:val="center"/>
          </w:tcPr>
          <w:p>
            <w:pPr>
              <w:spacing w:line="240" w:lineRule="auto"/>
              <w:ind w:firstLine="0" w:firstLineChars="0"/>
              <w:rPr>
                <w:rFonts w:ascii="宋体" w:hAnsi="宋体" w:cs="宋体"/>
                <w:sz w:val="21"/>
                <w:szCs w:val="21"/>
              </w:rPr>
            </w:pPr>
            <w:r>
              <w:rPr>
                <w:rFonts w:hint="eastAsia" w:ascii="宋体" w:hAnsi="宋体" w:cs="宋体"/>
                <w:sz w:val="21"/>
                <w:szCs w:val="21"/>
              </w:rPr>
              <w:t>除建筑高度小于27m的住宅建筑外，民用建筑、厂房和丙类仓库的下列部位应设置疏散照明：</w:t>
            </w:r>
          </w:p>
          <w:p>
            <w:pPr>
              <w:spacing w:line="240" w:lineRule="auto"/>
              <w:ind w:firstLine="0" w:firstLineChars="0"/>
              <w:rPr>
                <w:rFonts w:ascii="宋体" w:hAnsi="宋体" w:cs="宋体"/>
                <w:sz w:val="21"/>
                <w:szCs w:val="21"/>
              </w:rPr>
            </w:pPr>
            <w:r>
              <w:rPr>
                <w:rFonts w:hint="eastAsia" w:ascii="宋体" w:hAnsi="宋体" w:cs="宋体"/>
                <w:sz w:val="21"/>
                <w:szCs w:val="21"/>
              </w:rPr>
              <w:t>1 封闭楼梯间、防烟楼梯间及其前室、消防电梯间的前室或合用前室、避难走道、避难层（间）；</w:t>
            </w:r>
          </w:p>
          <w:p>
            <w:pPr>
              <w:spacing w:line="240" w:lineRule="auto"/>
              <w:ind w:firstLine="0" w:firstLineChars="0"/>
              <w:rPr>
                <w:rFonts w:ascii="宋体" w:hAnsi="宋体" w:cs="宋体"/>
                <w:sz w:val="21"/>
                <w:szCs w:val="21"/>
              </w:rPr>
            </w:pPr>
            <w:r>
              <w:rPr>
                <w:rFonts w:hint="eastAsia" w:ascii="宋体" w:hAnsi="宋体" w:cs="宋体"/>
                <w:sz w:val="21"/>
                <w:szCs w:val="21"/>
              </w:rPr>
              <w:t>2 观众厅、展览厅、多功能厅和建筑面积大于200㎡的营业厅、餐厅、演播室等人员密集的场所；</w:t>
            </w:r>
          </w:p>
          <w:p>
            <w:pPr>
              <w:spacing w:line="240" w:lineRule="auto"/>
              <w:ind w:firstLine="0" w:firstLineChars="0"/>
              <w:rPr>
                <w:rFonts w:ascii="宋体" w:hAnsi="宋体" w:cs="宋体"/>
                <w:sz w:val="21"/>
                <w:szCs w:val="21"/>
              </w:rPr>
            </w:pPr>
            <w:r>
              <w:rPr>
                <w:rFonts w:hint="eastAsia" w:ascii="宋体" w:hAnsi="宋体" w:cs="宋体"/>
                <w:sz w:val="21"/>
                <w:szCs w:val="21"/>
              </w:rPr>
              <w:t>3 建筑面积大于100㎡的地下或半地下公共活动场所；</w:t>
            </w:r>
          </w:p>
          <w:p>
            <w:pPr>
              <w:spacing w:line="240" w:lineRule="auto"/>
              <w:ind w:firstLine="0" w:firstLineChars="0"/>
              <w:rPr>
                <w:rFonts w:ascii="宋体" w:hAnsi="宋体" w:cs="宋体"/>
                <w:sz w:val="21"/>
                <w:szCs w:val="21"/>
              </w:rPr>
            </w:pPr>
            <w:r>
              <w:rPr>
                <w:rFonts w:hint="eastAsia" w:ascii="宋体" w:hAnsi="宋体" w:cs="宋体"/>
                <w:sz w:val="21"/>
                <w:szCs w:val="21"/>
              </w:rPr>
              <w:t>4 公共建筑内的疏散走道；</w:t>
            </w:r>
          </w:p>
          <w:p>
            <w:pPr>
              <w:spacing w:line="240" w:lineRule="auto"/>
              <w:ind w:firstLine="0" w:firstLineChars="0"/>
              <w:rPr>
                <w:rFonts w:ascii="宋体" w:hAnsi="宋体" w:cs="宋体"/>
                <w:sz w:val="21"/>
                <w:szCs w:val="21"/>
              </w:rPr>
            </w:pPr>
            <w:r>
              <w:rPr>
                <w:rFonts w:hint="eastAsia" w:ascii="宋体" w:hAnsi="宋体" w:cs="宋体"/>
                <w:sz w:val="21"/>
                <w:szCs w:val="21"/>
              </w:rPr>
              <w:t>5 人员密集的厂房内的生产场所及疏散走道。</w:t>
            </w:r>
          </w:p>
        </w:tc>
        <w:tc>
          <w:tcPr>
            <w:tcW w:w="1305"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《建筑设计防火规范（2018年版）》（GB50016-2014）</w:t>
            </w:r>
            <w:r>
              <w:rPr>
                <w:rFonts w:hint="eastAsia" w:ascii="宋体" w:hAnsi="宋体" w:cs="宋体"/>
                <w:color w:val="333333"/>
                <w:sz w:val="21"/>
                <w:szCs w:val="21"/>
                <w:shd w:val="clear" w:color="auto" w:fill="FFFFFF"/>
              </w:rPr>
              <w:t xml:space="preserve">10.3.1 </w:t>
            </w:r>
          </w:p>
        </w:tc>
        <w:tc>
          <w:tcPr>
            <w:tcW w:w="1037" w:type="pct"/>
            <w:vAlign w:val="center"/>
          </w:tcPr>
          <w:p>
            <w:pPr>
              <w:spacing w:line="240" w:lineRule="auto"/>
              <w:ind w:firstLine="0" w:firstLineChars="0"/>
              <w:rPr>
                <w:rFonts w:ascii="宋体" w:hAnsi="宋体" w:cs="宋体"/>
                <w:sz w:val="21"/>
                <w:szCs w:val="21"/>
              </w:rPr>
            </w:pPr>
            <w:r>
              <w:rPr>
                <w:rFonts w:hint="eastAsia" w:ascii="宋体" w:hAnsi="宋体" w:cs="宋体"/>
                <w:sz w:val="21"/>
                <w:szCs w:val="21"/>
              </w:rPr>
              <w:t>按规范设置应急照明</w:t>
            </w:r>
          </w:p>
        </w:tc>
        <w:tc>
          <w:tcPr>
            <w:tcW w:w="468" w:type="pct"/>
            <w:vAlign w:val="center"/>
          </w:tcPr>
          <w:p>
            <w:pPr>
              <w:spacing w:line="240" w:lineRule="auto"/>
              <w:ind w:firstLine="0" w:firstLineChars="0"/>
              <w:jc w:val="center"/>
              <w:rPr>
                <w:rFonts w:ascii="宋体" w:hAnsi="宋体" w:cs="宋体"/>
                <w:snapToGrid w:val="0"/>
                <w:sz w:val="21"/>
                <w:szCs w:val="21"/>
              </w:rPr>
            </w:pPr>
            <w:r>
              <w:rPr>
                <w:rFonts w:hint="eastAsia" w:ascii="宋体" w:hAnsi="宋体" w:cs="宋体"/>
                <w:snapToGrid w:val="0"/>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414" w:type="pct"/>
            <w:vAlign w:val="center"/>
          </w:tcPr>
          <w:p>
            <w:pPr>
              <w:numPr>
                <w:ilvl w:val="0"/>
                <w:numId w:val="58"/>
              </w:numPr>
              <w:spacing w:line="240" w:lineRule="auto"/>
              <w:ind w:firstLine="422"/>
              <w:jc w:val="center"/>
              <w:rPr>
                <w:rFonts w:ascii="宋体" w:hAnsi="宋体" w:cs="宋体"/>
                <w:b/>
                <w:bCs/>
                <w:color w:val="000000"/>
                <w:sz w:val="21"/>
                <w:szCs w:val="21"/>
              </w:rPr>
            </w:pPr>
          </w:p>
        </w:tc>
        <w:tc>
          <w:tcPr>
            <w:tcW w:w="1774" w:type="pct"/>
            <w:vAlign w:val="center"/>
          </w:tcPr>
          <w:p>
            <w:pPr>
              <w:spacing w:line="240" w:lineRule="auto"/>
              <w:ind w:firstLine="0" w:firstLineChars="0"/>
              <w:rPr>
                <w:rFonts w:ascii="宋体" w:hAnsi="宋体" w:cs="宋体"/>
                <w:sz w:val="21"/>
                <w:szCs w:val="21"/>
              </w:rPr>
            </w:pPr>
            <w:r>
              <w:rPr>
                <w:rFonts w:hint="eastAsia" w:ascii="宋体" w:hAnsi="宋体" w:cs="宋体"/>
                <w:sz w:val="21"/>
                <w:szCs w:val="21"/>
              </w:rPr>
              <w:t>建筑内疏散照明的地面最低水平照度应符合下列规定：</w:t>
            </w:r>
          </w:p>
          <w:p>
            <w:pPr>
              <w:spacing w:line="240" w:lineRule="auto"/>
              <w:ind w:firstLine="0" w:firstLineChars="0"/>
              <w:rPr>
                <w:rFonts w:ascii="宋体" w:hAnsi="宋体" w:cs="宋体"/>
                <w:sz w:val="21"/>
                <w:szCs w:val="21"/>
              </w:rPr>
            </w:pPr>
            <w:r>
              <w:rPr>
                <w:rFonts w:hint="eastAsia" w:ascii="宋体" w:hAnsi="宋体" w:cs="宋体"/>
                <w:sz w:val="21"/>
                <w:szCs w:val="21"/>
              </w:rPr>
              <w:t>1 对于疏散走道，不应低于1.0 lx；</w:t>
            </w:r>
          </w:p>
          <w:p>
            <w:pPr>
              <w:spacing w:line="240" w:lineRule="auto"/>
              <w:ind w:firstLine="0" w:firstLineChars="0"/>
              <w:rPr>
                <w:rFonts w:ascii="宋体" w:hAnsi="宋体" w:cs="宋体"/>
                <w:sz w:val="21"/>
                <w:szCs w:val="21"/>
              </w:rPr>
            </w:pPr>
            <w:r>
              <w:rPr>
                <w:rFonts w:hint="eastAsia" w:ascii="宋体" w:hAnsi="宋体" w:cs="宋体"/>
                <w:sz w:val="21"/>
                <w:szCs w:val="21"/>
              </w:rPr>
              <w:t>2 对于人员密集场所、避难层（间），不应低于3.0 lx；对于病房楼或手术部的避难间，不应低于10.0 lx；</w:t>
            </w:r>
          </w:p>
          <w:p>
            <w:pPr>
              <w:spacing w:line="240" w:lineRule="auto"/>
              <w:ind w:firstLine="0" w:firstLineChars="0"/>
              <w:rPr>
                <w:rFonts w:ascii="宋体" w:hAnsi="宋体" w:cs="宋体"/>
                <w:sz w:val="21"/>
                <w:szCs w:val="21"/>
              </w:rPr>
            </w:pPr>
            <w:r>
              <w:rPr>
                <w:rFonts w:hint="eastAsia" w:ascii="宋体" w:hAnsi="宋体" w:cs="宋体"/>
                <w:color w:val="333333"/>
                <w:sz w:val="21"/>
                <w:szCs w:val="21"/>
                <w:shd w:val="clear" w:color="auto" w:fill="FFFFFF"/>
              </w:rPr>
              <w:t>3 对于楼梯间、前室或合用前室、避难走道，不应低于5.0lx。</w:t>
            </w:r>
          </w:p>
        </w:tc>
        <w:tc>
          <w:tcPr>
            <w:tcW w:w="1305"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《建筑设计防火规范（2018年版）》（GB50016-2014）</w:t>
            </w:r>
            <w:r>
              <w:rPr>
                <w:rFonts w:hint="eastAsia" w:ascii="宋体" w:hAnsi="宋体" w:cs="宋体"/>
                <w:color w:val="333333"/>
                <w:sz w:val="21"/>
                <w:szCs w:val="21"/>
                <w:shd w:val="clear" w:color="auto" w:fill="FFFFFF"/>
              </w:rPr>
              <w:t xml:space="preserve">10.3.2 </w:t>
            </w:r>
          </w:p>
        </w:tc>
        <w:tc>
          <w:tcPr>
            <w:tcW w:w="1037" w:type="pct"/>
            <w:vAlign w:val="center"/>
          </w:tcPr>
          <w:p>
            <w:pPr>
              <w:spacing w:line="240" w:lineRule="auto"/>
              <w:ind w:firstLine="0" w:firstLineChars="0"/>
              <w:rPr>
                <w:rFonts w:ascii="宋体" w:hAnsi="宋体" w:cs="宋体"/>
                <w:sz w:val="21"/>
                <w:szCs w:val="21"/>
              </w:rPr>
            </w:pPr>
            <w:r>
              <w:rPr>
                <w:rFonts w:hint="eastAsia" w:ascii="宋体" w:hAnsi="宋体" w:cs="宋体"/>
                <w:sz w:val="21"/>
                <w:szCs w:val="21"/>
              </w:rPr>
              <w:t>建筑内疏散照明的地面最低水平照度符合规定。</w:t>
            </w:r>
          </w:p>
        </w:tc>
        <w:tc>
          <w:tcPr>
            <w:tcW w:w="468" w:type="pct"/>
            <w:vAlign w:val="center"/>
          </w:tcPr>
          <w:p>
            <w:pPr>
              <w:spacing w:line="240" w:lineRule="auto"/>
              <w:ind w:firstLine="0" w:firstLineChars="0"/>
              <w:jc w:val="center"/>
              <w:rPr>
                <w:rFonts w:ascii="宋体" w:hAnsi="宋体" w:cs="宋体"/>
                <w:snapToGrid w:val="0"/>
                <w:sz w:val="21"/>
                <w:szCs w:val="21"/>
              </w:rPr>
            </w:pPr>
            <w:r>
              <w:rPr>
                <w:rFonts w:hint="eastAsia" w:ascii="宋体" w:hAnsi="宋体" w:cs="宋体"/>
                <w:snapToGrid w:val="0"/>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1286" w:hRule="atLeast"/>
          <w:jc w:val="center"/>
        </w:trPr>
        <w:tc>
          <w:tcPr>
            <w:tcW w:w="414" w:type="pct"/>
            <w:vAlign w:val="center"/>
          </w:tcPr>
          <w:p>
            <w:pPr>
              <w:numPr>
                <w:ilvl w:val="0"/>
                <w:numId w:val="58"/>
              </w:numPr>
              <w:spacing w:line="240" w:lineRule="auto"/>
              <w:ind w:firstLine="422"/>
              <w:jc w:val="center"/>
              <w:rPr>
                <w:rFonts w:ascii="宋体" w:hAnsi="宋体" w:cs="宋体"/>
                <w:b/>
                <w:bCs/>
                <w:color w:val="000000"/>
                <w:sz w:val="21"/>
                <w:szCs w:val="21"/>
              </w:rPr>
            </w:pPr>
          </w:p>
        </w:tc>
        <w:tc>
          <w:tcPr>
            <w:tcW w:w="1774" w:type="pct"/>
            <w:vAlign w:val="center"/>
          </w:tcPr>
          <w:p>
            <w:pPr>
              <w:pStyle w:val="27"/>
              <w:widowControl/>
              <w:shd w:val="clear" w:color="auto" w:fill="FFFFFF"/>
              <w:wordWrap w:val="0"/>
              <w:adjustRightInd w:val="0"/>
              <w:snapToGrid w:val="0"/>
              <w:spacing w:beforeAutospacing="0" w:afterAutospacing="0" w:line="240" w:lineRule="auto"/>
              <w:ind w:firstLine="0" w:firstLineChars="0"/>
              <w:rPr>
                <w:rFonts w:ascii="宋体" w:hAnsi="宋体" w:cs="宋体"/>
                <w:sz w:val="21"/>
                <w:szCs w:val="21"/>
              </w:rPr>
            </w:pPr>
            <w:r>
              <w:rPr>
                <w:rFonts w:hint="eastAsia" w:ascii="宋体" w:hAnsi="宋体" w:cs="宋体"/>
                <w:color w:val="333333"/>
                <w:sz w:val="21"/>
                <w:szCs w:val="21"/>
                <w:shd w:val="clear" w:color="auto" w:fill="FFFFFF"/>
              </w:rPr>
              <w:t>疏散照明灯具应设置在出口的顶部、墙面的上部或顶棚上；备用照明灯具应设置在墙面的上部或顶棚上。</w:t>
            </w:r>
          </w:p>
        </w:tc>
        <w:tc>
          <w:tcPr>
            <w:tcW w:w="1305"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《建筑设计防火规范（2018年版）》（GB50016-2014）</w:t>
            </w:r>
            <w:r>
              <w:rPr>
                <w:rFonts w:hint="eastAsia" w:ascii="宋体" w:hAnsi="宋体" w:cs="宋体"/>
                <w:color w:val="333333"/>
                <w:sz w:val="21"/>
                <w:szCs w:val="21"/>
                <w:shd w:val="clear" w:color="auto" w:fill="FFFFFF"/>
              </w:rPr>
              <w:t>10.3.4</w:t>
            </w:r>
          </w:p>
        </w:tc>
        <w:tc>
          <w:tcPr>
            <w:tcW w:w="1037" w:type="pct"/>
            <w:vAlign w:val="center"/>
          </w:tcPr>
          <w:p>
            <w:pPr>
              <w:spacing w:line="240" w:lineRule="auto"/>
              <w:ind w:firstLine="0" w:firstLineChars="0"/>
              <w:rPr>
                <w:rFonts w:ascii="宋体" w:hAnsi="宋体" w:cs="宋体"/>
                <w:sz w:val="21"/>
                <w:szCs w:val="21"/>
              </w:rPr>
            </w:pPr>
            <w:r>
              <w:rPr>
                <w:rFonts w:hint="eastAsia" w:ascii="宋体" w:hAnsi="宋体" w:cs="宋体"/>
                <w:color w:val="333333"/>
                <w:sz w:val="21"/>
                <w:szCs w:val="21"/>
                <w:shd w:val="clear" w:color="auto" w:fill="FFFFFF"/>
              </w:rPr>
              <w:t>疏散照明灯具设置符合要求。</w:t>
            </w:r>
          </w:p>
        </w:tc>
        <w:tc>
          <w:tcPr>
            <w:tcW w:w="468" w:type="pct"/>
            <w:vAlign w:val="center"/>
          </w:tcPr>
          <w:p>
            <w:pPr>
              <w:spacing w:line="240" w:lineRule="auto"/>
              <w:ind w:firstLine="0" w:firstLineChars="0"/>
              <w:jc w:val="center"/>
              <w:rPr>
                <w:rFonts w:ascii="宋体" w:hAnsi="宋体" w:cs="宋体"/>
                <w:snapToGrid w:val="0"/>
                <w:sz w:val="21"/>
                <w:szCs w:val="21"/>
              </w:rPr>
            </w:pPr>
            <w:r>
              <w:rPr>
                <w:rFonts w:hint="eastAsia" w:ascii="宋体" w:hAnsi="宋体" w:cs="宋体"/>
                <w:snapToGrid w:val="0"/>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414" w:type="pct"/>
            <w:vAlign w:val="center"/>
          </w:tcPr>
          <w:p>
            <w:pPr>
              <w:numPr>
                <w:ilvl w:val="0"/>
                <w:numId w:val="58"/>
              </w:numPr>
              <w:spacing w:line="240" w:lineRule="auto"/>
              <w:ind w:firstLine="422"/>
              <w:jc w:val="center"/>
              <w:rPr>
                <w:rFonts w:ascii="宋体" w:hAnsi="宋体" w:cs="宋体"/>
                <w:b/>
                <w:bCs/>
                <w:color w:val="000000"/>
                <w:sz w:val="21"/>
                <w:szCs w:val="21"/>
              </w:rPr>
            </w:pPr>
          </w:p>
        </w:tc>
        <w:tc>
          <w:tcPr>
            <w:tcW w:w="1774" w:type="pct"/>
            <w:vAlign w:val="center"/>
          </w:tcPr>
          <w:p>
            <w:pPr>
              <w:pStyle w:val="27"/>
              <w:widowControl/>
              <w:shd w:val="clear" w:color="auto" w:fill="FFFFFF"/>
              <w:wordWrap w:val="0"/>
              <w:adjustRightInd w:val="0"/>
              <w:snapToGrid w:val="0"/>
              <w:spacing w:beforeAutospacing="0" w:afterAutospacing="0" w:line="240" w:lineRule="auto"/>
              <w:ind w:firstLine="0" w:firstLineChars="0"/>
              <w:rPr>
                <w:rFonts w:ascii="宋体" w:hAnsi="宋体" w:cs="宋体"/>
                <w:color w:val="333333"/>
                <w:sz w:val="21"/>
                <w:szCs w:val="21"/>
                <w:shd w:val="clear" w:color="auto" w:fill="FFFFFF"/>
              </w:rPr>
            </w:pPr>
            <w:r>
              <w:rPr>
                <w:rFonts w:hint="eastAsia" w:ascii="宋体" w:hAnsi="宋体" w:cs="宋体"/>
                <w:color w:val="333333"/>
                <w:sz w:val="21"/>
                <w:szCs w:val="21"/>
                <w:shd w:val="clear" w:color="auto" w:fill="FFFFFF"/>
              </w:rPr>
              <w:t>建筑内设置的消防疏散指示标志和消</w:t>
            </w:r>
            <w:r>
              <w:rPr>
                <w:rFonts w:hint="eastAsia" w:ascii="宋体" w:hAnsi="宋体" w:cs="宋体"/>
                <w:sz w:val="21"/>
                <w:szCs w:val="21"/>
                <w:shd w:val="clear" w:color="auto" w:fill="FFFFFF"/>
              </w:rPr>
              <w:t>防</w:t>
            </w:r>
            <w:r>
              <w:fldChar w:fldCharType="begin"/>
            </w:r>
            <w:r>
              <w:instrText xml:space="preserve"> HYPERLINK "http://www.tpy119.com/sell/list-94.html" \t "https://www.tpy119.com/wenku/_blank" </w:instrText>
            </w:r>
            <w:r>
              <w:fldChar w:fldCharType="separate"/>
            </w:r>
            <w:r>
              <w:rPr>
                <w:rStyle w:val="35"/>
                <w:rFonts w:hint="eastAsia" w:ascii="宋体" w:hAnsi="宋体" w:cs="宋体"/>
                <w:color w:val="auto"/>
                <w:sz w:val="21"/>
                <w:szCs w:val="21"/>
                <w:u w:val="none"/>
                <w:shd w:val="clear" w:color="auto" w:fill="FFFFFF"/>
              </w:rPr>
              <w:t>应急照明灯</w:t>
            </w:r>
            <w:r>
              <w:rPr>
                <w:rStyle w:val="35"/>
                <w:rFonts w:hint="eastAsia" w:ascii="宋体" w:hAnsi="宋体" w:cs="宋体"/>
                <w:color w:val="auto"/>
                <w:sz w:val="21"/>
                <w:szCs w:val="21"/>
                <w:u w:val="none"/>
                <w:shd w:val="clear" w:color="auto" w:fill="FFFFFF"/>
              </w:rPr>
              <w:fldChar w:fldCharType="end"/>
            </w:r>
            <w:r>
              <w:rPr>
                <w:rFonts w:hint="eastAsia" w:ascii="宋体" w:hAnsi="宋体" w:cs="宋体"/>
                <w:sz w:val="21"/>
                <w:szCs w:val="21"/>
                <w:shd w:val="clear" w:color="auto" w:fill="FFFFFF"/>
              </w:rPr>
              <w:t>具，除应符合本规范的规定外，</w:t>
            </w:r>
            <w:r>
              <w:rPr>
                <w:rFonts w:hint="eastAsia" w:ascii="宋体" w:hAnsi="宋体" w:cs="宋体"/>
                <w:color w:val="333333"/>
                <w:sz w:val="21"/>
                <w:szCs w:val="21"/>
                <w:shd w:val="clear" w:color="auto" w:fill="FFFFFF"/>
              </w:rPr>
              <w:t>还应符合现行国家标准《消防安全标志》GB 13495和《消防应急照明和疏散指示系统》GB 17945的规定。</w:t>
            </w:r>
          </w:p>
        </w:tc>
        <w:tc>
          <w:tcPr>
            <w:tcW w:w="1305"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《建筑设计防火规范（2018年版）》（GB50016-2014）</w:t>
            </w:r>
            <w:r>
              <w:rPr>
                <w:rFonts w:hint="eastAsia" w:ascii="宋体" w:hAnsi="宋体" w:cs="宋体"/>
                <w:color w:val="333333"/>
                <w:sz w:val="21"/>
                <w:szCs w:val="21"/>
                <w:shd w:val="clear" w:color="auto" w:fill="FFFFFF"/>
              </w:rPr>
              <w:t>10.3.7</w:t>
            </w:r>
          </w:p>
        </w:tc>
        <w:tc>
          <w:tcPr>
            <w:tcW w:w="1037" w:type="pct"/>
            <w:vAlign w:val="center"/>
          </w:tcPr>
          <w:p>
            <w:pPr>
              <w:spacing w:line="240" w:lineRule="auto"/>
              <w:ind w:firstLine="0" w:firstLineChars="0"/>
              <w:rPr>
                <w:rFonts w:ascii="宋体" w:hAnsi="宋体" w:cs="宋体"/>
                <w:sz w:val="21"/>
                <w:szCs w:val="21"/>
              </w:rPr>
            </w:pPr>
            <w:r>
              <w:rPr>
                <w:rFonts w:hint="eastAsia" w:ascii="宋体" w:hAnsi="宋体" w:cs="宋体"/>
                <w:color w:val="333333"/>
                <w:sz w:val="21"/>
                <w:szCs w:val="21"/>
                <w:shd w:val="clear" w:color="auto" w:fill="FFFFFF"/>
              </w:rPr>
              <w:t>建筑内设置的消</w:t>
            </w:r>
            <w:r>
              <w:rPr>
                <w:rFonts w:hint="eastAsia" w:ascii="宋体" w:hAnsi="宋体" w:cs="宋体"/>
                <w:sz w:val="21"/>
                <w:szCs w:val="21"/>
                <w:shd w:val="clear" w:color="auto" w:fill="FFFFFF"/>
              </w:rPr>
              <w:t>防</w:t>
            </w:r>
            <w:r>
              <w:fldChar w:fldCharType="begin"/>
            </w:r>
            <w:r>
              <w:instrText xml:space="preserve"> HYPERLINK "http://www.tpy119.com/sell/list-94.html" \t "https://www.tpy119.com/wenku/_blank" </w:instrText>
            </w:r>
            <w:r>
              <w:fldChar w:fldCharType="separate"/>
            </w:r>
            <w:r>
              <w:rPr>
                <w:rStyle w:val="35"/>
                <w:rFonts w:hint="eastAsia" w:ascii="宋体" w:hAnsi="宋体" w:cs="宋体"/>
                <w:color w:val="auto"/>
                <w:sz w:val="21"/>
                <w:szCs w:val="21"/>
                <w:u w:val="none"/>
                <w:shd w:val="clear" w:color="auto" w:fill="FFFFFF"/>
              </w:rPr>
              <w:t>应急照明灯</w:t>
            </w:r>
            <w:r>
              <w:rPr>
                <w:rStyle w:val="35"/>
                <w:rFonts w:hint="eastAsia" w:ascii="宋体" w:hAnsi="宋体" w:cs="宋体"/>
                <w:color w:val="auto"/>
                <w:sz w:val="21"/>
                <w:szCs w:val="21"/>
                <w:u w:val="none"/>
                <w:shd w:val="clear" w:color="auto" w:fill="FFFFFF"/>
              </w:rPr>
              <w:fldChar w:fldCharType="end"/>
            </w:r>
            <w:r>
              <w:rPr>
                <w:rFonts w:hint="eastAsia" w:ascii="宋体" w:hAnsi="宋体" w:cs="宋体"/>
                <w:sz w:val="21"/>
                <w:szCs w:val="21"/>
                <w:shd w:val="clear" w:color="auto" w:fill="FFFFFF"/>
              </w:rPr>
              <w:t>具符合规范。</w:t>
            </w:r>
          </w:p>
        </w:tc>
        <w:tc>
          <w:tcPr>
            <w:tcW w:w="468" w:type="pct"/>
            <w:vAlign w:val="center"/>
          </w:tcPr>
          <w:p>
            <w:pPr>
              <w:spacing w:line="240" w:lineRule="auto"/>
              <w:ind w:firstLine="0" w:firstLineChars="0"/>
              <w:jc w:val="center"/>
              <w:rPr>
                <w:rFonts w:ascii="宋体" w:hAnsi="宋体" w:cs="宋体"/>
                <w:snapToGrid w:val="0"/>
                <w:sz w:val="21"/>
                <w:szCs w:val="21"/>
              </w:rPr>
            </w:pPr>
            <w:r>
              <w:rPr>
                <w:rFonts w:hint="eastAsia" w:ascii="宋体" w:hAnsi="宋体" w:cs="宋体"/>
                <w:snapToGrid w:val="0"/>
                <w:sz w:val="21"/>
                <w:szCs w:val="21"/>
              </w:rPr>
              <w:t>符合</w:t>
            </w:r>
          </w:p>
        </w:tc>
      </w:tr>
    </w:tbl>
    <w:p>
      <w:pPr>
        <w:ind w:firstLine="560"/>
      </w:pPr>
      <w:r>
        <w:rPr>
          <w:rFonts w:hint="eastAsia"/>
        </w:rPr>
        <w:t>针对</w:t>
      </w:r>
      <w:r>
        <w:rPr>
          <w:rFonts w:hint="eastAsia" w:ascii="宋体" w:hAnsi="宋体" w:cs="宋体"/>
        </w:rPr>
        <w:t>项目工艺布置与运输进行的检查</w:t>
      </w:r>
      <w:r>
        <w:rPr>
          <w:rFonts w:hint="eastAsia"/>
        </w:rPr>
        <w:t>符合《</w:t>
      </w:r>
      <w:r>
        <w:rPr>
          <w:rFonts w:hint="eastAsia" w:ascii="宋体" w:hAnsi="宋体" w:cs="宋体"/>
        </w:rPr>
        <w:t>生产过程安全卫生要求总则》（GB/T 12801-2008）、《建筑设计防火规范（2018年版）》（GB50016-2014）、《生产设备安全卫生设计总则》(GB5083-1999)等</w:t>
      </w:r>
      <w:r>
        <w:rPr>
          <w:rFonts w:hint="eastAsia"/>
        </w:rPr>
        <w:t>相关标准规范要求</w:t>
      </w:r>
      <w:r>
        <w:rPr>
          <w:rFonts w:hint="eastAsia"/>
          <w:lang w:eastAsia="zh-CN"/>
        </w:rPr>
        <w:t>。</w:t>
      </w:r>
    </w:p>
    <w:p>
      <w:pPr>
        <w:pStyle w:val="5"/>
        <w:spacing w:before="156" w:after="156"/>
      </w:pPr>
      <w:bookmarkStart w:id="284" w:name="_Toc498519831"/>
      <w:bookmarkStart w:id="285" w:name="_Toc498299361"/>
      <w:bookmarkStart w:id="286" w:name="_Toc500007169"/>
      <w:bookmarkStart w:id="287" w:name="_Toc14646"/>
      <w:r>
        <w:rPr>
          <w:rFonts w:hint="eastAsia"/>
        </w:rPr>
        <w:t>物料、产品安全性</w:t>
      </w:r>
      <w:bookmarkEnd w:id="284"/>
      <w:bookmarkEnd w:id="285"/>
      <w:bookmarkEnd w:id="286"/>
      <w:r>
        <w:rPr>
          <w:rFonts w:hint="eastAsia"/>
        </w:rPr>
        <w:t>单元</w:t>
      </w:r>
      <w:bookmarkEnd w:id="287"/>
    </w:p>
    <w:p>
      <w:pPr>
        <w:ind w:firstLine="560"/>
        <w:jc w:val="both"/>
      </w:pPr>
      <w:r>
        <w:rPr>
          <w:rFonts w:hint="eastAsia"/>
        </w:rPr>
        <w:t>依据</w:t>
      </w:r>
      <w:r>
        <w:rPr>
          <w:rFonts w:hint="eastAsia" w:ascii="宋体" w:hAnsi="宋体" w:cs="宋体"/>
        </w:rPr>
        <w:t>《冶金企业和有色金属企业安全生产规定》《高温熔融金属吊运安全规程》(AQ 7011-2018)，</w:t>
      </w:r>
      <w:r>
        <w:rPr>
          <w:rFonts w:hint="eastAsia"/>
        </w:rPr>
        <w:t>检查高温熔融金属（渣）、易燃易爆、有毒有害、腐蚀性等危险物料在生产、输送、贮存、使用、废弃等环节喷溅、泄漏、监测预警、安全警戒和标识要求等防范措施是否符合设计要求进行符合性评价。</w:t>
      </w:r>
    </w:p>
    <w:p>
      <w:pPr>
        <w:pStyle w:val="14"/>
        <w:spacing w:before="156" w:after="156"/>
      </w:pPr>
      <w:r>
        <w:t xml:space="preserve">表 </w:t>
      </w:r>
      <w:r>
        <w:fldChar w:fldCharType="begin"/>
      </w:r>
      <w:r>
        <w:instrText xml:space="preserve"> STYLEREF 2 \s </w:instrText>
      </w:r>
      <w:r>
        <w:fldChar w:fldCharType="separate"/>
      </w:r>
      <w:r>
        <w:t>5.4</w:t>
      </w:r>
      <w:r>
        <w:fldChar w:fldCharType="end"/>
      </w:r>
      <w:r>
        <w:rPr>
          <w:rFonts w:hint="eastAsia"/>
        </w:rPr>
        <w:t>-</w:t>
      </w:r>
      <w:r>
        <w:fldChar w:fldCharType="begin"/>
      </w:r>
      <w:r>
        <w:instrText xml:space="preserve"> SEQ 表 \* ARABIC \s 2 </w:instrText>
      </w:r>
      <w:r>
        <w:fldChar w:fldCharType="separate"/>
      </w:r>
      <w:r>
        <w:t>1</w:t>
      </w:r>
      <w:r>
        <w:fldChar w:fldCharType="end"/>
      </w:r>
      <w:r>
        <w:rPr>
          <w:rFonts w:hint="eastAsia"/>
        </w:rPr>
        <w:t>物料、产品安全性符合性安全检查表</w:t>
      </w:r>
    </w:p>
    <w:tbl>
      <w:tblPr>
        <w:tblStyle w:val="29"/>
        <w:tblW w:w="4998" w:type="pct"/>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autofit"/>
        <w:tblCellMar>
          <w:top w:w="0" w:type="dxa"/>
          <w:left w:w="108" w:type="dxa"/>
          <w:bottom w:w="0" w:type="dxa"/>
          <w:right w:w="108" w:type="dxa"/>
        </w:tblCellMar>
      </w:tblPr>
      <w:tblGrid>
        <w:gridCol w:w="697"/>
        <w:gridCol w:w="3024"/>
        <w:gridCol w:w="1991"/>
        <w:gridCol w:w="2003"/>
        <w:gridCol w:w="804"/>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409" w:type="pct"/>
            <w:vAlign w:val="center"/>
          </w:tcPr>
          <w:p>
            <w:pPr>
              <w:tabs>
                <w:tab w:val="left" w:pos="397"/>
              </w:tabs>
              <w:snapToGrid w:val="0"/>
              <w:spacing w:line="240" w:lineRule="auto"/>
              <w:ind w:firstLine="0" w:firstLineChars="0"/>
              <w:jc w:val="center"/>
              <w:rPr>
                <w:rFonts w:ascii="宋体" w:hAnsi="宋体"/>
                <w:b/>
                <w:sz w:val="24"/>
                <w:szCs w:val="20"/>
              </w:rPr>
            </w:pPr>
            <w:r>
              <w:rPr>
                <w:rFonts w:ascii="宋体" w:hAnsi="宋体"/>
                <w:b/>
                <w:sz w:val="24"/>
                <w:szCs w:val="20"/>
              </w:rPr>
              <w:t>序号</w:t>
            </w:r>
          </w:p>
        </w:tc>
        <w:tc>
          <w:tcPr>
            <w:tcW w:w="1774" w:type="pct"/>
            <w:vAlign w:val="center"/>
          </w:tcPr>
          <w:p>
            <w:pPr>
              <w:snapToGrid w:val="0"/>
              <w:spacing w:line="240" w:lineRule="auto"/>
              <w:ind w:firstLine="0" w:firstLineChars="0"/>
              <w:jc w:val="center"/>
              <w:rPr>
                <w:rFonts w:ascii="宋体" w:hAnsi="宋体"/>
                <w:b/>
                <w:sz w:val="24"/>
                <w:szCs w:val="20"/>
              </w:rPr>
            </w:pPr>
            <w:r>
              <w:rPr>
                <w:rFonts w:ascii="宋体" w:hAnsi="宋体"/>
                <w:b/>
                <w:sz w:val="24"/>
                <w:szCs w:val="20"/>
              </w:rPr>
              <w:t>检查内容</w:t>
            </w:r>
          </w:p>
        </w:tc>
        <w:tc>
          <w:tcPr>
            <w:tcW w:w="1168" w:type="pct"/>
            <w:vAlign w:val="center"/>
          </w:tcPr>
          <w:p>
            <w:pPr>
              <w:snapToGrid w:val="0"/>
              <w:spacing w:line="240" w:lineRule="auto"/>
              <w:ind w:firstLine="0" w:firstLineChars="0"/>
              <w:jc w:val="center"/>
              <w:rPr>
                <w:rFonts w:ascii="宋体" w:hAnsi="宋体"/>
                <w:b/>
                <w:sz w:val="24"/>
                <w:szCs w:val="20"/>
              </w:rPr>
            </w:pPr>
            <w:r>
              <w:rPr>
                <w:rFonts w:ascii="宋体" w:hAnsi="宋体"/>
                <w:b/>
                <w:sz w:val="24"/>
                <w:szCs w:val="20"/>
              </w:rPr>
              <w:t>评价依据</w:t>
            </w:r>
          </w:p>
        </w:tc>
        <w:tc>
          <w:tcPr>
            <w:tcW w:w="1175" w:type="pct"/>
            <w:vAlign w:val="center"/>
          </w:tcPr>
          <w:p>
            <w:pPr>
              <w:snapToGrid w:val="0"/>
              <w:spacing w:line="240" w:lineRule="auto"/>
              <w:ind w:firstLine="0" w:firstLineChars="0"/>
              <w:jc w:val="center"/>
              <w:rPr>
                <w:rFonts w:ascii="宋体" w:hAnsi="宋体"/>
                <w:b/>
                <w:sz w:val="24"/>
                <w:szCs w:val="20"/>
              </w:rPr>
            </w:pPr>
            <w:r>
              <w:rPr>
                <w:rFonts w:ascii="宋体" w:hAnsi="宋体"/>
                <w:b/>
                <w:sz w:val="24"/>
                <w:szCs w:val="20"/>
              </w:rPr>
              <w:t>检查</w:t>
            </w:r>
            <w:r>
              <w:rPr>
                <w:rFonts w:hint="eastAsia" w:ascii="宋体" w:hAnsi="宋体"/>
                <w:b/>
                <w:sz w:val="24"/>
                <w:szCs w:val="20"/>
              </w:rPr>
              <w:t>情况</w:t>
            </w:r>
          </w:p>
        </w:tc>
        <w:tc>
          <w:tcPr>
            <w:tcW w:w="471" w:type="pct"/>
            <w:vAlign w:val="center"/>
          </w:tcPr>
          <w:p>
            <w:pPr>
              <w:snapToGrid w:val="0"/>
              <w:spacing w:line="240" w:lineRule="auto"/>
              <w:ind w:firstLine="0" w:firstLineChars="0"/>
              <w:jc w:val="center"/>
              <w:rPr>
                <w:rFonts w:ascii="宋体" w:hAnsi="宋体"/>
                <w:b/>
                <w:sz w:val="24"/>
                <w:szCs w:val="20"/>
              </w:rPr>
            </w:pPr>
            <w:r>
              <w:rPr>
                <w:rFonts w:ascii="宋体" w:hAnsi="宋体"/>
                <w:b/>
                <w:sz w:val="24"/>
                <w:szCs w:val="20"/>
              </w:rPr>
              <w:t>检查</w:t>
            </w:r>
          </w:p>
          <w:p>
            <w:pPr>
              <w:snapToGrid w:val="0"/>
              <w:spacing w:line="240" w:lineRule="auto"/>
              <w:ind w:firstLine="0" w:firstLineChars="0"/>
              <w:jc w:val="center"/>
              <w:rPr>
                <w:rFonts w:ascii="宋体" w:hAnsi="宋体"/>
                <w:b/>
                <w:sz w:val="24"/>
                <w:szCs w:val="20"/>
              </w:rPr>
            </w:pPr>
            <w:r>
              <w:rPr>
                <w:rFonts w:ascii="宋体" w:hAnsi="宋体"/>
                <w:b/>
                <w:sz w:val="24"/>
                <w:szCs w:val="20"/>
              </w:rPr>
              <w:t>结果</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409" w:type="pct"/>
            <w:vAlign w:val="center"/>
          </w:tcPr>
          <w:p>
            <w:pPr>
              <w:numPr>
                <w:ilvl w:val="0"/>
                <w:numId w:val="59"/>
              </w:numPr>
              <w:spacing w:line="240" w:lineRule="auto"/>
              <w:ind w:firstLine="422"/>
              <w:jc w:val="center"/>
              <w:rPr>
                <w:rFonts w:ascii="宋体" w:hAnsi="宋体" w:cs="宋体"/>
                <w:b/>
                <w:bCs/>
                <w:color w:val="000000"/>
                <w:sz w:val="21"/>
                <w:szCs w:val="21"/>
              </w:rPr>
            </w:pPr>
          </w:p>
        </w:tc>
        <w:tc>
          <w:tcPr>
            <w:tcW w:w="1774" w:type="pct"/>
            <w:vAlign w:val="center"/>
          </w:tcPr>
          <w:p>
            <w:pPr>
              <w:spacing w:line="240" w:lineRule="auto"/>
              <w:ind w:firstLine="0" w:firstLineChars="0"/>
              <w:rPr>
                <w:rFonts w:cs="Times New Roman"/>
                <w:sz w:val="21"/>
                <w:szCs w:val="21"/>
              </w:rPr>
            </w:pPr>
            <w:r>
              <w:rPr>
                <w:rFonts w:cs="Times New Roman"/>
                <w:sz w:val="21"/>
                <w:szCs w:val="21"/>
              </w:rPr>
              <w:t>企业在进行高温熔融金属冶炼、保温、运输、吊运过程中，应当采取防止泄漏、喷溅、爆炸伤人的安全措施，其影响区域不得有非生产性积水。</w:t>
            </w:r>
          </w:p>
          <w:p>
            <w:pPr>
              <w:spacing w:line="240" w:lineRule="auto"/>
              <w:ind w:firstLine="0" w:firstLineChars="0"/>
              <w:rPr>
                <w:rFonts w:cs="Times New Roman"/>
                <w:sz w:val="21"/>
                <w:szCs w:val="21"/>
              </w:rPr>
            </w:pPr>
            <w:r>
              <w:rPr>
                <w:rFonts w:cs="Times New Roman"/>
                <w:sz w:val="21"/>
                <w:szCs w:val="21"/>
              </w:rPr>
              <w:t>高温熔融金属运输专用路线应当避开煤气、氧气、氢气、天然气、水管等管道及电缆；确需通过的，运输车辆与管道、电缆之间应当保持足够的安全距离，并采取有效的隔热措施。</w:t>
            </w:r>
          </w:p>
          <w:p>
            <w:pPr>
              <w:spacing w:line="240" w:lineRule="auto"/>
              <w:ind w:firstLine="0" w:firstLineChars="0"/>
              <w:rPr>
                <w:rFonts w:cs="Times New Roman"/>
                <w:sz w:val="21"/>
                <w:szCs w:val="21"/>
              </w:rPr>
            </w:pPr>
            <w:r>
              <w:rPr>
                <w:rFonts w:cs="Times New Roman"/>
                <w:sz w:val="21"/>
                <w:szCs w:val="21"/>
              </w:rPr>
              <w:t>严禁运输高温熔融金属的车辆在管道或者电缆下方，以及有易燃易爆物质的区域停留。</w:t>
            </w:r>
          </w:p>
        </w:tc>
        <w:tc>
          <w:tcPr>
            <w:tcW w:w="1168" w:type="pct"/>
            <w:vAlign w:val="center"/>
          </w:tcPr>
          <w:p>
            <w:pPr>
              <w:spacing w:line="240" w:lineRule="auto"/>
              <w:ind w:firstLine="0" w:firstLineChars="0"/>
              <w:rPr>
                <w:rFonts w:cs="Times New Roman"/>
                <w:sz w:val="21"/>
                <w:szCs w:val="21"/>
              </w:rPr>
            </w:pPr>
            <w:r>
              <w:rPr>
                <w:rFonts w:hint="eastAsia" w:cs="Times New Roman"/>
                <w:sz w:val="21"/>
                <w:szCs w:val="21"/>
              </w:rPr>
              <w:t>《冶金企业和有色金属企业安全生产规定》</w:t>
            </w:r>
            <w:r>
              <w:rPr>
                <w:rFonts w:cs="Times New Roman"/>
                <w:sz w:val="21"/>
                <w:szCs w:val="21"/>
              </w:rPr>
              <w:t>第二十八条</w:t>
            </w:r>
          </w:p>
        </w:tc>
        <w:tc>
          <w:tcPr>
            <w:tcW w:w="1175" w:type="pct"/>
            <w:vAlign w:val="center"/>
          </w:tcPr>
          <w:p>
            <w:pPr>
              <w:spacing w:line="240" w:lineRule="auto"/>
              <w:ind w:firstLine="0" w:firstLineChars="0"/>
              <w:rPr>
                <w:rFonts w:cs="Times New Roman"/>
                <w:sz w:val="21"/>
                <w:szCs w:val="21"/>
              </w:rPr>
            </w:pPr>
            <w:r>
              <w:rPr>
                <w:rFonts w:hint="eastAsia" w:cs="Times New Roman"/>
                <w:sz w:val="21"/>
                <w:szCs w:val="21"/>
              </w:rPr>
              <w:t>现场检查，</w:t>
            </w:r>
            <w:r>
              <w:rPr>
                <w:rFonts w:cs="Times New Roman"/>
                <w:sz w:val="21"/>
                <w:szCs w:val="21"/>
              </w:rPr>
              <w:t>吊运过程中，采取防止泄漏、喷溅、爆炸伤人的安全措施</w:t>
            </w:r>
            <w:r>
              <w:rPr>
                <w:rFonts w:hint="eastAsia" w:cs="Times New Roman"/>
                <w:sz w:val="21"/>
                <w:szCs w:val="21"/>
              </w:rPr>
              <w:t>，</w:t>
            </w:r>
            <w:r>
              <w:rPr>
                <w:rFonts w:cs="Times New Roman"/>
                <w:sz w:val="21"/>
                <w:szCs w:val="21"/>
              </w:rPr>
              <w:t>影响区域</w:t>
            </w:r>
            <w:r>
              <w:rPr>
                <w:rFonts w:hint="eastAsia" w:cs="Times New Roman"/>
                <w:sz w:val="21"/>
                <w:szCs w:val="21"/>
              </w:rPr>
              <w:t>无</w:t>
            </w:r>
            <w:r>
              <w:rPr>
                <w:rFonts w:cs="Times New Roman"/>
                <w:sz w:val="21"/>
                <w:szCs w:val="21"/>
              </w:rPr>
              <w:t>非生产性积水。</w:t>
            </w:r>
          </w:p>
          <w:p>
            <w:pPr>
              <w:spacing w:line="240" w:lineRule="auto"/>
              <w:ind w:firstLine="0" w:firstLineChars="0"/>
              <w:rPr>
                <w:rFonts w:cs="Times New Roman"/>
                <w:sz w:val="21"/>
                <w:szCs w:val="21"/>
              </w:rPr>
            </w:pPr>
            <w:r>
              <w:rPr>
                <w:rFonts w:cs="Times New Roman"/>
                <w:sz w:val="21"/>
                <w:szCs w:val="21"/>
              </w:rPr>
              <w:t>高温熔融金属运输专用路线避开管道及电缆；</w:t>
            </w:r>
          </w:p>
        </w:tc>
        <w:tc>
          <w:tcPr>
            <w:tcW w:w="471" w:type="pct"/>
            <w:vAlign w:val="center"/>
          </w:tcPr>
          <w:p>
            <w:pPr>
              <w:spacing w:line="240" w:lineRule="auto"/>
              <w:ind w:firstLine="0" w:firstLineChars="0"/>
              <w:rPr>
                <w:rFonts w:cs="Times New Roman"/>
                <w:sz w:val="21"/>
                <w:szCs w:val="21"/>
              </w:rPr>
            </w:pPr>
            <w:r>
              <w:rPr>
                <w:rFonts w:hint="eastAsia" w:cs="Times New Roman"/>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409" w:type="pct"/>
            <w:vAlign w:val="center"/>
          </w:tcPr>
          <w:p>
            <w:pPr>
              <w:numPr>
                <w:ilvl w:val="0"/>
                <w:numId w:val="59"/>
              </w:numPr>
              <w:spacing w:line="240" w:lineRule="auto"/>
              <w:ind w:firstLine="422"/>
              <w:jc w:val="center"/>
              <w:rPr>
                <w:rFonts w:ascii="宋体" w:hAnsi="宋体" w:cs="宋体"/>
                <w:b/>
                <w:bCs/>
                <w:color w:val="000000"/>
                <w:sz w:val="21"/>
                <w:szCs w:val="21"/>
              </w:rPr>
            </w:pPr>
          </w:p>
        </w:tc>
        <w:tc>
          <w:tcPr>
            <w:tcW w:w="1774" w:type="pct"/>
            <w:vAlign w:val="center"/>
          </w:tcPr>
          <w:p>
            <w:pPr>
              <w:spacing w:line="240" w:lineRule="auto"/>
              <w:ind w:firstLine="0" w:firstLineChars="0"/>
              <w:rPr>
                <w:rFonts w:cs="Times New Roman"/>
                <w:sz w:val="21"/>
                <w:szCs w:val="21"/>
              </w:rPr>
            </w:pPr>
            <w:r>
              <w:rPr>
                <w:rFonts w:hint="eastAsia" w:ascii="宋体" w:hAnsi="宋体" w:cs="宋体"/>
                <w:sz w:val="21"/>
                <w:szCs w:val="21"/>
              </w:rPr>
              <w:t>高温熔融金属和熔渣吊运行走区域禁止设置操作室、会议室、交接班室、活动室、休息室、更衣室、澡堂等人员集聚场所；不应设置放置可燃、易燃物品的仓库、储物间；不应有液压站、电气间、电缆桥架等重要防火场所和设施。危险区域附近的上述建筑物的门、窗应背对吊运区域。</w:t>
            </w:r>
          </w:p>
        </w:tc>
        <w:tc>
          <w:tcPr>
            <w:tcW w:w="1168" w:type="pct"/>
            <w:vAlign w:val="center"/>
          </w:tcPr>
          <w:p>
            <w:pPr>
              <w:spacing w:line="240" w:lineRule="auto"/>
              <w:ind w:firstLine="0" w:firstLineChars="0"/>
              <w:rPr>
                <w:rFonts w:cs="Times New Roman"/>
                <w:sz w:val="21"/>
                <w:szCs w:val="21"/>
              </w:rPr>
            </w:pPr>
            <w:r>
              <w:rPr>
                <w:rFonts w:hint="eastAsia" w:cs="Times New Roman"/>
                <w:sz w:val="21"/>
                <w:szCs w:val="21"/>
              </w:rPr>
              <w:t>《高温熔融金属吊运安全规程》(AQ 7011-2018)5.7</w:t>
            </w:r>
          </w:p>
        </w:tc>
        <w:tc>
          <w:tcPr>
            <w:tcW w:w="1175" w:type="pct"/>
            <w:vAlign w:val="center"/>
          </w:tcPr>
          <w:p>
            <w:pPr>
              <w:spacing w:line="240" w:lineRule="auto"/>
              <w:ind w:firstLine="0" w:firstLineChars="0"/>
              <w:jc w:val="both"/>
              <w:rPr>
                <w:rFonts w:cs="Times New Roman"/>
                <w:sz w:val="21"/>
                <w:szCs w:val="21"/>
              </w:rPr>
            </w:pPr>
            <w:r>
              <w:rPr>
                <w:rFonts w:hint="eastAsia" w:cs="Times New Roman"/>
                <w:sz w:val="21"/>
                <w:szCs w:val="21"/>
              </w:rPr>
              <w:t>吊运行走区域布置符合要求。</w:t>
            </w:r>
          </w:p>
        </w:tc>
        <w:tc>
          <w:tcPr>
            <w:tcW w:w="471" w:type="pct"/>
            <w:vAlign w:val="center"/>
          </w:tcPr>
          <w:p>
            <w:pPr>
              <w:spacing w:line="240" w:lineRule="auto"/>
              <w:ind w:firstLine="0" w:firstLineChars="0"/>
              <w:jc w:val="center"/>
              <w:rPr>
                <w:rFonts w:cs="Times New Roman"/>
                <w:sz w:val="21"/>
                <w:szCs w:val="21"/>
              </w:rPr>
            </w:pPr>
            <w:r>
              <w:rPr>
                <w:rFonts w:hint="eastAsia" w:cs="Times New Roman"/>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409" w:type="pct"/>
            <w:vAlign w:val="center"/>
          </w:tcPr>
          <w:p>
            <w:pPr>
              <w:numPr>
                <w:ilvl w:val="0"/>
                <w:numId w:val="59"/>
              </w:numPr>
              <w:spacing w:line="240" w:lineRule="auto"/>
              <w:ind w:firstLine="422"/>
              <w:jc w:val="center"/>
              <w:rPr>
                <w:rFonts w:ascii="宋体" w:hAnsi="宋体" w:cs="宋体"/>
                <w:b/>
                <w:bCs/>
                <w:color w:val="000000"/>
                <w:sz w:val="21"/>
                <w:szCs w:val="21"/>
              </w:rPr>
            </w:pPr>
          </w:p>
        </w:tc>
        <w:tc>
          <w:tcPr>
            <w:tcW w:w="1774" w:type="pct"/>
            <w:vAlign w:val="center"/>
          </w:tcPr>
          <w:p>
            <w:pPr>
              <w:spacing w:line="240" w:lineRule="auto"/>
              <w:ind w:firstLine="0" w:firstLineChars="0"/>
              <w:jc w:val="both"/>
              <w:rPr>
                <w:rFonts w:cs="Times New Roman"/>
                <w:sz w:val="21"/>
                <w:szCs w:val="21"/>
              </w:rPr>
            </w:pPr>
            <w:r>
              <w:rPr>
                <w:rFonts w:hint="eastAsia" w:cs="Times New Roman"/>
                <w:sz w:val="21"/>
                <w:szCs w:val="21"/>
              </w:rPr>
              <w:t>吊运高温熔融金属和熔渣不应跨越生产设备设施或经常有人停留的场所，不应从主体设备上越过。</w:t>
            </w:r>
          </w:p>
        </w:tc>
        <w:tc>
          <w:tcPr>
            <w:tcW w:w="1168" w:type="pct"/>
            <w:vAlign w:val="center"/>
          </w:tcPr>
          <w:p>
            <w:pPr>
              <w:spacing w:line="240" w:lineRule="auto"/>
              <w:ind w:firstLine="0" w:firstLineChars="0"/>
              <w:rPr>
                <w:rFonts w:cs="Times New Roman"/>
                <w:sz w:val="21"/>
                <w:szCs w:val="21"/>
              </w:rPr>
            </w:pPr>
            <w:r>
              <w:rPr>
                <w:rFonts w:hint="eastAsia" w:cs="Times New Roman"/>
                <w:sz w:val="21"/>
                <w:szCs w:val="21"/>
              </w:rPr>
              <w:t>《高温熔融金属吊运安全规程》(AQ 7011-2018)5.8</w:t>
            </w:r>
          </w:p>
        </w:tc>
        <w:tc>
          <w:tcPr>
            <w:tcW w:w="1175" w:type="pct"/>
            <w:vAlign w:val="center"/>
          </w:tcPr>
          <w:p>
            <w:pPr>
              <w:spacing w:line="240" w:lineRule="auto"/>
              <w:ind w:firstLine="0" w:firstLineChars="0"/>
              <w:jc w:val="both"/>
              <w:rPr>
                <w:rFonts w:cs="Times New Roman"/>
                <w:sz w:val="21"/>
                <w:szCs w:val="21"/>
              </w:rPr>
            </w:pPr>
            <w:r>
              <w:rPr>
                <w:rFonts w:hint="eastAsia" w:cs="Times New Roman"/>
                <w:sz w:val="21"/>
                <w:szCs w:val="21"/>
              </w:rPr>
              <w:t>吊运高温熔融金属和熔渣不跨越生产设备设施或经常有人停留的场所，不从主体设备上越过。</w:t>
            </w:r>
          </w:p>
        </w:tc>
        <w:tc>
          <w:tcPr>
            <w:tcW w:w="471" w:type="pct"/>
            <w:vAlign w:val="center"/>
          </w:tcPr>
          <w:p>
            <w:pPr>
              <w:spacing w:line="240" w:lineRule="auto"/>
              <w:ind w:firstLine="0" w:firstLineChars="0"/>
              <w:jc w:val="center"/>
              <w:rPr>
                <w:rFonts w:cs="Times New Roman"/>
                <w:sz w:val="21"/>
                <w:szCs w:val="21"/>
              </w:rPr>
            </w:pPr>
            <w:r>
              <w:rPr>
                <w:rFonts w:hint="eastAsia" w:cs="Times New Roman"/>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61" w:hRule="atLeast"/>
          <w:jc w:val="center"/>
        </w:trPr>
        <w:tc>
          <w:tcPr>
            <w:tcW w:w="409" w:type="pct"/>
            <w:vAlign w:val="center"/>
          </w:tcPr>
          <w:p>
            <w:pPr>
              <w:numPr>
                <w:ilvl w:val="0"/>
                <w:numId w:val="59"/>
              </w:numPr>
              <w:spacing w:line="240" w:lineRule="auto"/>
              <w:ind w:firstLine="422"/>
              <w:jc w:val="center"/>
              <w:rPr>
                <w:rFonts w:ascii="宋体" w:hAnsi="宋体" w:cs="宋体"/>
                <w:b/>
                <w:bCs/>
                <w:color w:val="000000"/>
                <w:sz w:val="21"/>
                <w:szCs w:val="21"/>
              </w:rPr>
            </w:pPr>
          </w:p>
        </w:tc>
        <w:tc>
          <w:tcPr>
            <w:tcW w:w="1774" w:type="pct"/>
            <w:vAlign w:val="center"/>
          </w:tcPr>
          <w:p>
            <w:pPr>
              <w:spacing w:line="240" w:lineRule="auto"/>
              <w:ind w:firstLine="0" w:firstLineChars="0"/>
              <w:jc w:val="both"/>
              <w:rPr>
                <w:rFonts w:cs="Times New Roman"/>
                <w:sz w:val="21"/>
                <w:szCs w:val="21"/>
              </w:rPr>
            </w:pPr>
            <w:r>
              <w:rPr>
                <w:rFonts w:hint="eastAsia" w:cs="Times New Roman"/>
                <w:sz w:val="21"/>
                <w:szCs w:val="21"/>
              </w:rPr>
              <w:t>存放、运输高温熔融金属和熔渣的场所，应设有防雨设施，不应设有积水的沟、坑等。如生产确需设置地面沟或坑等时，必须有严密的防水措施；易积水的沟、槽、坑，应有排水措施，不得积水。</w:t>
            </w:r>
          </w:p>
        </w:tc>
        <w:tc>
          <w:tcPr>
            <w:tcW w:w="1168" w:type="pct"/>
            <w:vAlign w:val="center"/>
          </w:tcPr>
          <w:p>
            <w:pPr>
              <w:spacing w:line="240" w:lineRule="auto"/>
              <w:ind w:firstLine="0" w:firstLineChars="0"/>
              <w:rPr>
                <w:rFonts w:cs="Times New Roman"/>
                <w:sz w:val="21"/>
                <w:szCs w:val="21"/>
              </w:rPr>
            </w:pPr>
            <w:r>
              <w:rPr>
                <w:rFonts w:hint="eastAsia" w:cs="Times New Roman"/>
                <w:sz w:val="21"/>
                <w:szCs w:val="21"/>
              </w:rPr>
              <w:t>《高温熔融金属吊运安全规程》(AQ 7011-2018)5.10</w:t>
            </w:r>
          </w:p>
        </w:tc>
        <w:tc>
          <w:tcPr>
            <w:tcW w:w="1175" w:type="pct"/>
            <w:vAlign w:val="center"/>
          </w:tcPr>
          <w:p>
            <w:pPr>
              <w:spacing w:line="240" w:lineRule="auto"/>
              <w:ind w:firstLine="0" w:firstLineChars="0"/>
              <w:jc w:val="both"/>
              <w:rPr>
                <w:rFonts w:cs="Times New Roman"/>
                <w:sz w:val="21"/>
                <w:szCs w:val="21"/>
              </w:rPr>
            </w:pPr>
            <w:r>
              <w:rPr>
                <w:rFonts w:hint="eastAsia" w:cs="Times New Roman"/>
                <w:sz w:val="21"/>
                <w:szCs w:val="21"/>
              </w:rPr>
              <w:t>存放、运输高温熔融金属和熔渣的场所，设有防雨设施，未设有积水的沟、坑等。</w:t>
            </w:r>
          </w:p>
        </w:tc>
        <w:tc>
          <w:tcPr>
            <w:tcW w:w="471" w:type="pct"/>
            <w:vAlign w:val="center"/>
          </w:tcPr>
          <w:p>
            <w:pPr>
              <w:spacing w:line="240" w:lineRule="auto"/>
              <w:ind w:firstLine="0" w:firstLineChars="0"/>
              <w:jc w:val="center"/>
              <w:rPr>
                <w:rFonts w:cs="Times New Roman"/>
                <w:sz w:val="21"/>
                <w:szCs w:val="21"/>
              </w:rPr>
            </w:pPr>
            <w:r>
              <w:rPr>
                <w:rFonts w:hint="eastAsia" w:cs="Times New Roman"/>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42" w:hRule="atLeast"/>
          <w:jc w:val="center"/>
        </w:trPr>
        <w:tc>
          <w:tcPr>
            <w:tcW w:w="409" w:type="pct"/>
            <w:vAlign w:val="center"/>
          </w:tcPr>
          <w:p>
            <w:pPr>
              <w:numPr>
                <w:ilvl w:val="0"/>
                <w:numId w:val="59"/>
              </w:numPr>
              <w:spacing w:line="240" w:lineRule="auto"/>
              <w:ind w:firstLine="422"/>
              <w:jc w:val="center"/>
              <w:rPr>
                <w:rFonts w:ascii="宋体" w:hAnsi="宋体" w:cs="宋体"/>
                <w:b/>
                <w:bCs/>
                <w:color w:val="000000"/>
                <w:sz w:val="21"/>
                <w:szCs w:val="21"/>
              </w:rPr>
            </w:pPr>
          </w:p>
        </w:tc>
        <w:tc>
          <w:tcPr>
            <w:tcW w:w="1774" w:type="pct"/>
            <w:vAlign w:val="center"/>
          </w:tcPr>
          <w:p>
            <w:pPr>
              <w:spacing w:line="240" w:lineRule="auto"/>
              <w:ind w:firstLine="0" w:firstLineChars="0"/>
              <w:jc w:val="both"/>
              <w:rPr>
                <w:rFonts w:cs="Times New Roman"/>
                <w:sz w:val="21"/>
                <w:szCs w:val="21"/>
              </w:rPr>
            </w:pPr>
            <w:r>
              <w:rPr>
                <w:rFonts w:hint="eastAsia" w:cs="Times New Roman"/>
                <w:sz w:val="21"/>
                <w:szCs w:val="21"/>
              </w:rPr>
              <w:t>熔融金属冶炼(熔炼)炉的炉下及周围、熔融金属罐、渣罐和浇包吊运区域、熔融金属罐车和渣罐车运行区域，地面不得有积水，不应堆放潮湿物品和其他易燃、易爆物品。</w:t>
            </w:r>
          </w:p>
        </w:tc>
        <w:tc>
          <w:tcPr>
            <w:tcW w:w="1168" w:type="pct"/>
            <w:vAlign w:val="center"/>
          </w:tcPr>
          <w:p>
            <w:pPr>
              <w:spacing w:line="240" w:lineRule="auto"/>
              <w:ind w:firstLine="0" w:firstLineChars="0"/>
            </w:pPr>
            <w:r>
              <w:rPr>
                <w:rFonts w:hint="eastAsia" w:cs="Times New Roman"/>
                <w:sz w:val="21"/>
                <w:szCs w:val="21"/>
              </w:rPr>
              <w:t>《高温熔融金属吊运安全规程》(AQ 7011-2018)5.11</w:t>
            </w:r>
          </w:p>
        </w:tc>
        <w:tc>
          <w:tcPr>
            <w:tcW w:w="1175" w:type="pct"/>
            <w:vAlign w:val="center"/>
          </w:tcPr>
          <w:p>
            <w:pPr>
              <w:spacing w:line="240" w:lineRule="auto"/>
              <w:ind w:firstLine="0" w:firstLineChars="0"/>
              <w:jc w:val="both"/>
            </w:pPr>
            <w:r>
              <w:rPr>
                <w:rFonts w:hint="eastAsia" w:cs="Times New Roman"/>
                <w:sz w:val="21"/>
                <w:szCs w:val="21"/>
              </w:rPr>
              <w:t>中频炉的炉下及周围、浇包吊运区域、熔融金属罐车和渣罐车运行区域，地面无积水，未堆放潮湿物品和其他易燃、易爆物品。</w:t>
            </w:r>
          </w:p>
        </w:tc>
        <w:tc>
          <w:tcPr>
            <w:tcW w:w="471" w:type="pct"/>
            <w:vAlign w:val="center"/>
          </w:tcPr>
          <w:p>
            <w:pPr>
              <w:spacing w:line="240" w:lineRule="auto"/>
              <w:ind w:firstLine="0" w:firstLineChars="0"/>
              <w:jc w:val="center"/>
            </w:pPr>
            <w:r>
              <w:rPr>
                <w:rFonts w:hint="eastAsia" w:cs="Times New Roman"/>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802" w:hRule="atLeast"/>
          <w:jc w:val="center"/>
        </w:trPr>
        <w:tc>
          <w:tcPr>
            <w:tcW w:w="409" w:type="pct"/>
            <w:vAlign w:val="center"/>
          </w:tcPr>
          <w:p>
            <w:pPr>
              <w:numPr>
                <w:ilvl w:val="0"/>
                <w:numId w:val="59"/>
              </w:numPr>
              <w:spacing w:line="240" w:lineRule="auto"/>
              <w:ind w:firstLine="420"/>
              <w:jc w:val="center"/>
              <w:rPr>
                <w:rFonts w:ascii="宋体" w:hAnsi="宋体" w:cs="宋体"/>
                <w:color w:val="000000"/>
                <w:sz w:val="21"/>
                <w:szCs w:val="21"/>
              </w:rPr>
            </w:pPr>
          </w:p>
        </w:tc>
        <w:tc>
          <w:tcPr>
            <w:tcW w:w="1774" w:type="pct"/>
            <w:vAlign w:val="center"/>
          </w:tcPr>
          <w:p>
            <w:pPr>
              <w:spacing w:line="240" w:lineRule="auto"/>
              <w:ind w:firstLine="0" w:firstLineChars="0"/>
              <w:jc w:val="both"/>
              <w:rPr>
                <w:rFonts w:cs="Times New Roman"/>
                <w:sz w:val="21"/>
                <w:szCs w:val="21"/>
              </w:rPr>
            </w:pPr>
            <w:r>
              <w:rPr>
                <w:rFonts w:hint="eastAsia" w:cs="Times New Roman"/>
                <w:sz w:val="21"/>
                <w:szCs w:val="21"/>
              </w:rPr>
              <w:t>高温熔融金属、熔渣作业或吊运危险区域、高温熔融金属吊运通道与浇注区及其附近的地面与地下，禁止设置水管、氧气管道、燃气管道、燃油管道和电线电缆等管线。如必须设置时，应采取可靠的防护措施。</w:t>
            </w:r>
          </w:p>
        </w:tc>
        <w:tc>
          <w:tcPr>
            <w:tcW w:w="1168" w:type="pct"/>
            <w:vAlign w:val="center"/>
          </w:tcPr>
          <w:p>
            <w:pPr>
              <w:spacing w:line="240" w:lineRule="auto"/>
              <w:ind w:firstLine="0" w:firstLineChars="0"/>
              <w:rPr>
                <w:rFonts w:cs="Times New Roman"/>
                <w:sz w:val="21"/>
                <w:szCs w:val="21"/>
              </w:rPr>
            </w:pPr>
            <w:r>
              <w:rPr>
                <w:rFonts w:hint="eastAsia" w:cs="Times New Roman"/>
                <w:sz w:val="21"/>
                <w:szCs w:val="21"/>
              </w:rPr>
              <w:t>《高温熔融金属吊运安全规程》(AQ 7011-2018)5.12</w:t>
            </w:r>
          </w:p>
        </w:tc>
        <w:tc>
          <w:tcPr>
            <w:tcW w:w="1175" w:type="pct"/>
            <w:vAlign w:val="center"/>
          </w:tcPr>
          <w:p>
            <w:pPr>
              <w:spacing w:line="240" w:lineRule="auto"/>
              <w:ind w:firstLine="0" w:firstLineChars="0"/>
              <w:jc w:val="both"/>
              <w:rPr>
                <w:rFonts w:cs="Times New Roman"/>
                <w:sz w:val="21"/>
                <w:szCs w:val="21"/>
              </w:rPr>
            </w:pPr>
            <w:r>
              <w:rPr>
                <w:rFonts w:hint="eastAsia" w:cs="Times New Roman"/>
                <w:sz w:val="21"/>
                <w:szCs w:val="21"/>
              </w:rPr>
              <w:t>高温熔融金属、熔渣作业或吊运危险区域、高温熔融金属吊运通道与浇注区及其附近的地面与地下，未设置水管、氧气管道、燃气管道、燃油管道和电线电缆等管线。</w:t>
            </w:r>
          </w:p>
        </w:tc>
        <w:tc>
          <w:tcPr>
            <w:tcW w:w="471" w:type="pct"/>
            <w:vAlign w:val="center"/>
          </w:tcPr>
          <w:p>
            <w:pPr>
              <w:spacing w:line="240" w:lineRule="auto"/>
              <w:ind w:firstLine="0" w:firstLineChars="0"/>
              <w:jc w:val="center"/>
              <w:rPr>
                <w:rFonts w:cs="Times New Roman"/>
                <w:sz w:val="21"/>
                <w:szCs w:val="21"/>
              </w:rPr>
            </w:pPr>
            <w:r>
              <w:rPr>
                <w:rFonts w:hint="eastAsia" w:cs="Times New Roman"/>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802" w:hRule="atLeast"/>
          <w:jc w:val="center"/>
        </w:trPr>
        <w:tc>
          <w:tcPr>
            <w:tcW w:w="409" w:type="pct"/>
            <w:vAlign w:val="center"/>
          </w:tcPr>
          <w:p>
            <w:pPr>
              <w:numPr>
                <w:ilvl w:val="0"/>
                <w:numId w:val="59"/>
              </w:numPr>
              <w:spacing w:line="240" w:lineRule="auto"/>
              <w:ind w:firstLine="420"/>
              <w:jc w:val="center"/>
              <w:rPr>
                <w:rFonts w:ascii="宋体" w:hAnsi="宋体" w:cs="宋体"/>
                <w:color w:val="000000"/>
                <w:sz w:val="21"/>
                <w:szCs w:val="21"/>
              </w:rPr>
            </w:pPr>
          </w:p>
        </w:tc>
        <w:tc>
          <w:tcPr>
            <w:tcW w:w="1774" w:type="pct"/>
            <w:vAlign w:val="center"/>
          </w:tcPr>
          <w:p>
            <w:pPr>
              <w:spacing w:line="240" w:lineRule="auto"/>
              <w:ind w:firstLine="0" w:firstLineChars="0"/>
              <w:jc w:val="both"/>
              <w:rPr>
                <w:rFonts w:cs="Times New Roman"/>
                <w:sz w:val="21"/>
                <w:szCs w:val="21"/>
              </w:rPr>
            </w:pPr>
            <w:r>
              <w:rPr>
                <w:rFonts w:hint="eastAsia" w:cs="Times New Roman"/>
                <w:sz w:val="21"/>
                <w:szCs w:val="21"/>
              </w:rPr>
              <w:t>渣罐车、熔融金属罐车的运输路线应满足 GB4387的要求。禁止利用重力除尘器下方的作业线作为热罐车正常的停放线和走行线。</w:t>
            </w:r>
          </w:p>
        </w:tc>
        <w:tc>
          <w:tcPr>
            <w:tcW w:w="1168" w:type="pct"/>
            <w:vAlign w:val="center"/>
          </w:tcPr>
          <w:p>
            <w:pPr>
              <w:spacing w:line="240" w:lineRule="auto"/>
              <w:ind w:firstLine="0" w:firstLineChars="0"/>
              <w:rPr>
                <w:rFonts w:cs="Times New Roman"/>
                <w:sz w:val="21"/>
                <w:szCs w:val="21"/>
              </w:rPr>
            </w:pPr>
            <w:r>
              <w:rPr>
                <w:rFonts w:hint="eastAsia" w:cs="Times New Roman"/>
                <w:sz w:val="21"/>
                <w:szCs w:val="21"/>
              </w:rPr>
              <w:t>《高温熔融金属吊运安全规程》(AQ 7011-2018)5.13</w:t>
            </w:r>
          </w:p>
        </w:tc>
        <w:tc>
          <w:tcPr>
            <w:tcW w:w="1175" w:type="pct"/>
            <w:vAlign w:val="center"/>
          </w:tcPr>
          <w:p>
            <w:pPr>
              <w:spacing w:line="240" w:lineRule="auto"/>
              <w:ind w:firstLine="0" w:firstLineChars="0"/>
              <w:rPr>
                <w:rFonts w:cs="Times New Roman"/>
                <w:sz w:val="21"/>
                <w:szCs w:val="21"/>
              </w:rPr>
            </w:pPr>
            <w:r>
              <w:rPr>
                <w:rFonts w:hint="eastAsia" w:cs="Times New Roman"/>
                <w:sz w:val="21"/>
                <w:szCs w:val="21"/>
              </w:rPr>
              <w:t>熔融金属浇包的运输路线满足规范要求。</w:t>
            </w:r>
          </w:p>
        </w:tc>
        <w:tc>
          <w:tcPr>
            <w:tcW w:w="471" w:type="pct"/>
            <w:vAlign w:val="center"/>
          </w:tcPr>
          <w:p>
            <w:pPr>
              <w:spacing w:line="240" w:lineRule="auto"/>
              <w:ind w:firstLine="0" w:firstLineChars="0"/>
              <w:jc w:val="center"/>
              <w:rPr>
                <w:rFonts w:cs="Times New Roman"/>
                <w:sz w:val="21"/>
                <w:szCs w:val="21"/>
              </w:rPr>
            </w:pPr>
            <w:r>
              <w:rPr>
                <w:rFonts w:hint="eastAsia" w:cs="Times New Roman"/>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802" w:hRule="atLeast"/>
          <w:jc w:val="center"/>
        </w:trPr>
        <w:tc>
          <w:tcPr>
            <w:tcW w:w="409" w:type="pct"/>
            <w:vAlign w:val="center"/>
          </w:tcPr>
          <w:p>
            <w:pPr>
              <w:numPr>
                <w:ilvl w:val="0"/>
                <w:numId w:val="59"/>
              </w:numPr>
              <w:spacing w:line="240" w:lineRule="auto"/>
              <w:ind w:firstLine="420"/>
              <w:jc w:val="center"/>
              <w:rPr>
                <w:rFonts w:ascii="宋体" w:hAnsi="宋体" w:cs="宋体"/>
                <w:color w:val="000000"/>
                <w:sz w:val="21"/>
                <w:szCs w:val="21"/>
              </w:rPr>
            </w:pPr>
          </w:p>
        </w:tc>
        <w:tc>
          <w:tcPr>
            <w:tcW w:w="1774" w:type="pct"/>
            <w:vAlign w:val="center"/>
          </w:tcPr>
          <w:p>
            <w:pPr>
              <w:spacing w:line="240" w:lineRule="auto"/>
              <w:ind w:firstLine="0" w:firstLineChars="0"/>
              <w:jc w:val="both"/>
              <w:rPr>
                <w:rFonts w:cs="Times New Roman"/>
                <w:sz w:val="21"/>
                <w:szCs w:val="21"/>
              </w:rPr>
            </w:pPr>
            <w:r>
              <w:rPr>
                <w:rFonts w:hint="eastAsia" w:cs="Times New Roman"/>
                <w:sz w:val="21"/>
                <w:szCs w:val="21"/>
              </w:rPr>
              <w:t>高温熔融金属、熔渣运输线上方的可燃介质管道和电线电缆应采取隔热防护措施。</w:t>
            </w:r>
          </w:p>
        </w:tc>
        <w:tc>
          <w:tcPr>
            <w:tcW w:w="1168" w:type="pct"/>
            <w:vAlign w:val="center"/>
          </w:tcPr>
          <w:p>
            <w:pPr>
              <w:spacing w:line="240" w:lineRule="auto"/>
              <w:ind w:firstLine="0" w:firstLineChars="0"/>
              <w:rPr>
                <w:rFonts w:cs="Times New Roman"/>
                <w:sz w:val="21"/>
                <w:szCs w:val="21"/>
              </w:rPr>
            </w:pPr>
            <w:r>
              <w:rPr>
                <w:rFonts w:hint="eastAsia" w:cs="Times New Roman"/>
                <w:sz w:val="21"/>
                <w:szCs w:val="21"/>
              </w:rPr>
              <w:t>《高温熔融金属吊运安全规程》(AQ 7011-2018)5.14</w:t>
            </w:r>
          </w:p>
        </w:tc>
        <w:tc>
          <w:tcPr>
            <w:tcW w:w="1175" w:type="pct"/>
            <w:vAlign w:val="center"/>
          </w:tcPr>
          <w:p>
            <w:pPr>
              <w:spacing w:line="240" w:lineRule="auto"/>
              <w:ind w:firstLine="0" w:firstLineChars="0"/>
              <w:jc w:val="both"/>
              <w:rPr>
                <w:rFonts w:cs="Times New Roman"/>
                <w:sz w:val="21"/>
                <w:szCs w:val="21"/>
              </w:rPr>
            </w:pPr>
            <w:r>
              <w:rPr>
                <w:rFonts w:hint="eastAsia" w:cs="Times New Roman"/>
                <w:sz w:val="21"/>
                <w:szCs w:val="21"/>
              </w:rPr>
              <w:t>运输线上方无可燃介质管道，电线电缆采取隔热防护措施。</w:t>
            </w:r>
          </w:p>
        </w:tc>
        <w:tc>
          <w:tcPr>
            <w:tcW w:w="471" w:type="pct"/>
            <w:vAlign w:val="center"/>
          </w:tcPr>
          <w:p>
            <w:pPr>
              <w:spacing w:line="240" w:lineRule="auto"/>
              <w:ind w:firstLine="0" w:firstLineChars="0"/>
              <w:jc w:val="center"/>
              <w:rPr>
                <w:rFonts w:cs="Times New Roman"/>
                <w:sz w:val="21"/>
                <w:szCs w:val="21"/>
              </w:rPr>
            </w:pPr>
            <w:r>
              <w:rPr>
                <w:rFonts w:hint="eastAsia" w:cs="Times New Roman"/>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802" w:hRule="atLeast"/>
          <w:jc w:val="center"/>
        </w:trPr>
        <w:tc>
          <w:tcPr>
            <w:tcW w:w="409" w:type="pct"/>
            <w:vAlign w:val="center"/>
          </w:tcPr>
          <w:p>
            <w:pPr>
              <w:numPr>
                <w:ilvl w:val="0"/>
                <w:numId w:val="59"/>
              </w:numPr>
              <w:spacing w:line="240" w:lineRule="auto"/>
              <w:ind w:firstLine="420"/>
              <w:jc w:val="center"/>
              <w:rPr>
                <w:rFonts w:ascii="宋体" w:hAnsi="宋体" w:cs="宋体"/>
                <w:color w:val="000000"/>
                <w:sz w:val="21"/>
                <w:szCs w:val="21"/>
              </w:rPr>
            </w:pPr>
          </w:p>
        </w:tc>
        <w:tc>
          <w:tcPr>
            <w:tcW w:w="1774" w:type="pct"/>
            <w:vAlign w:val="center"/>
          </w:tcPr>
          <w:p>
            <w:pPr>
              <w:spacing w:line="240" w:lineRule="auto"/>
              <w:ind w:firstLine="0" w:firstLineChars="0"/>
              <w:jc w:val="both"/>
              <w:rPr>
                <w:rFonts w:cs="Times New Roman"/>
                <w:sz w:val="21"/>
                <w:szCs w:val="21"/>
              </w:rPr>
            </w:pPr>
            <w:r>
              <w:rPr>
                <w:rFonts w:hint="eastAsia" w:cs="Times New Roman"/>
                <w:sz w:val="21"/>
                <w:szCs w:val="21"/>
              </w:rPr>
              <w:t>吊运高温熔融金属的厂房的照明应符合GB 50034的要求，作业区照度不低于20 lx。</w:t>
            </w:r>
          </w:p>
        </w:tc>
        <w:tc>
          <w:tcPr>
            <w:tcW w:w="1168" w:type="pct"/>
            <w:vAlign w:val="center"/>
          </w:tcPr>
          <w:p>
            <w:pPr>
              <w:spacing w:line="240" w:lineRule="auto"/>
              <w:ind w:firstLine="0" w:firstLineChars="0"/>
              <w:rPr>
                <w:rFonts w:cs="Times New Roman"/>
                <w:sz w:val="21"/>
                <w:szCs w:val="21"/>
              </w:rPr>
            </w:pPr>
            <w:r>
              <w:rPr>
                <w:rFonts w:hint="eastAsia" w:cs="Times New Roman"/>
                <w:sz w:val="21"/>
                <w:szCs w:val="21"/>
              </w:rPr>
              <w:t>《高温熔融金属吊运安全规程》(AQ 7011-2018)5.15</w:t>
            </w:r>
          </w:p>
        </w:tc>
        <w:tc>
          <w:tcPr>
            <w:tcW w:w="1175" w:type="pct"/>
            <w:vAlign w:val="center"/>
          </w:tcPr>
          <w:p>
            <w:pPr>
              <w:spacing w:line="240" w:lineRule="auto"/>
              <w:ind w:firstLine="0" w:firstLineChars="0"/>
              <w:jc w:val="both"/>
              <w:rPr>
                <w:rFonts w:cs="Times New Roman"/>
                <w:sz w:val="21"/>
                <w:szCs w:val="21"/>
              </w:rPr>
            </w:pPr>
            <w:r>
              <w:rPr>
                <w:rFonts w:hint="eastAsia" w:cs="Times New Roman"/>
                <w:sz w:val="21"/>
                <w:szCs w:val="21"/>
              </w:rPr>
              <w:t>铸造车间厂房的照明应符合GB 50034的要求，作业区照度不低于20 lx。</w:t>
            </w:r>
          </w:p>
        </w:tc>
        <w:tc>
          <w:tcPr>
            <w:tcW w:w="471" w:type="pct"/>
            <w:vAlign w:val="center"/>
          </w:tcPr>
          <w:p>
            <w:pPr>
              <w:spacing w:line="240" w:lineRule="auto"/>
              <w:ind w:firstLine="0" w:firstLineChars="0"/>
              <w:jc w:val="center"/>
              <w:rPr>
                <w:rFonts w:cs="Times New Roman"/>
                <w:sz w:val="21"/>
                <w:szCs w:val="21"/>
              </w:rPr>
            </w:pPr>
            <w:r>
              <w:rPr>
                <w:rFonts w:hint="eastAsia" w:cs="Times New Roman"/>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802" w:hRule="atLeast"/>
          <w:jc w:val="center"/>
        </w:trPr>
        <w:tc>
          <w:tcPr>
            <w:tcW w:w="409" w:type="pct"/>
            <w:vAlign w:val="center"/>
          </w:tcPr>
          <w:p>
            <w:pPr>
              <w:numPr>
                <w:ilvl w:val="0"/>
                <w:numId w:val="59"/>
              </w:numPr>
              <w:spacing w:line="240" w:lineRule="auto"/>
              <w:ind w:firstLine="420"/>
              <w:jc w:val="center"/>
              <w:rPr>
                <w:rFonts w:ascii="宋体" w:hAnsi="宋体" w:cs="宋体"/>
                <w:color w:val="000000"/>
                <w:sz w:val="21"/>
                <w:szCs w:val="21"/>
              </w:rPr>
            </w:pPr>
          </w:p>
        </w:tc>
        <w:tc>
          <w:tcPr>
            <w:tcW w:w="1774" w:type="pct"/>
            <w:vAlign w:val="center"/>
          </w:tcPr>
          <w:p>
            <w:pPr>
              <w:spacing w:line="240" w:lineRule="auto"/>
              <w:ind w:firstLine="0" w:firstLineChars="0"/>
              <w:jc w:val="both"/>
              <w:rPr>
                <w:rFonts w:cs="Times New Roman"/>
                <w:sz w:val="21"/>
                <w:szCs w:val="21"/>
              </w:rPr>
            </w:pPr>
            <w:r>
              <w:rPr>
                <w:rFonts w:hint="eastAsia" w:cs="Times New Roman"/>
                <w:sz w:val="21"/>
                <w:szCs w:val="21"/>
              </w:rPr>
              <w:t>盛装、倾倒熔融金属、熔渣的场所应采取排除烟尘、蒸汽的措施，确保起重机司机视野良好。</w:t>
            </w:r>
          </w:p>
        </w:tc>
        <w:tc>
          <w:tcPr>
            <w:tcW w:w="1168" w:type="pct"/>
            <w:vAlign w:val="center"/>
          </w:tcPr>
          <w:p>
            <w:pPr>
              <w:spacing w:line="240" w:lineRule="auto"/>
              <w:ind w:firstLine="0" w:firstLineChars="0"/>
              <w:rPr>
                <w:rFonts w:cs="Times New Roman"/>
                <w:sz w:val="21"/>
                <w:szCs w:val="21"/>
              </w:rPr>
            </w:pPr>
            <w:r>
              <w:rPr>
                <w:rFonts w:hint="eastAsia" w:cs="Times New Roman"/>
                <w:sz w:val="21"/>
                <w:szCs w:val="21"/>
              </w:rPr>
              <w:t>《高温熔融金属吊运安全规程》(AQ 7011-2018)5.16</w:t>
            </w:r>
          </w:p>
        </w:tc>
        <w:tc>
          <w:tcPr>
            <w:tcW w:w="1175" w:type="pct"/>
            <w:vAlign w:val="center"/>
          </w:tcPr>
          <w:p>
            <w:pPr>
              <w:spacing w:line="240" w:lineRule="auto"/>
              <w:ind w:firstLine="0" w:firstLineChars="0"/>
              <w:jc w:val="both"/>
              <w:rPr>
                <w:rFonts w:cs="Times New Roman"/>
                <w:sz w:val="21"/>
                <w:szCs w:val="21"/>
              </w:rPr>
            </w:pPr>
            <w:r>
              <w:rPr>
                <w:rFonts w:hint="eastAsia" w:cs="Times New Roman"/>
                <w:sz w:val="21"/>
                <w:szCs w:val="21"/>
              </w:rPr>
              <w:t>盛装、倾倒熔融金属、熔渣的场所采取了排除烟尘、蒸汽的措施，保起重机司机视野良好。</w:t>
            </w:r>
          </w:p>
        </w:tc>
        <w:tc>
          <w:tcPr>
            <w:tcW w:w="471" w:type="pct"/>
            <w:vAlign w:val="center"/>
          </w:tcPr>
          <w:p>
            <w:pPr>
              <w:spacing w:line="240" w:lineRule="auto"/>
              <w:ind w:firstLine="0" w:firstLineChars="0"/>
              <w:jc w:val="center"/>
              <w:rPr>
                <w:rFonts w:cs="Times New Roman"/>
                <w:sz w:val="21"/>
                <w:szCs w:val="21"/>
              </w:rPr>
            </w:pPr>
            <w:r>
              <w:rPr>
                <w:rFonts w:hint="eastAsia" w:cs="Times New Roman"/>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802" w:hRule="atLeast"/>
          <w:jc w:val="center"/>
        </w:trPr>
        <w:tc>
          <w:tcPr>
            <w:tcW w:w="409" w:type="pct"/>
            <w:vAlign w:val="center"/>
          </w:tcPr>
          <w:p>
            <w:pPr>
              <w:numPr>
                <w:ilvl w:val="0"/>
                <w:numId w:val="59"/>
              </w:numPr>
              <w:spacing w:line="240" w:lineRule="auto"/>
              <w:ind w:firstLine="420"/>
              <w:jc w:val="center"/>
              <w:rPr>
                <w:rFonts w:ascii="宋体" w:hAnsi="宋体" w:cs="宋体"/>
                <w:color w:val="000000"/>
                <w:sz w:val="21"/>
                <w:szCs w:val="21"/>
              </w:rPr>
            </w:pPr>
          </w:p>
        </w:tc>
        <w:tc>
          <w:tcPr>
            <w:tcW w:w="1774" w:type="pct"/>
            <w:vAlign w:val="center"/>
          </w:tcPr>
          <w:p>
            <w:pPr>
              <w:spacing w:line="240" w:lineRule="auto"/>
              <w:ind w:firstLine="0" w:firstLineChars="0"/>
              <w:jc w:val="both"/>
              <w:rPr>
                <w:rFonts w:cs="Times New Roman"/>
                <w:sz w:val="21"/>
                <w:szCs w:val="21"/>
              </w:rPr>
            </w:pPr>
            <w:r>
              <w:rPr>
                <w:rFonts w:hint="eastAsia" w:cs="Times New Roman"/>
                <w:sz w:val="21"/>
                <w:szCs w:val="21"/>
              </w:rPr>
              <w:t>熔融金属罐冷热修区不应设在吊运路线上，应设置通风降温设施，地面应有安全通道。</w:t>
            </w:r>
          </w:p>
        </w:tc>
        <w:tc>
          <w:tcPr>
            <w:tcW w:w="1168" w:type="pct"/>
            <w:vAlign w:val="center"/>
          </w:tcPr>
          <w:p>
            <w:pPr>
              <w:spacing w:line="240" w:lineRule="auto"/>
              <w:ind w:firstLine="0" w:firstLineChars="0"/>
              <w:rPr>
                <w:rFonts w:cs="Times New Roman"/>
                <w:sz w:val="21"/>
                <w:szCs w:val="21"/>
              </w:rPr>
            </w:pPr>
            <w:r>
              <w:rPr>
                <w:rFonts w:hint="eastAsia" w:cs="Times New Roman"/>
                <w:sz w:val="21"/>
                <w:szCs w:val="21"/>
              </w:rPr>
              <w:t>《高温熔融金属吊运安全规程》(AQ 7011-2018)5.17</w:t>
            </w:r>
          </w:p>
        </w:tc>
        <w:tc>
          <w:tcPr>
            <w:tcW w:w="1175" w:type="pct"/>
            <w:vAlign w:val="center"/>
          </w:tcPr>
          <w:p>
            <w:pPr>
              <w:spacing w:line="240" w:lineRule="auto"/>
              <w:ind w:firstLine="0" w:firstLineChars="0"/>
              <w:jc w:val="both"/>
              <w:rPr>
                <w:rFonts w:cs="Times New Roman"/>
                <w:sz w:val="21"/>
                <w:szCs w:val="21"/>
              </w:rPr>
            </w:pPr>
            <w:r>
              <w:rPr>
                <w:rFonts w:hint="eastAsia" w:cs="Times New Roman"/>
                <w:sz w:val="21"/>
                <w:szCs w:val="21"/>
              </w:rPr>
              <w:t>熔融金属罐冷热修区未设在吊运路线上。设置通风降温设施，地面有安全通道。</w:t>
            </w:r>
          </w:p>
        </w:tc>
        <w:tc>
          <w:tcPr>
            <w:tcW w:w="471" w:type="pct"/>
            <w:vAlign w:val="center"/>
          </w:tcPr>
          <w:p>
            <w:pPr>
              <w:spacing w:line="240" w:lineRule="auto"/>
              <w:ind w:firstLine="0" w:firstLineChars="0"/>
              <w:jc w:val="center"/>
              <w:rPr>
                <w:rFonts w:cs="Times New Roman"/>
                <w:sz w:val="21"/>
                <w:szCs w:val="21"/>
              </w:rPr>
            </w:pPr>
            <w:r>
              <w:rPr>
                <w:rFonts w:hint="eastAsia" w:cs="Times New Roman"/>
                <w:sz w:val="21"/>
                <w:szCs w:val="21"/>
              </w:rPr>
              <w:t>符合</w:t>
            </w:r>
          </w:p>
        </w:tc>
      </w:tr>
    </w:tbl>
    <w:p>
      <w:pPr>
        <w:ind w:firstLine="560"/>
      </w:pPr>
      <w:bookmarkStart w:id="288" w:name="_Toc500007170"/>
      <w:bookmarkStart w:id="289" w:name="_Toc498299362"/>
      <w:bookmarkStart w:id="290" w:name="_Toc498519832"/>
      <w:r>
        <w:rPr>
          <w:rFonts w:hint="eastAsia"/>
        </w:rPr>
        <w:t>针对高温熔融金属（渣）、易燃易爆、有毒有害、腐蚀性、放射性等危险物料在生产、输送、贮存、使用、废弃等环节喷溅、泄漏、监测预警、安全警戒和标识要求等防范措施的安全检查项目符合相关标准规范</w:t>
      </w:r>
      <w:r>
        <w:rPr>
          <w:rFonts w:hint="eastAsia" w:ascii="宋体" w:hAnsi="宋体" w:cs="宋体"/>
        </w:rPr>
        <w:t>要求</w:t>
      </w:r>
      <w:r>
        <w:rPr>
          <w:rFonts w:hint="eastAsia" w:ascii="宋体" w:hAnsi="宋体" w:cs="宋体"/>
          <w:lang w:eastAsia="zh-CN"/>
        </w:rPr>
        <w:t>。</w:t>
      </w:r>
    </w:p>
    <w:bookmarkEnd w:id="288"/>
    <w:bookmarkEnd w:id="289"/>
    <w:bookmarkEnd w:id="290"/>
    <w:p>
      <w:pPr>
        <w:pStyle w:val="5"/>
        <w:spacing w:before="156" w:after="156"/>
        <w:rPr>
          <w:rFonts w:eastAsia="黑体"/>
          <w:color w:val="000000"/>
        </w:rPr>
      </w:pPr>
      <w:bookmarkStart w:id="291" w:name="_Toc26830"/>
      <w:r>
        <w:t>生产工艺系统、装置、设施、设备单元</w:t>
      </w:r>
      <w:bookmarkEnd w:id="291"/>
    </w:p>
    <w:p>
      <w:pPr>
        <w:ind w:firstLine="560"/>
      </w:pPr>
      <w:r>
        <w:rPr>
          <w:rFonts w:hint="eastAsia"/>
        </w:rPr>
        <w:t>针对各生产单元的生产工艺及设备设施存在的各类危险、有害因素及危害程度；所采用工艺、设备选型、设备布置的安全措施；重要设备（部位）的温度、压力等关键参数的检测、报警、联锁等保护措施，异常工况及事故状态下的应急处置措施；起重设备、压力容器和压力管道等特种设备设计安全措施；工艺和装置中安全设施的配备等。根据《高温熔融金属吊运安全规程》(AQ 7011-2018)、《</w:t>
      </w:r>
      <w:r>
        <w:t>起重机械安全规程 第 1 部分：总则</w:t>
      </w:r>
      <w:r>
        <w:rPr>
          <w:rFonts w:hint="eastAsia"/>
        </w:rPr>
        <w:t>》（GB/T 6067.1-2010）、《</w:t>
      </w:r>
      <w:r>
        <w:t>固定式压力容器安全技术监察规程</w:t>
      </w:r>
      <w:r>
        <w:rPr>
          <w:rFonts w:hint="eastAsia"/>
        </w:rPr>
        <w:t>》(</w:t>
      </w:r>
      <w:r>
        <w:rPr>
          <w:rFonts w:hint="eastAsia" w:ascii="宋体" w:hAnsi="宋体" w:cs="宋体"/>
        </w:rPr>
        <w:t>TSG 21-2016/XG1-2020)</w:t>
      </w:r>
      <w:r>
        <w:rPr>
          <w:rFonts w:hint="eastAsia"/>
        </w:rPr>
        <w:t>、《电热装置基本技术条件 第31部分：中频无心感应炉》（GB/T 10067.31-2013)等标准、规范、文件的要求，要求采用安全检查表进行符合性评价。具体情况见下表所示。</w:t>
      </w:r>
    </w:p>
    <w:p>
      <w:pPr>
        <w:pStyle w:val="14"/>
        <w:spacing w:before="156" w:after="156"/>
      </w:pPr>
      <w:r>
        <w:t xml:space="preserve">表 </w:t>
      </w:r>
      <w:r>
        <w:fldChar w:fldCharType="begin"/>
      </w:r>
      <w:r>
        <w:instrText xml:space="preserve"> STYLEREF 2 \s </w:instrText>
      </w:r>
      <w:r>
        <w:fldChar w:fldCharType="separate"/>
      </w:r>
      <w:r>
        <w:t>5.5</w:t>
      </w:r>
      <w:r>
        <w:fldChar w:fldCharType="end"/>
      </w:r>
      <w:r>
        <w:rPr>
          <w:rFonts w:hint="eastAsia"/>
        </w:rPr>
        <w:t>-</w:t>
      </w:r>
      <w:r>
        <w:fldChar w:fldCharType="begin"/>
      </w:r>
      <w:r>
        <w:instrText xml:space="preserve"> SEQ 表 \* ARABIC \s 2 </w:instrText>
      </w:r>
      <w:r>
        <w:fldChar w:fldCharType="separate"/>
      </w:r>
      <w:r>
        <w:t>1</w:t>
      </w:r>
      <w:r>
        <w:fldChar w:fldCharType="end"/>
      </w:r>
      <w:r>
        <w:rPr>
          <w:rFonts w:hint="eastAsia"/>
        </w:rPr>
        <w:t>生产工艺系统、装置、设施、设备单元</w:t>
      </w:r>
      <w:r>
        <w:t>符合性</w:t>
      </w:r>
      <w:r>
        <w:rPr>
          <w:rFonts w:hint="eastAsia"/>
        </w:rPr>
        <w:t>安全检查表</w:t>
      </w:r>
    </w:p>
    <w:tbl>
      <w:tblPr>
        <w:tblStyle w:val="29"/>
        <w:tblW w:w="5000" w:type="pct"/>
        <w:tblInd w:w="0" w:type="dxa"/>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fixed"/>
        <w:tblCellMar>
          <w:top w:w="0" w:type="dxa"/>
          <w:left w:w="108" w:type="dxa"/>
          <w:bottom w:w="0" w:type="dxa"/>
          <w:right w:w="108" w:type="dxa"/>
        </w:tblCellMar>
      </w:tblPr>
      <w:tblGrid>
        <w:gridCol w:w="716"/>
        <w:gridCol w:w="2957"/>
        <w:gridCol w:w="1594"/>
        <w:gridCol w:w="2345"/>
        <w:gridCol w:w="910"/>
      </w:tblGrid>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PrEx>
        <w:trPr>
          <w:trHeight w:val="823" w:hRule="atLeast"/>
        </w:trPr>
        <w:tc>
          <w:tcPr>
            <w:tcW w:w="420" w:type="pct"/>
            <w:tcBorders>
              <w:bottom w:val="single" w:color="000000" w:sz="4" w:space="0"/>
              <w:right w:val="single" w:color="000000" w:sz="4" w:space="0"/>
            </w:tcBorders>
            <w:shd w:val="clear" w:color="auto" w:fill="auto"/>
            <w:vAlign w:val="center"/>
          </w:tcPr>
          <w:p>
            <w:pPr>
              <w:widowControl/>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序号</w:t>
            </w:r>
          </w:p>
        </w:tc>
        <w:tc>
          <w:tcPr>
            <w:tcW w:w="1734" w:type="pct"/>
            <w:tcBorders>
              <w:left w:val="single" w:color="000000" w:sz="4" w:space="0"/>
              <w:bottom w:val="single" w:color="000000" w:sz="4" w:space="0"/>
              <w:right w:val="single" w:color="000000" w:sz="4" w:space="0"/>
            </w:tcBorders>
            <w:shd w:val="clear" w:color="auto" w:fill="auto"/>
            <w:vAlign w:val="center"/>
          </w:tcPr>
          <w:p>
            <w:pPr>
              <w:widowControl/>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检查内容</w:t>
            </w:r>
          </w:p>
        </w:tc>
        <w:tc>
          <w:tcPr>
            <w:tcW w:w="934" w:type="pct"/>
            <w:tcBorders>
              <w:left w:val="single" w:color="000000" w:sz="4" w:space="0"/>
              <w:bottom w:val="single" w:color="000000" w:sz="4" w:space="0"/>
              <w:right w:val="single" w:color="000000" w:sz="4" w:space="0"/>
            </w:tcBorders>
            <w:shd w:val="clear" w:color="auto" w:fill="auto"/>
            <w:vAlign w:val="center"/>
          </w:tcPr>
          <w:p>
            <w:pPr>
              <w:widowControl/>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评价依据</w:t>
            </w:r>
          </w:p>
        </w:tc>
        <w:tc>
          <w:tcPr>
            <w:tcW w:w="1375" w:type="pct"/>
            <w:tcBorders>
              <w:left w:val="single" w:color="000000" w:sz="4" w:space="0"/>
              <w:bottom w:val="single" w:color="000000" w:sz="4" w:space="0"/>
              <w:right w:val="single" w:color="000000" w:sz="4" w:space="0"/>
            </w:tcBorders>
            <w:shd w:val="clear" w:color="auto" w:fill="auto"/>
            <w:vAlign w:val="center"/>
          </w:tcPr>
          <w:p>
            <w:pPr>
              <w:widowControl/>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检查情况</w:t>
            </w:r>
          </w:p>
        </w:tc>
        <w:tc>
          <w:tcPr>
            <w:tcW w:w="534" w:type="pct"/>
            <w:tcBorders>
              <w:left w:val="single" w:color="000000" w:sz="4" w:space="0"/>
              <w:bottom w:val="single" w:color="000000" w:sz="4" w:space="0"/>
            </w:tcBorders>
            <w:shd w:val="clear" w:color="auto" w:fill="auto"/>
            <w:vAlign w:val="center"/>
          </w:tcPr>
          <w:p>
            <w:pPr>
              <w:widowControl/>
              <w:snapToGrid w:val="0"/>
              <w:spacing w:line="240" w:lineRule="auto"/>
              <w:ind w:firstLine="0" w:firstLineChars="0"/>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检查</w:t>
            </w:r>
          </w:p>
          <w:p>
            <w:pPr>
              <w:widowControl/>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结果</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420" w:type="pct"/>
            <w:tcBorders>
              <w:top w:val="single" w:color="000000" w:sz="4" w:space="0"/>
              <w:bottom w:val="single" w:color="000000" w:sz="4" w:space="0"/>
              <w:right w:val="single" w:color="000000" w:sz="4" w:space="0"/>
            </w:tcBorders>
            <w:shd w:val="clear" w:color="auto" w:fill="auto"/>
            <w:vAlign w:val="center"/>
          </w:tcPr>
          <w:p>
            <w:pPr>
              <w:widowControl/>
              <w:numPr>
                <w:ilvl w:val="0"/>
                <w:numId w:val="60"/>
              </w:numPr>
              <w:tabs>
                <w:tab w:val="left" w:pos="397"/>
                <w:tab w:val="clear" w:pos="0"/>
              </w:tabs>
              <w:spacing w:line="240" w:lineRule="auto"/>
              <w:ind w:left="0" w:firstLine="0" w:firstLineChars="0"/>
              <w:jc w:val="center"/>
              <w:textAlignment w:val="center"/>
              <w:rPr>
                <w:rFonts w:ascii="宋体" w:hAnsi="宋体" w:cs="宋体"/>
                <w:color w:val="000000"/>
                <w:kern w:val="0"/>
                <w:sz w:val="24"/>
                <w:szCs w:val="24"/>
                <w:lang w:bidi="ar"/>
              </w:rPr>
            </w:pPr>
          </w:p>
        </w:tc>
        <w:tc>
          <w:tcPr>
            <w:tcW w:w="1734" w:type="pct"/>
            <w:tcBorders>
              <w:top w:val="single" w:color="000000" w:sz="4" w:space="0"/>
              <w:left w:val="single" w:color="000000" w:sz="4" w:space="0"/>
              <w:bottom w:val="single" w:color="000000" w:sz="4" w:space="0"/>
              <w:right w:val="single" w:color="000000" w:sz="4" w:space="0"/>
            </w:tcBorders>
            <w:shd w:val="clear" w:color="auto" w:fill="auto"/>
            <w:vAlign w:val="center"/>
          </w:tcPr>
          <w:p>
            <w:pPr>
              <w:wordWrap w:val="0"/>
              <w:spacing w:line="240" w:lineRule="auto"/>
              <w:ind w:firstLine="0" w:firstLineChars="0"/>
              <w:jc w:val="both"/>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新建用于吊运熔融金属的起重机，其额定起重量大于或等于75t 的，除应符合本规程外，还应符合 TSG Q0002 和 JB/T7688.5 的相关要求，并应使用冶金铸造起重机。</w:t>
            </w:r>
          </w:p>
          <w:p>
            <w:pPr>
              <w:wordWrap w:val="0"/>
              <w:spacing w:line="240" w:lineRule="auto"/>
              <w:ind w:firstLine="0" w:firstLineChars="0"/>
              <w:jc w:val="both"/>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以电动葫芦作为起升机构，吊运熔融金属的起重机应符合下列要求：</w:t>
            </w:r>
          </w:p>
          <w:p>
            <w:pPr>
              <w:wordWrap w:val="0"/>
              <w:spacing w:line="240" w:lineRule="auto"/>
              <w:ind w:firstLine="0" w:firstLineChars="0"/>
              <w:jc w:val="both"/>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a）额定起重量不得大于10t；</w:t>
            </w:r>
          </w:p>
          <w:p>
            <w:pPr>
              <w:wordWrap w:val="0"/>
              <w:spacing w:line="240" w:lineRule="auto"/>
              <w:ind w:firstLine="0" w:firstLineChars="0"/>
              <w:jc w:val="both"/>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b）电动葫芦的工作级别不小于M6级。</w:t>
            </w: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pPr>
              <w:wordWrap w:val="0"/>
              <w:spacing w:line="240" w:lineRule="auto"/>
              <w:ind w:firstLine="0" w:firstLineChars="0"/>
              <w:jc w:val="both"/>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《高温熔融金属吊运安全规程》(AQ 7011-2018)</w:t>
            </w:r>
          </w:p>
          <w:p>
            <w:pPr>
              <w:wordWrap w:val="0"/>
              <w:spacing w:line="240" w:lineRule="auto"/>
              <w:ind w:firstLine="0" w:firstLineChars="0"/>
              <w:jc w:val="both"/>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6.1.1</w:t>
            </w:r>
          </w:p>
        </w:tc>
        <w:tc>
          <w:tcPr>
            <w:tcW w:w="137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both"/>
              <w:textAlignment w:val="center"/>
            </w:pPr>
            <w:r>
              <w:rPr>
                <w:rFonts w:hint="eastAsia" w:ascii="宋体" w:hAnsi="宋体" w:cs="宋体"/>
                <w:color w:val="000000"/>
                <w:kern w:val="0"/>
                <w:sz w:val="24"/>
                <w:szCs w:val="24"/>
                <w:lang w:bidi="ar"/>
              </w:rPr>
              <w:t>项目吊运钢包采用</w:t>
            </w:r>
            <w:r>
              <w:rPr>
                <w:rFonts w:hint="eastAsia" w:ascii="宋体" w:hAnsi="宋体" w:cs="宋体"/>
                <w:color w:val="000000"/>
                <w:kern w:val="0"/>
                <w:sz w:val="22"/>
                <w:lang w:bidi="ar"/>
              </w:rPr>
              <w:t>LD10-25.5 A6 电动单梁起重机，以</w:t>
            </w:r>
            <w:r>
              <w:rPr>
                <w:rFonts w:hint="eastAsia" w:ascii="宋体" w:hAnsi="宋体" w:cs="宋体"/>
                <w:color w:val="000000"/>
                <w:kern w:val="0"/>
                <w:sz w:val="24"/>
                <w:szCs w:val="24"/>
                <w:lang w:bidi="ar"/>
              </w:rPr>
              <w:t>电动葫芦作为起升机构，额定起重量为10吨，电动葫芦的工作级别为A6级，电动葫芦的工作级别M6级。</w:t>
            </w:r>
          </w:p>
          <w:p>
            <w:pPr>
              <w:widowControl/>
              <w:spacing w:line="240" w:lineRule="auto"/>
              <w:ind w:firstLine="0" w:firstLineChars="0"/>
              <w:jc w:val="both"/>
              <w:textAlignment w:val="center"/>
              <w:rPr>
                <w:rFonts w:ascii="宋体" w:hAnsi="宋体" w:cs="宋体"/>
                <w:color w:val="000000"/>
                <w:kern w:val="0"/>
                <w:sz w:val="24"/>
                <w:szCs w:val="24"/>
                <w:lang w:bidi="ar"/>
              </w:rPr>
            </w:pPr>
          </w:p>
        </w:tc>
        <w:tc>
          <w:tcPr>
            <w:tcW w:w="534" w:type="pct"/>
            <w:tcBorders>
              <w:top w:val="single" w:color="000000" w:sz="4" w:space="0"/>
              <w:left w:val="single" w:color="000000" w:sz="4" w:space="0"/>
              <w:bottom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符合</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1774" w:hRule="atLeast"/>
        </w:trPr>
        <w:tc>
          <w:tcPr>
            <w:tcW w:w="420" w:type="pct"/>
            <w:tcBorders>
              <w:top w:val="single" w:color="000000" w:sz="4" w:space="0"/>
              <w:bottom w:val="single" w:color="000000" w:sz="4" w:space="0"/>
              <w:right w:val="single" w:color="000000" w:sz="4" w:space="0"/>
            </w:tcBorders>
            <w:shd w:val="clear" w:color="auto" w:fill="auto"/>
            <w:vAlign w:val="center"/>
          </w:tcPr>
          <w:p>
            <w:pPr>
              <w:widowControl/>
              <w:numPr>
                <w:ilvl w:val="0"/>
                <w:numId w:val="60"/>
              </w:numPr>
              <w:tabs>
                <w:tab w:val="left" w:pos="397"/>
                <w:tab w:val="clear" w:pos="0"/>
              </w:tabs>
              <w:spacing w:line="240" w:lineRule="auto"/>
              <w:ind w:left="0" w:firstLine="0" w:firstLineChars="0"/>
              <w:jc w:val="center"/>
              <w:textAlignment w:val="center"/>
              <w:rPr>
                <w:rFonts w:ascii="宋体" w:hAnsi="宋体" w:cs="宋体"/>
                <w:color w:val="000000"/>
                <w:kern w:val="0"/>
                <w:sz w:val="24"/>
                <w:szCs w:val="24"/>
                <w:lang w:bidi="ar"/>
              </w:rPr>
            </w:pPr>
          </w:p>
        </w:tc>
        <w:tc>
          <w:tcPr>
            <w:tcW w:w="1734" w:type="pct"/>
            <w:tcBorders>
              <w:top w:val="single" w:color="000000" w:sz="4" w:space="0"/>
              <w:left w:val="single" w:color="000000" w:sz="4" w:space="0"/>
              <w:bottom w:val="single" w:color="000000" w:sz="4" w:space="0"/>
              <w:right w:val="single" w:color="000000" w:sz="4" w:space="0"/>
            </w:tcBorders>
            <w:shd w:val="clear" w:color="auto" w:fill="auto"/>
            <w:vAlign w:val="center"/>
          </w:tcPr>
          <w:p>
            <w:pPr>
              <w:wordWrap w:val="0"/>
              <w:spacing w:line="240" w:lineRule="auto"/>
              <w:ind w:firstLine="0" w:firstLineChars="0"/>
              <w:jc w:val="both"/>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 xml:space="preserve">吊运熔融金属的起重机的主梁下翼缘板、吊具横梁等直接受高温辐射的部位和电气设备，应采取隔热防护措施。 </w:t>
            </w: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pPr>
              <w:wordWrap w:val="0"/>
              <w:spacing w:line="240" w:lineRule="auto"/>
              <w:ind w:firstLine="0" w:firstLineChars="0"/>
              <w:jc w:val="both"/>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《高温熔融金属吊运安全规程》(AQ 7011-2018)</w:t>
            </w:r>
          </w:p>
          <w:p>
            <w:pPr>
              <w:wordWrap w:val="0"/>
              <w:spacing w:line="240" w:lineRule="auto"/>
              <w:ind w:firstLine="0" w:firstLineChars="0"/>
              <w:jc w:val="both"/>
              <w:textAlignment w:val="center"/>
              <w:rPr>
                <w:rFonts w:ascii="宋体" w:hAnsi="宋体" w:cs="宋体"/>
                <w:color w:val="000000"/>
                <w:kern w:val="0"/>
                <w:sz w:val="24"/>
                <w:szCs w:val="24"/>
                <w:lang w:bidi="ar"/>
              </w:rPr>
            </w:pPr>
            <w:r>
              <w:rPr>
                <w:rFonts w:ascii="宋体" w:hAnsi="宋体" w:cs="宋体"/>
                <w:color w:val="000000"/>
                <w:kern w:val="0"/>
                <w:sz w:val="24"/>
                <w:szCs w:val="24"/>
                <w:lang w:bidi="ar"/>
              </w:rPr>
              <w:t xml:space="preserve">6.1.4 </w:t>
            </w:r>
          </w:p>
        </w:tc>
        <w:tc>
          <w:tcPr>
            <w:tcW w:w="137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both"/>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吊运熔融金属起重机相关检测合格。</w:t>
            </w:r>
          </w:p>
        </w:tc>
        <w:tc>
          <w:tcPr>
            <w:tcW w:w="534" w:type="pct"/>
            <w:tcBorders>
              <w:top w:val="single" w:color="000000" w:sz="4" w:space="0"/>
              <w:left w:val="single" w:color="000000" w:sz="4" w:space="0"/>
              <w:bottom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符合</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1945" w:hRule="atLeast"/>
        </w:trPr>
        <w:tc>
          <w:tcPr>
            <w:tcW w:w="420" w:type="pct"/>
            <w:tcBorders>
              <w:top w:val="single" w:color="000000" w:sz="4" w:space="0"/>
              <w:bottom w:val="single" w:color="000000" w:sz="4" w:space="0"/>
              <w:right w:val="single" w:color="000000" w:sz="4" w:space="0"/>
            </w:tcBorders>
            <w:shd w:val="clear" w:color="auto" w:fill="auto"/>
            <w:vAlign w:val="center"/>
          </w:tcPr>
          <w:p>
            <w:pPr>
              <w:widowControl/>
              <w:numPr>
                <w:ilvl w:val="0"/>
                <w:numId w:val="60"/>
              </w:numPr>
              <w:tabs>
                <w:tab w:val="left" w:pos="397"/>
                <w:tab w:val="clear" w:pos="0"/>
              </w:tabs>
              <w:spacing w:line="240" w:lineRule="auto"/>
              <w:ind w:left="0" w:firstLine="0" w:firstLineChars="0"/>
              <w:jc w:val="center"/>
              <w:textAlignment w:val="center"/>
              <w:rPr>
                <w:rFonts w:ascii="宋体" w:hAnsi="宋体" w:cs="宋体"/>
                <w:color w:val="000000"/>
                <w:kern w:val="0"/>
                <w:sz w:val="24"/>
                <w:szCs w:val="24"/>
                <w:lang w:bidi="ar"/>
              </w:rPr>
            </w:pPr>
          </w:p>
        </w:tc>
        <w:tc>
          <w:tcPr>
            <w:tcW w:w="1734" w:type="pct"/>
            <w:tcBorders>
              <w:top w:val="single" w:color="000000" w:sz="4" w:space="0"/>
              <w:left w:val="single" w:color="000000" w:sz="4" w:space="0"/>
              <w:bottom w:val="single" w:color="000000" w:sz="4" w:space="0"/>
              <w:right w:val="single" w:color="000000" w:sz="4" w:space="0"/>
            </w:tcBorders>
            <w:shd w:val="clear" w:color="auto" w:fill="auto"/>
            <w:vAlign w:val="center"/>
          </w:tcPr>
          <w:p>
            <w:pPr>
              <w:wordWrap w:val="0"/>
              <w:spacing w:line="240" w:lineRule="auto"/>
              <w:ind w:firstLine="0" w:firstLineChars="0"/>
              <w:jc w:val="both"/>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 xml:space="preserve">吊运熔融金属的起重机（不含起升机构为电动葫芦的），应采用冶金起重专用电动机，在环境温 </w:t>
            </w:r>
          </w:p>
          <w:p>
            <w:pPr>
              <w:wordWrap w:val="0"/>
              <w:spacing w:line="240" w:lineRule="auto"/>
              <w:ind w:firstLine="0" w:firstLineChars="0"/>
              <w:jc w:val="both"/>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 xml:space="preserve">度超过 </w:t>
            </w:r>
            <w:r>
              <w:rPr>
                <w:rFonts w:ascii="宋体" w:hAnsi="宋体" w:cs="宋体"/>
                <w:color w:val="000000"/>
                <w:kern w:val="0"/>
                <w:sz w:val="24"/>
                <w:szCs w:val="24"/>
                <w:lang w:bidi="ar"/>
              </w:rPr>
              <w:t>40</w:t>
            </w:r>
            <w:r>
              <w:rPr>
                <w:rFonts w:hint="eastAsia" w:ascii="宋体" w:hAnsi="宋体" w:cs="宋体"/>
                <w:color w:val="000000"/>
                <w:kern w:val="0"/>
                <w:sz w:val="24"/>
                <w:szCs w:val="24"/>
                <w:lang w:bidi="ar"/>
              </w:rPr>
              <w:t xml:space="preserve">℃的场所，应选用 </w:t>
            </w:r>
            <w:r>
              <w:rPr>
                <w:rFonts w:ascii="宋体" w:hAnsi="宋体" w:cs="宋体"/>
                <w:color w:val="000000"/>
                <w:kern w:val="0"/>
                <w:sz w:val="24"/>
                <w:szCs w:val="24"/>
                <w:lang w:bidi="ar"/>
              </w:rPr>
              <w:t xml:space="preserve">H </w:t>
            </w:r>
            <w:r>
              <w:rPr>
                <w:rFonts w:hint="eastAsia" w:ascii="宋体" w:hAnsi="宋体" w:cs="宋体"/>
                <w:color w:val="000000"/>
                <w:kern w:val="0"/>
                <w:sz w:val="24"/>
                <w:szCs w:val="24"/>
                <w:lang w:bidi="ar"/>
              </w:rPr>
              <w:t xml:space="preserve">级绝缘电动机。  </w:t>
            </w: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pPr>
              <w:wordWrap w:val="0"/>
              <w:spacing w:line="240" w:lineRule="auto"/>
              <w:ind w:firstLine="0" w:firstLineChars="0"/>
              <w:jc w:val="both"/>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《高温熔融金属吊运安全规程》(AQ 7011-2018)</w:t>
            </w:r>
          </w:p>
          <w:p>
            <w:pPr>
              <w:wordWrap w:val="0"/>
              <w:spacing w:line="240" w:lineRule="auto"/>
              <w:ind w:firstLine="0" w:firstLineChars="0"/>
              <w:jc w:val="both"/>
              <w:textAlignment w:val="center"/>
              <w:rPr>
                <w:rFonts w:ascii="宋体" w:hAnsi="宋体" w:cs="宋体"/>
                <w:color w:val="000000"/>
                <w:kern w:val="0"/>
                <w:sz w:val="24"/>
                <w:szCs w:val="24"/>
                <w:lang w:bidi="ar"/>
              </w:rPr>
            </w:pPr>
            <w:r>
              <w:rPr>
                <w:rFonts w:ascii="宋体" w:hAnsi="宋体" w:cs="宋体"/>
                <w:color w:val="000000"/>
                <w:kern w:val="0"/>
                <w:sz w:val="24"/>
                <w:szCs w:val="24"/>
                <w:lang w:bidi="ar"/>
              </w:rPr>
              <w:t>6.1.5</w:t>
            </w:r>
          </w:p>
        </w:tc>
        <w:tc>
          <w:tcPr>
            <w:tcW w:w="137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both"/>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吊运熔融金属起重机相关检测合格。</w:t>
            </w:r>
          </w:p>
        </w:tc>
        <w:tc>
          <w:tcPr>
            <w:tcW w:w="534" w:type="pct"/>
            <w:tcBorders>
              <w:top w:val="single" w:color="000000" w:sz="4" w:space="0"/>
              <w:left w:val="single" w:color="000000" w:sz="4" w:space="0"/>
              <w:bottom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符合</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420" w:type="pct"/>
            <w:tcBorders>
              <w:top w:val="single" w:color="000000" w:sz="4" w:space="0"/>
              <w:bottom w:val="single" w:color="000000" w:sz="4" w:space="0"/>
              <w:right w:val="single" w:color="000000" w:sz="4" w:space="0"/>
            </w:tcBorders>
            <w:shd w:val="clear" w:color="auto" w:fill="auto"/>
            <w:vAlign w:val="center"/>
          </w:tcPr>
          <w:p>
            <w:pPr>
              <w:widowControl/>
              <w:numPr>
                <w:ilvl w:val="0"/>
                <w:numId w:val="60"/>
              </w:numPr>
              <w:tabs>
                <w:tab w:val="left" w:pos="397"/>
                <w:tab w:val="clear" w:pos="0"/>
              </w:tabs>
              <w:spacing w:line="240" w:lineRule="auto"/>
              <w:ind w:left="0" w:firstLine="0" w:firstLineChars="0"/>
              <w:jc w:val="center"/>
              <w:textAlignment w:val="center"/>
              <w:rPr>
                <w:rFonts w:ascii="宋体" w:hAnsi="宋体" w:cs="宋体"/>
                <w:color w:val="000000"/>
                <w:kern w:val="0"/>
                <w:sz w:val="24"/>
                <w:szCs w:val="24"/>
                <w:lang w:bidi="ar"/>
              </w:rPr>
            </w:pPr>
          </w:p>
        </w:tc>
        <w:tc>
          <w:tcPr>
            <w:tcW w:w="1734" w:type="pct"/>
            <w:tcBorders>
              <w:top w:val="single" w:color="000000" w:sz="4" w:space="0"/>
              <w:left w:val="single" w:color="000000" w:sz="4" w:space="0"/>
              <w:bottom w:val="single" w:color="000000" w:sz="4" w:space="0"/>
              <w:right w:val="single" w:color="000000" w:sz="4" w:space="0"/>
            </w:tcBorders>
            <w:shd w:val="clear" w:color="auto" w:fill="auto"/>
            <w:vAlign w:val="center"/>
          </w:tcPr>
          <w:p>
            <w:pPr>
              <w:wordWrap w:val="0"/>
              <w:spacing w:line="240" w:lineRule="auto"/>
              <w:ind w:firstLine="0" w:firstLineChars="0"/>
              <w:jc w:val="both"/>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 xml:space="preserve">吊运熔融金属的起重机，起升机构应具有正反向接触器故障保护功能，防止电动机失电而制动器 </w:t>
            </w:r>
          </w:p>
          <w:p>
            <w:pPr>
              <w:wordWrap w:val="0"/>
              <w:spacing w:line="240" w:lineRule="auto"/>
              <w:ind w:firstLine="0" w:firstLineChars="0"/>
              <w:jc w:val="both"/>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 xml:space="preserve">仍然通电，导致电动机失速造成重物坠落。 </w:t>
            </w: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pPr>
              <w:wordWrap w:val="0"/>
              <w:spacing w:line="240" w:lineRule="auto"/>
              <w:ind w:firstLine="0" w:firstLineChars="0"/>
              <w:jc w:val="both"/>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《高温熔融金属吊运安全规程》(AQ 7011-2018)</w:t>
            </w:r>
          </w:p>
          <w:p>
            <w:pPr>
              <w:wordWrap w:val="0"/>
              <w:spacing w:line="240" w:lineRule="auto"/>
              <w:ind w:firstLine="0" w:firstLineChars="0"/>
              <w:jc w:val="both"/>
              <w:textAlignment w:val="center"/>
              <w:rPr>
                <w:rFonts w:ascii="宋体" w:hAnsi="宋体" w:cs="宋体"/>
                <w:color w:val="000000"/>
                <w:kern w:val="0"/>
                <w:sz w:val="24"/>
                <w:szCs w:val="24"/>
                <w:lang w:bidi="ar"/>
              </w:rPr>
            </w:pPr>
            <w:r>
              <w:rPr>
                <w:rFonts w:ascii="宋体" w:hAnsi="宋体" w:cs="宋体"/>
                <w:color w:val="000000"/>
                <w:kern w:val="0"/>
                <w:sz w:val="24"/>
                <w:szCs w:val="24"/>
                <w:lang w:bidi="ar"/>
              </w:rPr>
              <w:t xml:space="preserve">6.1.6 </w:t>
            </w:r>
          </w:p>
        </w:tc>
        <w:tc>
          <w:tcPr>
            <w:tcW w:w="137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both"/>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吊运熔融金属起重机相关检测合格。</w:t>
            </w:r>
          </w:p>
        </w:tc>
        <w:tc>
          <w:tcPr>
            <w:tcW w:w="534" w:type="pct"/>
            <w:tcBorders>
              <w:top w:val="single" w:color="000000" w:sz="4" w:space="0"/>
              <w:left w:val="single" w:color="000000" w:sz="4" w:space="0"/>
              <w:bottom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符合</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420" w:type="pct"/>
            <w:tcBorders>
              <w:top w:val="single" w:color="000000" w:sz="4" w:space="0"/>
              <w:bottom w:val="single" w:color="000000" w:sz="4" w:space="0"/>
              <w:right w:val="single" w:color="000000" w:sz="4" w:space="0"/>
            </w:tcBorders>
            <w:shd w:val="clear" w:color="auto" w:fill="auto"/>
            <w:vAlign w:val="center"/>
          </w:tcPr>
          <w:p>
            <w:pPr>
              <w:widowControl/>
              <w:numPr>
                <w:ilvl w:val="0"/>
                <w:numId w:val="60"/>
              </w:numPr>
              <w:tabs>
                <w:tab w:val="left" w:pos="397"/>
                <w:tab w:val="clear" w:pos="0"/>
              </w:tabs>
              <w:spacing w:line="240" w:lineRule="auto"/>
              <w:ind w:left="0" w:firstLine="0" w:firstLineChars="0"/>
              <w:jc w:val="center"/>
              <w:textAlignment w:val="center"/>
              <w:rPr>
                <w:rFonts w:ascii="宋体" w:hAnsi="宋体" w:cs="宋体"/>
                <w:color w:val="000000"/>
                <w:kern w:val="0"/>
                <w:sz w:val="24"/>
                <w:szCs w:val="24"/>
                <w:lang w:bidi="ar"/>
              </w:rPr>
            </w:pPr>
          </w:p>
        </w:tc>
        <w:tc>
          <w:tcPr>
            <w:tcW w:w="1734" w:type="pct"/>
            <w:tcBorders>
              <w:top w:val="single" w:color="000000" w:sz="4" w:space="0"/>
              <w:left w:val="single" w:color="000000" w:sz="4" w:space="0"/>
              <w:bottom w:val="single" w:color="000000" w:sz="4" w:space="0"/>
              <w:right w:val="single" w:color="000000" w:sz="4" w:space="0"/>
            </w:tcBorders>
            <w:shd w:val="clear" w:color="auto" w:fill="auto"/>
            <w:vAlign w:val="center"/>
          </w:tcPr>
          <w:p>
            <w:pPr>
              <w:wordWrap w:val="0"/>
              <w:spacing w:line="240" w:lineRule="auto"/>
              <w:ind w:firstLine="0" w:firstLineChars="0"/>
              <w:jc w:val="both"/>
              <w:textAlignment w:val="center"/>
              <w:rPr>
                <w:rFonts w:ascii="宋体" w:hAnsi="宋体" w:cs="宋体"/>
                <w:b/>
                <w:bCs/>
                <w:color w:val="000000"/>
                <w:kern w:val="0"/>
                <w:sz w:val="24"/>
                <w:szCs w:val="24"/>
                <w:lang w:bidi="ar"/>
              </w:rPr>
            </w:pPr>
            <w:r>
              <w:rPr>
                <w:rFonts w:hint="eastAsia" w:ascii="宋体" w:hAnsi="宋体" w:cs="宋体"/>
                <w:b/>
                <w:bCs/>
                <w:color w:val="000000"/>
                <w:kern w:val="0"/>
                <w:sz w:val="24"/>
                <w:szCs w:val="24"/>
                <w:lang w:bidi="ar"/>
              </w:rPr>
              <w:t xml:space="preserve"> 起升高度限位器 </w:t>
            </w:r>
          </w:p>
          <w:p>
            <w:pPr>
              <w:wordWrap w:val="0"/>
              <w:spacing w:line="240" w:lineRule="auto"/>
              <w:ind w:firstLine="0" w:firstLineChars="0"/>
              <w:jc w:val="both"/>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 xml:space="preserve">起升机构均应装设起升高度限位器。用内燃机驱动，中间无电气、液压、气压等传动环节而直接进行机械连接的起升机构，可以配备灯光或声响报警装置，以替代限位开关。 </w:t>
            </w:r>
          </w:p>
          <w:p>
            <w:pPr>
              <w:wordWrap w:val="0"/>
              <w:spacing w:line="240" w:lineRule="auto"/>
              <w:ind w:firstLine="0" w:firstLineChars="0"/>
              <w:jc w:val="both"/>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 xml:space="preserve">当取物装置上升到设计规定的上极限位置时，应能立即切断起升动力源。在此极限位置的上方，还 </w:t>
            </w:r>
          </w:p>
          <w:p>
            <w:pPr>
              <w:wordWrap w:val="0"/>
              <w:spacing w:line="240" w:lineRule="auto"/>
              <w:ind w:firstLine="0" w:firstLineChars="0"/>
              <w:jc w:val="both"/>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 xml:space="preserve">应留有足够的空余高度，以适应上升制动行程的要求。在特殊情况下，如吊运熔融金属，还应装设防止越程冲顶的第二级起升高度限位器，第二级起升高度限位器应分断更高一级的动力源。 </w:t>
            </w:r>
          </w:p>
          <w:p>
            <w:pPr>
              <w:wordWrap w:val="0"/>
              <w:spacing w:line="240" w:lineRule="auto"/>
              <w:ind w:firstLine="0" w:firstLineChars="0"/>
              <w:jc w:val="both"/>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 xml:space="preserve">需要时，还应设下降深度限位器；当取物装置下降到设计规定的下极限位置时，应能立即切断下降 </w:t>
            </w:r>
          </w:p>
          <w:p>
            <w:pPr>
              <w:wordWrap w:val="0"/>
              <w:spacing w:line="240" w:lineRule="auto"/>
              <w:ind w:firstLine="0" w:firstLineChars="0"/>
              <w:jc w:val="both"/>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 xml:space="preserve">动力源。 </w:t>
            </w:r>
          </w:p>
          <w:p>
            <w:pPr>
              <w:wordWrap w:val="0"/>
              <w:spacing w:line="240" w:lineRule="auto"/>
              <w:ind w:firstLine="0" w:firstLineChars="0"/>
              <w:jc w:val="both"/>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上述运动方向的电源切断后，仍可进行相反方向运动（第二级起升高度限位器除外）。</w:t>
            </w: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pPr>
              <w:wordWrap w:val="0"/>
              <w:spacing w:line="240" w:lineRule="auto"/>
              <w:ind w:firstLine="0" w:firstLineChars="0"/>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w:t>
            </w:r>
            <w:r>
              <w:rPr>
                <w:rFonts w:ascii="宋体" w:hAnsi="宋体" w:cs="宋体"/>
                <w:color w:val="000000"/>
                <w:kern w:val="0"/>
                <w:sz w:val="24"/>
                <w:szCs w:val="24"/>
                <w:lang w:bidi="ar"/>
              </w:rPr>
              <w:t>起重机械安全规程 第 1 部分：总则</w:t>
            </w:r>
            <w:r>
              <w:rPr>
                <w:rFonts w:hint="eastAsia" w:ascii="宋体" w:hAnsi="宋体" w:cs="宋体"/>
                <w:color w:val="000000"/>
                <w:kern w:val="0"/>
                <w:sz w:val="24"/>
                <w:szCs w:val="24"/>
                <w:lang w:bidi="ar"/>
              </w:rPr>
              <w:t>》（GB/T 6067.1-2010）</w:t>
            </w:r>
          </w:p>
          <w:p>
            <w:pPr>
              <w:wordWrap w:val="0"/>
              <w:spacing w:line="240" w:lineRule="auto"/>
              <w:ind w:firstLine="0" w:firstLineChars="0"/>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9.2.1</w:t>
            </w:r>
          </w:p>
        </w:tc>
        <w:tc>
          <w:tcPr>
            <w:tcW w:w="137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both"/>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 xml:space="preserve">起重机均按要求设置有起升高度限位器，检验合格。 </w:t>
            </w:r>
          </w:p>
        </w:tc>
        <w:tc>
          <w:tcPr>
            <w:tcW w:w="534" w:type="pct"/>
            <w:tcBorders>
              <w:top w:val="single" w:color="000000" w:sz="4" w:space="0"/>
              <w:left w:val="single" w:color="000000" w:sz="4" w:space="0"/>
              <w:bottom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符合</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1464" w:hRule="atLeast"/>
        </w:trPr>
        <w:tc>
          <w:tcPr>
            <w:tcW w:w="420" w:type="pct"/>
            <w:tcBorders>
              <w:top w:val="single" w:color="000000" w:sz="4" w:space="0"/>
              <w:bottom w:val="single" w:color="000000" w:sz="4" w:space="0"/>
              <w:right w:val="single" w:color="000000" w:sz="4" w:space="0"/>
            </w:tcBorders>
            <w:shd w:val="clear" w:color="auto" w:fill="auto"/>
            <w:vAlign w:val="center"/>
          </w:tcPr>
          <w:p>
            <w:pPr>
              <w:widowControl/>
              <w:numPr>
                <w:ilvl w:val="0"/>
                <w:numId w:val="60"/>
              </w:numPr>
              <w:tabs>
                <w:tab w:val="left" w:pos="397"/>
                <w:tab w:val="clear" w:pos="0"/>
              </w:tabs>
              <w:spacing w:line="240" w:lineRule="auto"/>
              <w:ind w:left="0" w:firstLine="0" w:firstLineChars="0"/>
              <w:jc w:val="center"/>
              <w:textAlignment w:val="center"/>
              <w:rPr>
                <w:rFonts w:ascii="宋体" w:hAnsi="宋体" w:cs="宋体"/>
                <w:color w:val="000000"/>
                <w:kern w:val="0"/>
                <w:sz w:val="24"/>
                <w:szCs w:val="24"/>
                <w:lang w:bidi="ar"/>
              </w:rPr>
            </w:pPr>
          </w:p>
        </w:tc>
        <w:tc>
          <w:tcPr>
            <w:tcW w:w="1734" w:type="pct"/>
            <w:tcBorders>
              <w:top w:val="single" w:color="000000" w:sz="4" w:space="0"/>
              <w:left w:val="single" w:color="000000" w:sz="4" w:space="0"/>
              <w:bottom w:val="single" w:color="000000" w:sz="4" w:space="0"/>
              <w:right w:val="single" w:color="000000" w:sz="4" w:space="0"/>
            </w:tcBorders>
            <w:shd w:val="clear" w:color="auto" w:fill="auto"/>
            <w:vAlign w:val="center"/>
          </w:tcPr>
          <w:p>
            <w:pPr>
              <w:wordWrap w:val="0"/>
              <w:spacing w:line="240" w:lineRule="auto"/>
              <w:ind w:firstLine="0" w:firstLineChars="0"/>
              <w:jc w:val="both"/>
              <w:textAlignment w:val="center"/>
              <w:rPr>
                <w:rFonts w:ascii="宋体" w:hAnsi="宋体" w:cs="宋体"/>
                <w:color w:val="000000"/>
                <w:kern w:val="0"/>
                <w:sz w:val="24"/>
                <w:szCs w:val="24"/>
                <w:lang w:bidi="ar"/>
              </w:rPr>
            </w:pPr>
            <w:r>
              <w:rPr>
                <w:rFonts w:hint="eastAsia" w:ascii="宋体" w:hAnsi="宋体" w:cs="宋体"/>
                <w:b/>
                <w:bCs/>
                <w:color w:val="000000"/>
                <w:kern w:val="0"/>
                <w:sz w:val="24"/>
                <w:szCs w:val="24"/>
                <w:lang w:bidi="ar"/>
              </w:rPr>
              <w:t>运行行程限位器</w:t>
            </w:r>
            <w:r>
              <w:rPr>
                <w:rFonts w:hint="eastAsia" w:ascii="宋体" w:hAnsi="宋体" w:cs="宋体"/>
                <w:color w:val="000000"/>
                <w:kern w:val="0"/>
                <w:sz w:val="24"/>
                <w:szCs w:val="24"/>
                <w:lang w:bidi="ar"/>
              </w:rPr>
              <w:t xml:space="preserve"> </w:t>
            </w:r>
          </w:p>
          <w:p>
            <w:pPr>
              <w:wordWrap w:val="0"/>
              <w:spacing w:line="240" w:lineRule="auto"/>
              <w:ind w:firstLine="0" w:firstLineChars="0"/>
              <w:jc w:val="both"/>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 xml:space="preserve">起重机和起重小车（悬挂型电动葫芦运行小车除外），应在每个运行方向装设运行行程限位器，在达到设计规定的极限位置时自动切断前进方向的动力源。在运行速度大于 </w:t>
            </w:r>
            <w:r>
              <w:rPr>
                <w:rFonts w:ascii="宋体" w:hAnsi="宋体" w:cs="宋体"/>
                <w:color w:val="000000"/>
                <w:kern w:val="0"/>
                <w:sz w:val="24"/>
                <w:szCs w:val="24"/>
                <w:lang w:bidi="ar"/>
              </w:rPr>
              <w:t>100m/min</w:t>
            </w:r>
            <w:r>
              <w:rPr>
                <w:rFonts w:hint="eastAsia" w:ascii="宋体" w:hAnsi="宋体" w:cs="宋体"/>
                <w:color w:val="000000"/>
                <w:kern w:val="0"/>
                <w:sz w:val="24"/>
                <w:szCs w:val="24"/>
                <w:lang w:bidi="ar"/>
              </w:rPr>
              <w:t xml:space="preserve">，或停车定位要求较严的情况下，宜根据需要装设两级运行行程限位器，第一级发出减速信号并按规定要求减速，第二级应能自动断电并停车。 </w:t>
            </w:r>
          </w:p>
          <w:p>
            <w:pPr>
              <w:wordWrap w:val="0"/>
              <w:spacing w:line="240" w:lineRule="auto"/>
              <w:ind w:firstLine="0" w:firstLineChars="0"/>
              <w:jc w:val="both"/>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如果在正常作业时起重机和起重小车经常到达运行的极限位置，司机室的最大减速度不应超过</w:t>
            </w:r>
            <w:r>
              <w:rPr>
                <w:rFonts w:ascii="宋体" w:hAnsi="宋体" w:cs="宋体"/>
                <w:color w:val="000000"/>
                <w:kern w:val="0"/>
                <w:sz w:val="24"/>
                <w:szCs w:val="24"/>
                <w:lang w:bidi="ar"/>
              </w:rPr>
              <w:t>2.5m/s2</w:t>
            </w:r>
            <w:r>
              <w:rPr>
                <w:rFonts w:hint="eastAsia" w:ascii="宋体" w:hAnsi="宋体" w:cs="宋体"/>
                <w:color w:val="000000"/>
                <w:kern w:val="0"/>
                <w:sz w:val="24"/>
                <w:szCs w:val="24"/>
                <w:lang w:bidi="ar"/>
              </w:rPr>
              <w:t xml:space="preserve">。 </w:t>
            </w:r>
          </w:p>
          <w:p>
            <w:pPr>
              <w:wordWrap w:val="0"/>
              <w:spacing w:line="240" w:lineRule="auto"/>
              <w:ind w:firstLine="0" w:firstLineChars="0"/>
              <w:jc w:val="both"/>
              <w:textAlignment w:val="center"/>
              <w:rPr>
                <w:rFonts w:ascii="宋体" w:hAnsi="宋体" w:cs="宋体"/>
                <w:color w:val="000000"/>
                <w:kern w:val="0"/>
                <w:sz w:val="24"/>
                <w:szCs w:val="24"/>
                <w:lang w:bidi="ar"/>
              </w:rPr>
            </w:pP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pPr>
              <w:wordWrap w:val="0"/>
              <w:spacing w:line="240" w:lineRule="auto"/>
              <w:ind w:firstLine="0" w:firstLineChars="0"/>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w:t>
            </w:r>
            <w:r>
              <w:rPr>
                <w:rFonts w:ascii="宋体" w:hAnsi="宋体" w:cs="宋体"/>
                <w:color w:val="000000"/>
                <w:kern w:val="0"/>
                <w:sz w:val="24"/>
                <w:szCs w:val="24"/>
                <w:lang w:bidi="ar"/>
              </w:rPr>
              <w:t>起重机械安全规程 第 1 部分：总则</w:t>
            </w:r>
            <w:r>
              <w:rPr>
                <w:rFonts w:hint="eastAsia" w:ascii="宋体" w:hAnsi="宋体" w:cs="宋体"/>
                <w:color w:val="000000"/>
                <w:kern w:val="0"/>
                <w:sz w:val="24"/>
                <w:szCs w:val="24"/>
                <w:lang w:bidi="ar"/>
              </w:rPr>
              <w:t>》（GB/T 6067.1-2010）</w:t>
            </w:r>
          </w:p>
          <w:p>
            <w:pPr>
              <w:wordWrap w:val="0"/>
              <w:spacing w:line="240" w:lineRule="auto"/>
              <w:ind w:firstLine="0" w:firstLineChars="0"/>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9.2.2</w:t>
            </w:r>
          </w:p>
        </w:tc>
        <w:tc>
          <w:tcPr>
            <w:tcW w:w="137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both"/>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 xml:space="preserve">起重机按要求设置有运行行程限位器，检验合格。 </w:t>
            </w:r>
          </w:p>
        </w:tc>
        <w:tc>
          <w:tcPr>
            <w:tcW w:w="534" w:type="pct"/>
            <w:tcBorders>
              <w:top w:val="single" w:color="000000" w:sz="4" w:space="0"/>
              <w:left w:val="single" w:color="000000" w:sz="4" w:space="0"/>
              <w:bottom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符合</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420" w:type="pct"/>
            <w:tcBorders>
              <w:top w:val="single" w:color="000000" w:sz="4" w:space="0"/>
              <w:bottom w:val="single" w:color="000000" w:sz="4" w:space="0"/>
              <w:right w:val="single" w:color="000000" w:sz="4" w:space="0"/>
            </w:tcBorders>
            <w:shd w:val="clear" w:color="auto" w:fill="auto"/>
            <w:vAlign w:val="center"/>
          </w:tcPr>
          <w:p>
            <w:pPr>
              <w:widowControl/>
              <w:numPr>
                <w:ilvl w:val="0"/>
                <w:numId w:val="60"/>
              </w:numPr>
              <w:tabs>
                <w:tab w:val="left" w:pos="397"/>
                <w:tab w:val="clear" w:pos="0"/>
              </w:tabs>
              <w:spacing w:line="240" w:lineRule="auto"/>
              <w:ind w:left="0" w:firstLine="0" w:firstLineChars="0"/>
              <w:jc w:val="center"/>
              <w:textAlignment w:val="center"/>
              <w:rPr>
                <w:rFonts w:ascii="宋体" w:hAnsi="宋体" w:cs="宋体"/>
                <w:color w:val="000000"/>
                <w:kern w:val="0"/>
                <w:sz w:val="24"/>
                <w:szCs w:val="24"/>
                <w:lang w:bidi="ar"/>
              </w:rPr>
            </w:pPr>
          </w:p>
        </w:tc>
        <w:tc>
          <w:tcPr>
            <w:tcW w:w="1734" w:type="pct"/>
            <w:tcBorders>
              <w:top w:val="single" w:color="000000" w:sz="4" w:space="0"/>
              <w:left w:val="single" w:color="000000" w:sz="4" w:space="0"/>
              <w:bottom w:val="single" w:color="000000" w:sz="4" w:space="0"/>
              <w:right w:val="single" w:color="000000" w:sz="4" w:space="0"/>
            </w:tcBorders>
            <w:shd w:val="clear" w:color="auto" w:fill="auto"/>
            <w:vAlign w:val="center"/>
          </w:tcPr>
          <w:p>
            <w:pPr>
              <w:wordWrap w:val="0"/>
              <w:spacing w:line="240" w:lineRule="auto"/>
              <w:ind w:firstLine="0" w:firstLineChars="0"/>
              <w:jc w:val="both"/>
              <w:textAlignment w:val="center"/>
              <w:rPr>
                <w:rFonts w:ascii="宋体" w:hAnsi="宋体" w:cs="宋体"/>
                <w:b/>
                <w:bCs/>
                <w:color w:val="000000"/>
                <w:kern w:val="0"/>
                <w:sz w:val="24"/>
                <w:szCs w:val="24"/>
                <w:lang w:bidi="ar"/>
              </w:rPr>
            </w:pPr>
            <w:r>
              <w:rPr>
                <w:rFonts w:hint="eastAsia" w:ascii="宋体" w:hAnsi="宋体" w:cs="宋体"/>
                <w:b/>
                <w:bCs/>
                <w:color w:val="000000"/>
                <w:kern w:val="0"/>
                <w:sz w:val="24"/>
                <w:szCs w:val="24"/>
                <w:lang w:bidi="ar"/>
              </w:rPr>
              <w:t xml:space="preserve">防碰撞装置 </w:t>
            </w:r>
          </w:p>
          <w:p>
            <w:pPr>
              <w:wordWrap w:val="0"/>
              <w:spacing w:line="240" w:lineRule="auto"/>
              <w:ind w:firstLine="0" w:firstLineChars="0"/>
              <w:jc w:val="both"/>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 xml:space="preserve">当两台或两台以上的起重机械或起重小车运行在同一轨道上时，应装设防碰撞装置。在发生碰撞的 </w:t>
            </w:r>
          </w:p>
          <w:p>
            <w:pPr>
              <w:wordWrap w:val="0"/>
              <w:spacing w:line="240" w:lineRule="auto"/>
              <w:ind w:firstLine="0" w:firstLineChars="0"/>
              <w:jc w:val="both"/>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任何情况下，司机室内的减速度不应超过5m/s。</w:t>
            </w:r>
          </w:p>
          <w:p>
            <w:pPr>
              <w:wordWrap w:val="0"/>
              <w:spacing w:line="240" w:lineRule="auto"/>
              <w:ind w:firstLine="0" w:firstLineChars="0"/>
              <w:jc w:val="both"/>
              <w:textAlignment w:val="center"/>
              <w:rPr>
                <w:rFonts w:ascii="宋体" w:hAnsi="宋体" w:cs="宋体"/>
                <w:color w:val="000000"/>
                <w:kern w:val="0"/>
                <w:sz w:val="24"/>
                <w:szCs w:val="24"/>
                <w:lang w:bidi="ar"/>
              </w:rPr>
            </w:pP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pPr>
              <w:wordWrap w:val="0"/>
              <w:spacing w:line="240" w:lineRule="auto"/>
              <w:ind w:firstLine="0" w:firstLineChars="0"/>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w:t>
            </w:r>
            <w:r>
              <w:rPr>
                <w:rFonts w:ascii="宋体" w:hAnsi="宋体" w:cs="宋体"/>
                <w:color w:val="000000"/>
                <w:kern w:val="0"/>
                <w:sz w:val="24"/>
                <w:szCs w:val="24"/>
                <w:lang w:bidi="ar"/>
              </w:rPr>
              <w:t>起重机械安全规程 第 1 部分：总则</w:t>
            </w:r>
            <w:r>
              <w:rPr>
                <w:rFonts w:hint="eastAsia" w:ascii="宋体" w:hAnsi="宋体" w:cs="宋体"/>
                <w:color w:val="000000"/>
                <w:kern w:val="0"/>
                <w:sz w:val="24"/>
                <w:szCs w:val="24"/>
                <w:lang w:bidi="ar"/>
              </w:rPr>
              <w:t>》（GB/T 6067.1-2010）</w:t>
            </w:r>
          </w:p>
          <w:p>
            <w:pPr>
              <w:wordWrap w:val="0"/>
              <w:spacing w:line="240" w:lineRule="auto"/>
              <w:ind w:firstLine="0" w:firstLineChars="0"/>
              <w:jc w:val="both"/>
              <w:textAlignment w:val="center"/>
              <w:rPr>
                <w:rFonts w:ascii="宋体" w:hAnsi="宋体" w:cs="宋体"/>
                <w:sz w:val="24"/>
                <w:szCs w:val="24"/>
              </w:rPr>
            </w:pPr>
            <w:r>
              <w:rPr>
                <w:rFonts w:hint="eastAsia" w:ascii="宋体" w:hAnsi="宋体" w:cs="宋体"/>
                <w:color w:val="000000"/>
                <w:kern w:val="0"/>
                <w:sz w:val="24"/>
                <w:szCs w:val="24"/>
                <w:lang w:bidi="ar"/>
              </w:rPr>
              <w:t xml:space="preserve">9.2.9 </w:t>
            </w:r>
          </w:p>
        </w:tc>
        <w:tc>
          <w:tcPr>
            <w:tcW w:w="137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jc w:val="both"/>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起重机按要求设置防碰撞装置，检验合格。</w:t>
            </w:r>
          </w:p>
        </w:tc>
        <w:tc>
          <w:tcPr>
            <w:tcW w:w="534" w:type="pct"/>
            <w:tcBorders>
              <w:top w:val="single" w:color="000000" w:sz="4" w:space="0"/>
              <w:left w:val="single" w:color="000000" w:sz="4" w:space="0"/>
              <w:bottom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符合</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420" w:type="pct"/>
            <w:tcBorders>
              <w:top w:val="single" w:color="000000" w:sz="4" w:space="0"/>
              <w:bottom w:val="single" w:color="000000" w:sz="4" w:space="0"/>
              <w:right w:val="single" w:color="000000" w:sz="4" w:space="0"/>
            </w:tcBorders>
            <w:shd w:val="clear" w:color="auto" w:fill="auto"/>
            <w:vAlign w:val="center"/>
          </w:tcPr>
          <w:p>
            <w:pPr>
              <w:widowControl/>
              <w:numPr>
                <w:ilvl w:val="0"/>
                <w:numId w:val="60"/>
              </w:numPr>
              <w:tabs>
                <w:tab w:val="left" w:pos="397"/>
                <w:tab w:val="clear" w:pos="0"/>
              </w:tabs>
              <w:spacing w:line="240" w:lineRule="auto"/>
              <w:ind w:left="0" w:firstLine="0" w:firstLineChars="0"/>
              <w:jc w:val="center"/>
              <w:textAlignment w:val="center"/>
              <w:rPr>
                <w:rFonts w:ascii="宋体" w:hAnsi="宋体" w:cs="宋体"/>
                <w:color w:val="000000"/>
                <w:kern w:val="0"/>
                <w:sz w:val="24"/>
                <w:szCs w:val="24"/>
                <w:lang w:bidi="ar"/>
              </w:rPr>
            </w:pPr>
          </w:p>
        </w:tc>
        <w:tc>
          <w:tcPr>
            <w:tcW w:w="1734" w:type="pct"/>
            <w:tcBorders>
              <w:top w:val="single" w:color="000000" w:sz="4" w:space="0"/>
              <w:left w:val="single" w:color="000000" w:sz="4" w:space="0"/>
              <w:bottom w:val="single" w:color="000000" w:sz="4" w:space="0"/>
              <w:right w:val="single" w:color="000000" w:sz="4" w:space="0"/>
            </w:tcBorders>
            <w:shd w:val="clear" w:color="auto" w:fill="auto"/>
            <w:vAlign w:val="center"/>
          </w:tcPr>
          <w:p>
            <w:pPr>
              <w:wordWrap w:val="0"/>
              <w:spacing w:line="240" w:lineRule="auto"/>
              <w:ind w:firstLine="0" w:firstLineChars="0"/>
              <w:textAlignment w:val="center"/>
              <w:rPr>
                <w:rFonts w:ascii="宋体" w:hAnsi="宋体" w:cs="宋体"/>
                <w:b/>
                <w:bCs/>
                <w:color w:val="000000"/>
                <w:kern w:val="0"/>
                <w:sz w:val="24"/>
                <w:szCs w:val="24"/>
                <w:lang w:bidi="ar"/>
              </w:rPr>
            </w:pPr>
            <w:r>
              <w:rPr>
                <w:rFonts w:ascii="宋体" w:hAnsi="宋体" w:cs="宋体"/>
                <w:b/>
                <w:bCs/>
                <w:color w:val="000000"/>
                <w:kern w:val="0"/>
                <w:sz w:val="24"/>
                <w:szCs w:val="24"/>
                <w:lang w:bidi="ar"/>
              </w:rPr>
              <w:t xml:space="preserve">缓冲器及端部止挡 </w:t>
            </w:r>
          </w:p>
          <w:p>
            <w:pPr>
              <w:wordWrap w:val="0"/>
              <w:spacing w:line="240" w:lineRule="auto"/>
              <w:ind w:firstLine="0" w:firstLineChars="0"/>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 xml:space="preserve">在轨道上运行的起重机的运行机构、起重小车的运行机构及起重机的变幅机构等均应装设缓冲器或 </w:t>
            </w:r>
          </w:p>
          <w:p>
            <w:pPr>
              <w:wordWrap w:val="0"/>
              <w:spacing w:line="240" w:lineRule="auto"/>
              <w:ind w:firstLine="0" w:firstLineChars="0"/>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 xml:space="preserve">缓冲装置。缓冲器或缓冲装置可以安装在起重机上或轨道端部止挡装置上。 </w:t>
            </w:r>
          </w:p>
          <w:p>
            <w:pPr>
              <w:wordWrap w:val="0"/>
              <w:spacing w:line="240" w:lineRule="auto"/>
              <w:ind w:firstLine="0" w:firstLineChars="0"/>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 xml:space="preserve">轨道端部止挡装置应牢固可靠，防止起重机脱轨。 </w:t>
            </w:r>
          </w:p>
          <w:p>
            <w:pPr>
              <w:wordWrap w:val="0"/>
              <w:spacing w:line="240" w:lineRule="auto"/>
              <w:ind w:firstLine="0" w:firstLineChars="0"/>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 xml:space="preserve">有螺杆和齿条等的变幅驱动机构，还应在变幅齿条和变幅螺杆的末端装设端部止挡防脱装置，以防止 </w:t>
            </w:r>
          </w:p>
          <w:p>
            <w:pPr>
              <w:wordWrap w:val="0"/>
              <w:spacing w:line="240" w:lineRule="auto"/>
              <w:ind w:firstLine="0" w:firstLineChars="0"/>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臂架在低位置发生坠落。</w:t>
            </w:r>
          </w:p>
          <w:p>
            <w:pPr>
              <w:wordWrap w:val="0"/>
              <w:spacing w:line="240" w:lineRule="auto"/>
              <w:ind w:firstLine="0" w:firstLineChars="0"/>
              <w:textAlignment w:val="center"/>
              <w:rPr>
                <w:rFonts w:ascii="宋体" w:hAnsi="宋体" w:cs="宋体"/>
                <w:color w:val="000000"/>
                <w:kern w:val="0"/>
                <w:sz w:val="24"/>
                <w:szCs w:val="24"/>
                <w:lang w:bidi="ar"/>
              </w:rPr>
            </w:pP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pPr>
              <w:wordWrap w:val="0"/>
              <w:spacing w:line="240" w:lineRule="auto"/>
              <w:ind w:firstLine="0" w:firstLineChars="0"/>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w:t>
            </w:r>
            <w:r>
              <w:rPr>
                <w:rFonts w:ascii="宋体" w:hAnsi="宋体" w:cs="宋体"/>
                <w:color w:val="000000"/>
                <w:kern w:val="0"/>
                <w:sz w:val="24"/>
                <w:szCs w:val="24"/>
                <w:lang w:bidi="ar"/>
              </w:rPr>
              <w:t>起重机械安全规程 第 1 部分：总则</w:t>
            </w:r>
            <w:r>
              <w:rPr>
                <w:rFonts w:hint="eastAsia" w:ascii="宋体" w:hAnsi="宋体" w:cs="宋体"/>
                <w:color w:val="000000"/>
                <w:kern w:val="0"/>
                <w:sz w:val="24"/>
                <w:szCs w:val="24"/>
                <w:lang w:bidi="ar"/>
              </w:rPr>
              <w:t>》（GB/T 6067.1-2010）</w:t>
            </w:r>
          </w:p>
          <w:p>
            <w:pPr>
              <w:wordWrap w:val="0"/>
              <w:spacing w:line="240" w:lineRule="auto"/>
              <w:ind w:firstLine="0" w:firstLineChars="0"/>
              <w:jc w:val="center"/>
              <w:textAlignment w:val="center"/>
              <w:rPr>
                <w:rFonts w:ascii="宋体" w:hAnsi="宋体" w:cs="宋体"/>
                <w:color w:val="000000"/>
                <w:kern w:val="0"/>
                <w:sz w:val="24"/>
                <w:szCs w:val="24"/>
                <w:lang w:bidi="ar"/>
              </w:rPr>
            </w:pPr>
            <w:r>
              <w:rPr>
                <w:rFonts w:ascii="宋体" w:hAnsi="宋体" w:cs="宋体"/>
                <w:color w:val="000000"/>
                <w:kern w:val="0"/>
                <w:sz w:val="24"/>
                <w:szCs w:val="24"/>
                <w:lang w:bidi="ar"/>
              </w:rPr>
              <w:t>9.2.10</w:t>
            </w:r>
          </w:p>
        </w:tc>
        <w:tc>
          <w:tcPr>
            <w:tcW w:w="137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起重机按要求设置</w:t>
            </w:r>
            <w:r>
              <w:rPr>
                <w:rFonts w:ascii="宋体" w:hAnsi="宋体" w:cs="宋体"/>
                <w:color w:val="000000"/>
                <w:kern w:val="0"/>
                <w:sz w:val="24"/>
                <w:szCs w:val="24"/>
                <w:lang w:bidi="ar"/>
              </w:rPr>
              <w:t>缓冲器及端部止挡</w:t>
            </w:r>
            <w:r>
              <w:rPr>
                <w:rFonts w:hint="eastAsia" w:ascii="宋体" w:hAnsi="宋体" w:cs="宋体"/>
                <w:color w:val="000000"/>
                <w:kern w:val="0"/>
                <w:sz w:val="24"/>
                <w:szCs w:val="24"/>
                <w:lang w:bidi="ar"/>
              </w:rPr>
              <w:t>，检验合格。</w:t>
            </w:r>
          </w:p>
        </w:tc>
        <w:tc>
          <w:tcPr>
            <w:tcW w:w="534" w:type="pct"/>
            <w:tcBorders>
              <w:top w:val="single" w:color="000000" w:sz="4" w:space="0"/>
              <w:left w:val="single" w:color="000000" w:sz="4" w:space="0"/>
              <w:bottom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符合</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420" w:type="pct"/>
            <w:tcBorders>
              <w:top w:val="single" w:color="000000" w:sz="4" w:space="0"/>
              <w:bottom w:val="single" w:color="000000" w:sz="4" w:space="0"/>
              <w:right w:val="single" w:color="000000" w:sz="4" w:space="0"/>
            </w:tcBorders>
            <w:shd w:val="clear" w:color="auto" w:fill="auto"/>
            <w:vAlign w:val="center"/>
          </w:tcPr>
          <w:p>
            <w:pPr>
              <w:widowControl/>
              <w:numPr>
                <w:ilvl w:val="0"/>
                <w:numId w:val="60"/>
              </w:numPr>
              <w:tabs>
                <w:tab w:val="left" w:pos="397"/>
                <w:tab w:val="clear" w:pos="0"/>
              </w:tabs>
              <w:spacing w:line="240" w:lineRule="auto"/>
              <w:ind w:left="0" w:firstLine="0" w:firstLineChars="0"/>
              <w:jc w:val="center"/>
              <w:textAlignment w:val="center"/>
              <w:rPr>
                <w:rFonts w:ascii="宋体" w:hAnsi="宋体" w:cs="宋体"/>
                <w:color w:val="000000"/>
                <w:kern w:val="0"/>
                <w:sz w:val="24"/>
                <w:szCs w:val="24"/>
                <w:lang w:bidi="ar"/>
              </w:rPr>
            </w:pPr>
          </w:p>
        </w:tc>
        <w:tc>
          <w:tcPr>
            <w:tcW w:w="1734" w:type="pct"/>
            <w:tcBorders>
              <w:top w:val="single" w:color="000000" w:sz="4" w:space="0"/>
              <w:left w:val="single" w:color="000000" w:sz="4" w:space="0"/>
              <w:bottom w:val="single" w:color="000000" w:sz="4" w:space="0"/>
              <w:right w:val="single" w:color="000000" w:sz="4" w:space="0"/>
            </w:tcBorders>
            <w:shd w:val="clear" w:color="auto" w:fill="auto"/>
            <w:vAlign w:val="center"/>
          </w:tcPr>
          <w:p>
            <w:pPr>
              <w:wordWrap w:val="0"/>
              <w:spacing w:line="240" w:lineRule="auto"/>
              <w:ind w:firstLine="0" w:firstLineChars="0"/>
              <w:textAlignment w:val="center"/>
              <w:rPr>
                <w:rFonts w:ascii="宋体" w:hAnsi="宋体" w:cs="宋体"/>
                <w:b/>
                <w:bCs/>
                <w:color w:val="000000"/>
                <w:kern w:val="0"/>
                <w:sz w:val="24"/>
                <w:szCs w:val="24"/>
                <w:lang w:bidi="ar"/>
              </w:rPr>
            </w:pPr>
            <w:r>
              <w:rPr>
                <w:rFonts w:hint="eastAsia" w:ascii="宋体" w:hAnsi="宋体" w:cs="宋体"/>
                <w:b/>
                <w:bCs/>
                <w:color w:val="000000"/>
                <w:kern w:val="0"/>
                <w:sz w:val="24"/>
                <w:szCs w:val="24"/>
                <w:lang w:bidi="ar"/>
              </w:rPr>
              <w:t xml:space="preserve">起重量限制器 </w:t>
            </w:r>
          </w:p>
          <w:p>
            <w:pPr>
              <w:wordWrap w:val="0"/>
              <w:spacing w:line="240" w:lineRule="auto"/>
              <w:ind w:firstLine="0" w:firstLineChars="0"/>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 xml:space="preserve">对于动力驱动的1t及以上无倾覆危险的起重机械应装设起重量限制器。对于有倾覆危险的且在一定 </w:t>
            </w:r>
          </w:p>
          <w:p>
            <w:pPr>
              <w:wordWrap w:val="0"/>
              <w:spacing w:line="240" w:lineRule="auto"/>
              <w:ind w:firstLine="0" w:firstLineChars="0"/>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的幅度变化范围内额定起重量不变化的起重机械也应装设起重量限制器。</w:t>
            </w:r>
          </w:p>
          <w:p>
            <w:pPr>
              <w:wordWrap w:val="0"/>
              <w:spacing w:line="240" w:lineRule="auto"/>
              <w:ind w:firstLine="0" w:firstLineChars="0"/>
              <w:textAlignment w:val="center"/>
              <w:rPr>
                <w:rFonts w:ascii="宋体" w:hAnsi="宋体" w:cs="宋体"/>
                <w:color w:val="000000"/>
                <w:kern w:val="0"/>
                <w:sz w:val="24"/>
                <w:szCs w:val="24"/>
                <w:lang w:bidi="ar"/>
              </w:rPr>
            </w:pP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pPr>
              <w:wordWrap w:val="0"/>
              <w:spacing w:line="240" w:lineRule="auto"/>
              <w:ind w:firstLine="0" w:firstLineChars="0"/>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w:t>
            </w:r>
            <w:r>
              <w:rPr>
                <w:rFonts w:ascii="宋体" w:hAnsi="宋体" w:cs="宋体"/>
                <w:color w:val="000000"/>
                <w:kern w:val="0"/>
                <w:sz w:val="24"/>
                <w:szCs w:val="24"/>
                <w:lang w:bidi="ar"/>
              </w:rPr>
              <w:t>起重机械安全规程 第 1 部分：总则</w:t>
            </w:r>
            <w:r>
              <w:rPr>
                <w:rFonts w:hint="eastAsia" w:ascii="宋体" w:hAnsi="宋体" w:cs="宋体"/>
                <w:color w:val="000000"/>
                <w:kern w:val="0"/>
                <w:sz w:val="24"/>
                <w:szCs w:val="24"/>
                <w:lang w:bidi="ar"/>
              </w:rPr>
              <w:t>》（GB/T 6067.1-2010）</w:t>
            </w:r>
          </w:p>
          <w:p>
            <w:pPr>
              <w:wordWrap w:val="0"/>
              <w:spacing w:line="240" w:lineRule="auto"/>
              <w:ind w:firstLine="0" w:firstLineChars="0"/>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 xml:space="preserve">9.3.1 </w:t>
            </w:r>
          </w:p>
        </w:tc>
        <w:tc>
          <w:tcPr>
            <w:tcW w:w="137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起重机按要求设置</w:t>
            </w:r>
            <w:r>
              <w:rPr>
                <w:rFonts w:ascii="宋体" w:hAnsi="宋体" w:cs="宋体"/>
                <w:color w:val="000000"/>
                <w:kern w:val="0"/>
                <w:sz w:val="24"/>
                <w:szCs w:val="24"/>
                <w:lang w:bidi="ar"/>
              </w:rPr>
              <w:t>缓</w:t>
            </w:r>
            <w:r>
              <w:rPr>
                <w:rFonts w:hint="eastAsia" w:ascii="宋体" w:hAnsi="宋体" w:cs="宋体"/>
                <w:color w:val="000000"/>
                <w:kern w:val="0"/>
                <w:sz w:val="24"/>
                <w:szCs w:val="24"/>
                <w:lang w:bidi="ar"/>
              </w:rPr>
              <w:t>起重量限制器，检验合格。</w:t>
            </w:r>
          </w:p>
        </w:tc>
        <w:tc>
          <w:tcPr>
            <w:tcW w:w="534" w:type="pct"/>
            <w:tcBorders>
              <w:top w:val="single" w:color="000000" w:sz="4" w:space="0"/>
              <w:left w:val="single" w:color="000000" w:sz="4" w:space="0"/>
              <w:bottom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符合</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1070" w:hRule="atLeast"/>
        </w:trPr>
        <w:tc>
          <w:tcPr>
            <w:tcW w:w="420" w:type="pct"/>
            <w:tcBorders>
              <w:top w:val="single" w:color="000000" w:sz="4" w:space="0"/>
              <w:bottom w:val="single" w:color="000000" w:sz="4" w:space="0"/>
              <w:right w:val="single" w:color="000000" w:sz="4" w:space="0"/>
            </w:tcBorders>
            <w:shd w:val="clear" w:color="auto" w:fill="auto"/>
            <w:vAlign w:val="center"/>
          </w:tcPr>
          <w:p>
            <w:pPr>
              <w:widowControl/>
              <w:numPr>
                <w:ilvl w:val="0"/>
                <w:numId w:val="60"/>
              </w:numPr>
              <w:tabs>
                <w:tab w:val="left" w:pos="397"/>
                <w:tab w:val="clear" w:pos="0"/>
              </w:tabs>
              <w:spacing w:line="240" w:lineRule="auto"/>
              <w:ind w:left="0" w:firstLine="0" w:firstLineChars="0"/>
              <w:jc w:val="center"/>
              <w:textAlignment w:val="center"/>
              <w:rPr>
                <w:rFonts w:ascii="宋体" w:hAnsi="宋体" w:cs="宋体"/>
                <w:color w:val="000000"/>
                <w:kern w:val="0"/>
                <w:sz w:val="24"/>
                <w:szCs w:val="24"/>
                <w:lang w:bidi="ar"/>
              </w:rPr>
            </w:pPr>
          </w:p>
        </w:tc>
        <w:tc>
          <w:tcPr>
            <w:tcW w:w="1734" w:type="pct"/>
            <w:tcBorders>
              <w:top w:val="single" w:color="000000" w:sz="4" w:space="0"/>
              <w:left w:val="single" w:color="000000" w:sz="4" w:space="0"/>
              <w:bottom w:val="single" w:color="000000" w:sz="4" w:space="0"/>
              <w:right w:val="single" w:color="000000" w:sz="4" w:space="0"/>
            </w:tcBorders>
            <w:shd w:val="clear" w:color="auto" w:fill="auto"/>
            <w:vAlign w:val="center"/>
          </w:tcPr>
          <w:p>
            <w:pPr>
              <w:wordWrap w:val="0"/>
              <w:spacing w:line="240" w:lineRule="auto"/>
              <w:ind w:firstLine="0" w:firstLineChars="0"/>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 xml:space="preserve"> 超压泄放装置的装设要求</w:t>
            </w:r>
          </w:p>
          <w:p>
            <w:pPr>
              <w:wordWrap w:val="0"/>
              <w:spacing w:line="240" w:lineRule="auto"/>
              <w:ind w:firstLine="0" w:firstLineChars="0"/>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(1)本规程适用范围内的压力容器，应当根据设计要求装设超压泄放装置，压力源来自压力容器外部，并且得到可靠控制时，超压泄放装置可以不直接安装在压力容器上；</w:t>
            </w:r>
          </w:p>
          <w:p>
            <w:pPr>
              <w:wordWrap w:val="0"/>
              <w:spacing w:line="240" w:lineRule="auto"/>
              <w:ind w:firstLine="0" w:firstLineChars="0"/>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(4)压力容器设计压力低于压力源压力时，在通向压力容器进口的管道上应当装设减压阀，如因介质条件减压阀无法保证可靠工作时，可用调节阀代替减压阀，在减压阀或者调节阀的低压侧，应当装设安全阀和压力表；</w:t>
            </w:r>
          </w:p>
          <w:p>
            <w:pPr>
              <w:wordWrap w:val="0"/>
              <w:spacing w:line="240" w:lineRule="auto"/>
              <w:ind w:firstLine="0" w:firstLineChars="0"/>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(5)使用单位应当保证压力容器使用前已经按照设计要求装设了超压泄放装置。</w:t>
            </w: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pPr>
              <w:wordWrap w:val="0"/>
              <w:spacing w:line="240" w:lineRule="auto"/>
              <w:ind w:firstLine="0" w:firstLineChars="0"/>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w:t>
            </w:r>
            <w:r>
              <w:rPr>
                <w:rFonts w:ascii="宋体" w:hAnsi="宋体" w:cs="宋体"/>
                <w:color w:val="000000"/>
                <w:kern w:val="0"/>
                <w:sz w:val="24"/>
                <w:szCs w:val="24"/>
                <w:lang w:bidi="ar"/>
              </w:rPr>
              <w:t>固定式压力容器安全技术监察规程</w:t>
            </w:r>
            <w:r>
              <w:rPr>
                <w:rFonts w:hint="eastAsia" w:ascii="宋体" w:hAnsi="宋体" w:cs="宋体"/>
                <w:color w:val="000000"/>
                <w:kern w:val="0"/>
                <w:sz w:val="24"/>
                <w:szCs w:val="24"/>
                <w:lang w:bidi="ar"/>
              </w:rPr>
              <w:t>》(TSG 21-2016/XG1-2020)9.1.2</w:t>
            </w:r>
          </w:p>
          <w:p>
            <w:pPr>
              <w:wordWrap w:val="0"/>
              <w:spacing w:line="240" w:lineRule="auto"/>
              <w:ind w:firstLine="0" w:firstLineChars="0"/>
              <w:textAlignment w:val="center"/>
              <w:rPr>
                <w:rFonts w:ascii="宋体" w:hAnsi="宋体" w:cs="宋体"/>
                <w:color w:val="000000"/>
                <w:kern w:val="0"/>
                <w:sz w:val="24"/>
                <w:szCs w:val="24"/>
                <w:lang w:bidi="ar"/>
              </w:rPr>
            </w:pPr>
          </w:p>
          <w:p>
            <w:pPr>
              <w:wordWrap w:val="0"/>
              <w:spacing w:line="240" w:lineRule="auto"/>
              <w:ind w:firstLine="0" w:firstLineChars="0"/>
              <w:textAlignment w:val="center"/>
              <w:rPr>
                <w:rFonts w:ascii="宋体" w:hAnsi="宋体" w:cs="宋体"/>
                <w:color w:val="000000"/>
                <w:kern w:val="0"/>
                <w:sz w:val="24"/>
                <w:szCs w:val="24"/>
                <w:lang w:bidi="ar"/>
              </w:rPr>
            </w:pPr>
          </w:p>
        </w:tc>
        <w:tc>
          <w:tcPr>
            <w:tcW w:w="137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压力容器均按要求设置有安全阀、压力表。</w:t>
            </w:r>
          </w:p>
        </w:tc>
        <w:tc>
          <w:tcPr>
            <w:tcW w:w="534" w:type="pct"/>
            <w:tcBorders>
              <w:top w:val="single" w:color="000000" w:sz="4" w:space="0"/>
              <w:left w:val="single" w:color="000000" w:sz="4" w:space="0"/>
              <w:bottom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符合</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420" w:type="pct"/>
            <w:tcBorders>
              <w:top w:val="single" w:color="000000" w:sz="4" w:space="0"/>
              <w:bottom w:val="single" w:color="000000" w:sz="4" w:space="0"/>
              <w:right w:val="single" w:color="000000" w:sz="4" w:space="0"/>
            </w:tcBorders>
            <w:shd w:val="clear" w:color="auto" w:fill="auto"/>
            <w:vAlign w:val="center"/>
          </w:tcPr>
          <w:p>
            <w:pPr>
              <w:widowControl/>
              <w:numPr>
                <w:ilvl w:val="0"/>
                <w:numId w:val="60"/>
              </w:numPr>
              <w:tabs>
                <w:tab w:val="left" w:pos="397"/>
                <w:tab w:val="clear" w:pos="0"/>
              </w:tabs>
              <w:spacing w:line="240" w:lineRule="auto"/>
              <w:ind w:firstLine="0" w:firstLineChars="0"/>
              <w:jc w:val="center"/>
              <w:textAlignment w:val="center"/>
              <w:rPr>
                <w:rFonts w:ascii="宋体" w:hAnsi="宋体" w:cs="宋体"/>
                <w:color w:val="000000"/>
                <w:kern w:val="0"/>
                <w:sz w:val="24"/>
                <w:szCs w:val="24"/>
                <w:lang w:bidi="ar"/>
              </w:rPr>
            </w:pPr>
          </w:p>
        </w:tc>
        <w:tc>
          <w:tcPr>
            <w:tcW w:w="1734" w:type="pct"/>
            <w:tcBorders>
              <w:top w:val="single" w:color="000000" w:sz="4" w:space="0"/>
              <w:left w:val="single" w:color="000000" w:sz="4" w:space="0"/>
              <w:bottom w:val="single" w:color="000000" w:sz="4" w:space="0"/>
              <w:right w:val="single" w:color="000000" w:sz="4" w:space="0"/>
            </w:tcBorders>
            <w:shd w:val="clear" w:color="auto" w:fill="auto"/>
            <w:vAlign w:val="center"/>
          </w:tcPr>
          <w:p>
            <w:pPr>
              <w:wordWrap w:val="0"/>
              <w:spacing w:line="240" w:lineRule="auto"/>
              <w:ind w:firstLine="0" w:firstLineChars="0"/>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对不同工作电压下的所有感应线圈和水冷电缆等所用的进出水软管的长度，应按单个支路中泄漏电流不大于20mA的要求设计，软管本身应具有足够的电气绝缘性能和机械强度。</w:t>
            </w:r>
          </w:p>
          <w:p>
            <w:pPr>
              <w:wordWrap w:val="0"/>
              <w:spacing w:line="240" w:lineRule="auto"/>
              <w:ind w:firstLine="0" w:firstLineChars="0"/>
              <w:textAlignment w:val="center"/>
              <w:rPr>
                <w:rFonts w:ascii="宋体" w:hAnsi="宋体" w:cs="宋体"/>
                <w:color w:val="000000"/>
                <w:kern w:val="0"/>
                <w:sz w:val="24"/>
                <w:szCs w:val="24"/>
                <w:lang w:bidi="ar"/>
              </w:rPr>
            </w:pP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pPr>
              <w:wordWrap w:val="0"/>
              <w:spacing w:line="240" w:lineRule="auto"/>
              <w:ind w:firstLine="0" w:firstLineChars="0"/>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《电热装置基本技术条件 第31部分：中频无心感应炉》（GB/T 10067.31-2013)5．4．2</w:t>
            </w:r>
          </w:p>
        </w:tc>
        <w:tc>
          <w:tcPr>
            <w:tcW w:w="137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中频炉购买专业厂家成套设备</w:t>
            </w:r>
          </w:p>
        </w:tc>
        <w:tc>
          <w:tcPr>
            <w:tcW w:w="534" w:type="pct"/>
            <w:tcBorders>
              <w:top w:val="single" w:color="000000" w:sz="4" w:space="0"/>
              <w:left w:val="single" w:color="000000" w:sz="4" w:space="0"/>
              <w:bottom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符合</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420" w:type="pct"/>
            <w:tcBorders>
              <w:top w:val="single" w:color="000000" w:sz="4" w:space="0"/>
              <w:bottom w:val="single" w:color="000000" w:sz="4" w:space="0"/>
              <w:right w:val="single" w:color="000000" w:sz="4" w:space="0"/>
            </w:tcBorders>
            <w:shd w:val="clear" w:color="auto" w:fill="auto"/>
            <w:vAlign w:val="center"/>
          </w:tcPr>
          <w:p>
            <w:pPr>
              <w:widowControl/>
              <w:numPr>
                <w:ilvl w:val="0"/>
                <w:numId w:val="60"/>
              </w:numPr>
              <w:tabs>
                <w:tab w:val="left" w:pos="397"/>
                <w:tab w:val="clear" w:pos="0"/>
              </w:tabs>
              <w:spacing w:line="240" w:lineRule="auto"/>
              <w:ind w:firstLine="0" w:firstLineChars="0"/>
              <w:jc w:val="center"/>
              <w:textAlignment w:val="center"/>
              <w:rPr>
                <w:rFonts w:ascii="宋体" w:hAnsi="宋体" w:cs="宋体"/>
                <w:color w:val="000000"/>
                <w:kern w:val="0"/>
                <w:sz w:val="24"/>
                <w:szCs w:val="24"/>
                <w:lang w:bidi="ar"/>
              </w:rPr>
            </w:pPr>
          </w:p>
        </w:tc>
        <w:tc>
          <w:tcPr>
            <w:tcW w:w="1734" w:type="pct"/>
            <w:tcBorders>
              <w:top w:val="single" w:color="000000" w:sz="4" w:space="0"/>
              <w:left w:val="single" w:color="000000" w:sz="4" w:space="0"/>
              <w:bottom w:val="single" w:color="000000" w:sz="4" w:space="0"/>
              <w:right w:val="single" w:color="000000" w:sz="4" w:space="0"/>
            </w:tcBorders>
            <w:shd w:val="clear" w:color="auto" w:fill="auto"/>
            <w:vAlign w:val="center"/>
          </w:tcPr>
          <w:p>
            <w:pPr>
              <w:wordWrap w:val="0"/>
              <w:spacing w:line="240" w:lineRule="auto"/>
              <w:ind w:firstLine="0" w:firstLineChars="0"/>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中频无心炉正常工作时处于中频电压下的不同带电体之间，带电体与地之间的电气间隙和爬电距离应符合表的规定。</w:t>
            </w: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pPr>
              <w:wordWrap w:val="0"/>
              <w:spacing w:line="240" w:lineRule="auto"/>
              <w:ind w:firstLine="0" w:firstLineChars="0"/>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《电热装置基本技术条件 第31部分：中频无心感应炉》（GB/T 10067.31-2013)5．4．3</w:t>
            </w:r>
          </w:p>
        </w:tc>
        <w:tc>
          <w:tcPr>
            <w:tcW w:w="137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中频炉购买专业厂家成套设备</w:t>
            </w:r>
          </w:p>
        </w:tc>
        <w:tc>
          <w:tcPr>
            <w:tcW w:w="534" w:type="pct"/>
            <w:tcBorders>
              <w:top w:val="single" w:color="000000" w:sz="4" w:space="0"/>
              <w:left w:val="single" w:color="000000" w:sz="4" w:space="0"/>
              <w:bottom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符合</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420" w:type="pct"/>
            <w:tcBorders>
              <w:top w:val="single" w:color="000000" w:sz="4" w:space="0"/>
              <w:bottom w:val="single" w:color="000000" w:sz="4" w:space="0"/>
              <w:right w:val="single" w:color="000000" w:sz="4" w:space="0"/>
            </w:tcBorders>
            <w:shd w:val="clear" w:color="auto" w:fill="auto"/>
            <w:vAlign w:val="center"/>
          </w:tcPr>
          <w:p>
            <w:pPr>
              <w:widowControl/>
              <w:numPr>
                <w:ilvl w:val="0"/>
                <w:numId w:val="60"/>
              </w:numPr>
              <w:tabs>
                <w:tab w:val="left" w:pos="397"/>
                <w:tab w:val="clear" w:pos="0"/>
              </w:tabs>
              <w:spacing w:line="240" w:lineRule="auto"/>
              <w:ind w:firstLine="0" w:firstLineChars="0"/>
              <w:jc w:val="center"/>
              <w:textAlignment w:val="center"/>
              <w:rPr>
                <w:rFonts w:ascii="宋体" w:hAnsi="宋体" w:cs="宋体"/>
                <w:color w:val="000000"/>
                <w:kern w:val="0"/>
                <w:sz w:val="24"/>
                <w:szCs w:val="24"/>
                <w:lang w:bidi="ar"/>
              </w:rPr>
            </w:pPr>
          </w:p>
        </w:tc>
        <w:tc>
          <w:tcPr>
            <w:tcW w:w="1734" w:type="pct"/>
            <w:tcBorders>
              <w:top w:val="single" w:color="000000" w:sz="4" w:space="0"/>
              <w:left w:val="single" w:color="000000" w:sz="4" w:space="0"/>
              <w:bottom w:val="single" w:color="000000" w:sz="4" w:space="0"/>
              <w:right w:val="single" w:color="000000" w:sz="4" w:space="0"/>
            </w:tcBorders>
            <w:shd w:val="clear" w:color="auto" w:fill="auto"/>
            <w:vAlign w:val="center"/>
          </w:tcPr>
          <w:p>
            <w:pPr>
              <w:wordWrap w:val="0"/>
              <w:spacing w:line="240" w:lineRule="auto"/>
              <w:ind w:firstLine="0" w:firstLineChars="0"/>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对中频无心炉所有馈电部分的易触及处，均应设置必要的保护网罩。对炉架、电容器柜、变频装置、操作控制台外壳等均应可靠接地，接地电阻值不应大于4Ω。</w:t>
            </w:r>
          </w:p>
          <w:p>
            <w:pPr>
              <w:wordWrap w:val="0"/>
              <w:spacing w:line="240" w:lineRule="auto"/>
              <w:ind w:firstLine="0" w:firstLineChars="0"/>
              <w:textAlignment w:val="center"/>
              <w:rPr>
                <w:rFonts w:ascii="宋体" w:hAnsi="宋体" w:cs="宋体"/>
                <w:color w:val="000000"/>
                <w:kern w:val="0"/>
                <w:sz w:val="24"/>
                <w:szCs w:val="24"/>
                <w:lang w:bidi="ar"/>
              </w:rPr>
            </w:pP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pPr>
              <w:wordWrap w:val="0"/>
              <w:spacing w:line="240" w:lineRule="auto"/>
              <w:ind w:firstLine="0" w:firstLineChars="0"/>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《电热装置基本技术条件 第31部分：中频无心感应炉》（GB/T 10067.31-2013)</w:t>
            </w:r>
          </w:p>
          <w:p>
            <w:pPr>
              <w:wordWrap w:val="0"/>
              <w:spacing w:line="240" w:lineRule="auto"/>
              <w:ind w:firstLine="0" w:firstLineChars="0"/>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5.4.4</w:t>
            </w:r>
          </w:p>
        </w:tc>
        <w:tc>
          <w:tcPr>
            <w:tcW w:w="137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中频炉馈电部分的易触及处，均设置必要的保护网罩。对炉架、电容器柜、变频装置、操作控制台外壳等均可靠接地，接地电阻值不应大于4Ω。</w:t>
            </w:r>
          </w:p>
          <w:p>
            <w:pPr>
              <w:widowControl/>
              <w:spacing w:line="240" w:lineRule="auto"/>
              <w:ind w:firstLine="0" w:firstLineChars="0"/>
              <w:textAlignment w:val="center"/>
              <w:rPr>
                <w:rFonts w:ascii="宋体" w:hAnsi="宋体" w:cs="宋体"/>
                <w:color w:val="000000"/>
                <w:kern w:val="0"/>
                <w:sz w:val="24"/>
                <w:szCs w:val="24"/>
                <w:lang w:bidi="ar"/>
              </w:rPr>
            </w:pPr>
          </w:p>
        </w:tc>
        <w:tc>
          <w:tcPr>
            <w:tcW w:w="534" w:type="pct"/>
            <w:tcBorders>
              <w:top w:val="single" w:color="000000" w:sz="4" w:space="0"/>
              <w:left w:val="single" w:color="000000" w:sz="4" w:space="0"/>
              <w:bottom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符合</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420" w:type="pct"/>
            <w:tcBorders>
              <w:top w:val="single" w:color="000000" w:sz="4" w:space="0"/>
              <w:bottom w:val="single" w:color="000000" w:sz="4" w:space="0"/>
              <w:right w:val="single" w:color="000000" w:sz="4" w:space="0"/>
            </w:tcBorders>
            <w:shd w:val="clear" w:color="auto" w:fill="auto"/>
            <w:vAlign w:val="center"/>
          </w:tcPr>
          <w:p>
            <w:pPr>
              <w:widowControl/>
              <w:numPr>
                <w:ilvl w:val="0"/>
                <w:numId w:val="60"/>
              </w:numPr>
              <w:tabs>
                <w:tab w:val="left" w:pos="397"/>
                <w:tab w:val="clear" w:pos="0"/>
              </w:tabs>
              <w:spacing w:line="240" w:lineRule="auto"/>
              <w:ind w:firstLine="0" w:firstLineChars="0"/>
              <w:jc w:val="center"/>
              <w:textAlignment w:val="center"/>
              <w:rPr>
                <w:rFonts w:ascii="宋体" w:hAnsi="宋体" w:cs="宋体"/>
                <w:color w:val="000000"/>
                <w:kern w:val="0"/>
                <w:sz w:val="24"/>
                <w:szCs w:val="24"/>
                <w:lang w:bidi="ar"/>
              </w:rPr>
            </w:pPr>
          </w:p>
        </w:tc>
        <w:tc>
          <w:tcPr>
            <w:tcW w:w="1734" w:type="pct"/>
            <w:tcBorders>
              <w:top w:val="single" w:color="000000" w:sz="4" w:space="0"/>
              <w:left w:val="single" w:color="000000" w:sz="4" w:space="0"/>
              <w:bottom w:val="single" w:color="000000" w:sz="4" w:space="0"/>
              <w:right w:val="single" w:color="000000" w:sz="4" w:space="0"/>
            </w:tcBorders>
            <w:shd w:val="clear" w:color="auto" w:fill="auto"/>
            <w:vAlign w:val="center"/>
          </w:tcPr>
          <w:p>
            <w:pPr>
              <w:wordWrap w:val="0"/>
              <w:spacing w:line="240" w:lineRule="auto"/>
              <w:ind w:firstLine="0" w:firstLineChars="0"/>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为防止突然停电、停水而引起事故，应在产品说明书中明确规定用户应备有备用水源。当冷却水源偶然停止工作时，应能立即启动备用水源。</w:t>
            </w: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pPr>
              <w:wordWrap w:val="0"/>
              <w:spacing w:line="240" w:lineRule="auto"/>
              <w:ind w:firstLine="0" w:firstLineChars="0"/>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《电热装置基本技术条件 第31部分：中频无心感应炉》（GB/T 10067.31-2013)</w:t>
            </w:r>
          </w:p>
          <w:p>
            <w:pPr>
              <w:wordWrap w:val="0"/>
              <w:spacing w:line="240" w:lineRule="auto"/>
              <w:ind w:firstLine="0" w:firstLineChars="0"/>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5.4.5</w:t>
            </w:r>
          </w:p>
        </w:tc>
        <w:tc>
          <w:tcPr>
            <w:tcW w:w="137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设置有备用水源，当冷却水源</w:t>
            </w:r>
            <w:r>
              <w:rPr>
                <w:rFonts w:hint="eastAsia" w:ascii="宋体" w:hAnsi="宋体" w:cs="宋体"/>
                <w:color w:val="000000"/>
                <w:kern w:val="0"/>
                <w:sz w:val="24"/>
                <w:szCs w:val="24"/>
                <w:lang w:eastAsia="zh-CN" w:bidi="ar"/>
              </w:rPr>
              <w:t>突然</w:t>
            </w:r>
            <w:r>
              <w:rPr>
                <w:rFonts w:hint="eastAsia" w:ascii="宋体" w:hAnsi="宋体" w:cs="宋体"/>
                <w:color w:val="000000"/>
                <w:kern w:val="0"/>
                <w:sz w:val="24"/>
                <w:szCs w:val="24"/>
                <w:lang w:bidi="ar"/>
              </w:rPr>
              <w:t>停止工作时，能够立即启动备用水源。</w:t>
            </w:r>
          </w:p>
        </w:tc>
        <w:tc>
          <w:tcPr>
            <w:tcW w:w="534" w:type="pct"/>
            <w:tcBorders>
              <w:top w:val="single" w:color="000000" w:sz="4" w:space="0"/>
              <w:left w:val="single" w:color="000000" w:sz="4" w:space="0"/>
              <w:bottom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符合</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420" w:type="pct"/>
            <w:tcBorders>
              <w:top w:val="single" w:color="000000" w:sz="4" w:space="0"/>
              <w:bottom w:val="single" w:color="000000" w:sz="4" w:space="0"/>
              <w:right w:val="single" w:color="000000" w:sz="4" w:space="0"/>
            </w:tcBorders>
            <w:shd w:val="clear" w:color="auto" w:fill="auto"/>
            <w:vAlign w:val="center"/>
          </w:tcPr>
          <w:p>
            <w:pPr>
              <w:widowControl/>
              <w:numPr>
                <w:ilvl w:val="0"/>
                <w:numId w:val="60"/>
              </w:numPr>
              <w:tabs>
                <w:tab w:val="left" w:pos="397"/>
                <w:tab w:val="clear" w:pos="0"/>
              </w:tabs>
              <w:spacing w:line="240" w:lineRule="auto"/>
              <w:ind w:firstLine="0" w:firstLineChars="0"/>
              <w:jc w:val="center"/>
              <w:textAlignment w:val="center"/>
              <w:rPr>
                <w:rFonts w:ascii="宋体" w:hAnsi="宋体" w:cs="宋体"/>
                <w:color w:val="000000"/>
                <w:kern w:val="0"/>
                <w:sz w:val="24"/>
                <w:szCs w:val="24"/>
                <w:lang w:bidi="ar"/>
              </w:rPr>
            </w:pPr>
          </w:p>
        </w:tc>
        <w:tc>
          <w:tcPr>
            <w:tcW w:w="1734" w:type="pct"/>
            <w:tcBorders>
              <w:top w:val="single" w:color="000000" w:sz="4" w:space="0"/>
              <w:left w:val="single" w:color="000000" w:sz="4" w:space="0"/>
              <w:bottom w:val="single" w:color="000000" w:sz="4" w:space="0"/>
              <w:right w:val="single" w:color="000000" w:sz="4" w:space="0"/>
            </w:tcBorders>
            <w:shd w:val="clear" w:color="auto" w:fill="auto"/>
            <w:vAlign w:val="center"/>
          </w:tcPr>
          <w:p>
            <w:pPr>
              <w:wordWrap w:val="0"/>
              <w:spacing w:line="240" w:lineRule="auto"/>
              <w:ind w:firstLine="0" w:firstLineChars="0"/>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中频无心炉根据额定容量的大小（如1t以上）、运行特点或用户的需要，应提供漏炉报警装置和切断电源的措施，在炉衬的电气绝缘损坏到低于某一临界值且炉衬可能发生漏炉时发出声光报警信号并自动切断炉子的供电，以确保操作者和炉边作业人员的安全和减少炉子损坏的危险。漏炉报警的动作值和切断炉子供电的动作值应由用户根据炉子工况和运行经验进行调整。漏炉报警装置应严格按照产品使用说明书的要求进行操作和使用。</w:t>
            </w: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pPr>
              <w:wordWrap w:val="0"/>
              <w:spacing w:line="240" w:lineRule="auto"/>
              <w:ind w:firstLine="0" w:firstLineChars="0"/>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《电热装置基本技术条件 第31部分：中频无心感应炉》（GB/T 10067.31-2013)</w:t>
            </w:r>
          </w:p>
          <w:p>
            <w:pPr>
              <w:wordWrap w:val="0"/>
              <w:spacing w:line="240" w:lineRule="auto"/>
              <w:ind w:firstLine="0" w:firstLineChars="0"/>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5.4.6</w:t>
            </w:r>
          </w:p>
        </w:tc>
        <w:tc>
          <w:tcPr>
            <w:tcW w:w="137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中频炉设置有漏炉报警。</w:t>
            </w:r>
          </w:p>
        </w:tc>
        <w:tc>
          <w:tcPr>
            <w:tcW w:w="534" w:type="pct"/>
            <w:tcBorders>
              <w:top w:val="single" w:color="000000" w:sz="4" w:space="0"/>
              <w:left w:val="single" w:color="000000" w:sz="4" w:space="0"/>
              <w:bottom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符合</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420" w:type="pct"/>
            <w:tcBorders>
              <w:top w:val="single" w:color="000000" w:sz="4" w:space="0"/>
              <w:bottom w:val="single" w:color="000000" w:sz="4" w:space="0"/>
              <w:right w:val="single" w:color="000000" w:sz="4" w:space="0"/>
            </w:tcBorders>
            <w:shd w:val="clear" w:color="auto" w:fill="auto"/>
            <w:vAlign w:val="center"/>
          </w:tcPr>
          <w:p>
            <w:pPr>
              <w:widowControl/>
              <w:numPr>
                <w:ilvl w:val="0"/>
                <w:numId w:val="60"/>
              </w:numPr>
              <w:tabs>
                <w:tab w:val="left" w:pos="397"/>
                <w:tab w:val="clear" w:pos="0"/>
              </w:tabs>
              <w:spacing w:line="240" w:lineRule="auto"/>
              <w:ind w:firstLine="0" w:firstLineChars="0"/>
              <w:jc w:val="center"/>
              <w:textAlignment w:val="center"/>
              <w:rPr>
                <w:rFonts w:ascii="宋体" w:hAnsi="宋体" w:cs="宋体"/>
                <w:color w:val="000000"/>
                <w:kern w:val="0"/>
                <w:sz w:val="24"/>
                <w:szCs w:val="24"/>
                <w:lang w:bidi="ar"/>
              </w:rPr>
            </w:pPr>
          </w:p>
        </w:tc>
        <w:tc>
          <w:tcPr>
            <w:tcW w:w="1734" w:type="pct"/>
            <w:tcBorders>
              <w:top w:val="single" w:color="000000" w:sz="4" w:space="0"/>
              <w:left w:val="single" w:color="000000" w:sz="4" w:space="0"/>
              <w:bottom w:val="single" w:color="000000" w:sz="4" w:space="0"/>
              <w:right w:val="single" w:color="000000" w:sz="4" w:space="0"/>
            </w:tcBorders>
            <w:shd w:val="clear" w:color="auto" w:fill="auto"/>
            <w:vAlign w:val="center"/>
          </w:tcPr>
          <w:p>
            <w:pPr>
              <w:wordWrap w:val="0"/>
              <w:spacing w:line="240" w:lineRule="auto"/>
              <w:ind w:firstLine="0" w:firstLineChars="0"/>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静电喷涂作业与喷漆作业不宜设置在同一作业区内。若设置在同一作业区内，其爆炸危险区域和火灾危险区域应按喷漆区划分。</w:t>
            </w: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pPr>
              <w:wordWrap w:val="0"/>
              <w:spacing w:line="240" w:lineRule="auto"/>
              <w:ind w:firstLine="0" w:firstLineChars="0"/>
              <w:textAlignment w:val="center"/>
              <w:rPr>
                <w:rFonts w:ascii="宋体" w:hAnsi="宋体" w:cs="宋体"/>
                <w:color w:val="000000"/>
                <w:kern w:val="0"/>
                <w:sz w:val="24"/>
                <w:szCs w:val="24"/>
                <w:lang w:bidi="ar"/>
              </w:rPr>
            </w:pPr>
            <w:r>
              <w:rPr>
                <w:rFonts w:ascii="宋体" w:hAnsi="宋体" w:cs="宋体"/>
                <w:color w:val="000000"/>
                <w:kern w:val="0"/>
                <w:sz w:val="24"/>
                <w:szCs w:val="24"/>
                <w:lang w:bidi="ar"/>
              </w:rPr>
              <w:t>《涂装作业安全规程 粉末静电喷涂工艺安全》</w:t>
            </w:r>
            <w:r>
              <w:rPr>
                <w:rFonts w:hint="eastAsia" w:ascii="宋体" w:hAnsi="宋体" w:cs="宋体"/>
                <w:color w:val="000000"/>
                <w:kern w:val="0"/>
                <w:sz w:val="24"/>
                <w:szCs w:val="24"/>
                <w:lang w:bidi="ar"/>
              </w:rPr>
              <w:t>（</w:t>
            </w:r>
            <w:r>
              <w:rPr>
                <w:rFonts w:ascii="宋体" w:hAnsi="宋体" w:cs="宋体"/>
                <w:color w:val="000000"/>
                <w:kern w:val="0"/>
                <w:sz w:val="24"/>
                <w:szCs w:val="24"/>
                <w:lang w:bidi="ar"/>
              </w:rPr>
              <w:t xml:space="preserve">GB 15607—2008 </w:t>
            </w:r>
            <w:r>
              <w:rPr>
                <w:rFonts w:hint="eastAsia" w:ascii="宋体" w:hAnsi="宋体" w:cs="宋体"/>
                <w:color w:val="000000"/>
                <w:kern w:val="0"/>
                <w:sz w:val="24"/>
                <w:szCs w:val="24"/>
                <w:lang w:bidi="ar"/>
              </w:rPr>
              <w:t xml:space="preserve">）4.4.1 </w:t>
            </w:r>
          </w:p>
          <w:p>
            <w:pPr>
              <w:wordWrap w:val="0"/>
              <w:spacing w:line="240" w:lineRule="auto"/>
              <w:ind w:firstLine="0" w:firstLineChars="0"/>
              <w:textAlignment w:val="center"/>
              <w:rPr>
                <w:rFonts w:ascii="宋体" w:hAnsi="宋体" w:cs="宋体"/>
                <w:color w:val="000000"/>
                <w:kern w:val="0"/>
                <w:sz w:val="24"/>
                <w:szCs w:val="24"/>
                <w:lang w:bidi="ar"/>
              </w:rPr>
            </w:pPr>
          </w:p>
        </w:tc>
        <w:tc>
          <w:tcPr>
            <w:tcW w:w="137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静电喷涂作业区单独设置。</w:t>
            </w:r>
          </w:p>
        </w:tc>
        <w:tc>
          <w:tcPr>
            <w:tcW w:w="534" w:type="pct"/>
            <w:tcBorders>
              <w:top w:val="single" w:color="000000" w:sz="4" w:space="0"/>
              <w:left w:val="single" w:color="000000" w:sz="4" w:space="0"/>
              <w:bottom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符合</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420" w:type="pct"/>
            <w:tcBorders>
              <w:top w:val="single" w:color="000000" w:sz="4" w:space="0"/>
              <w:bottom w:val="single" w:color="000000" w:sz="4" w:space="0"/>
              <w:right w:val="single" w:color="000000" w:sz="4" w:space="0"/>
            </w:tcBorders>
            <w:shd w:val="clear" w:color="auto" w:fill="auto"/>
            <w:vAlign w:val="center"/>
          </w:tcPr>
          <w:p>
            <w:pPr>
              <w:widowControl/>
              <w:numPr>
                <w:ilvl w:val="0"/>
                <w:numId w:val="60"/>
              </w:numPr>
              <w:tabs>
                <w:tab w:val="left" w:pos="397"/>
                <w:tab w:val="clear" w:pos="0"/>
              </w:tabs>
              <w:spacing w:line="240" w:lineRule="auto"/>
              <w:ind w:firstLine="0" w:firstLineChars="0"/>
              <w:jc w:val="center"/>
              <w:textAlignment w:val="center"/>
              <w:rPr>
                <w:rFonts w:ascii="宋体" w:hAnsi="宋体" w:cs="宋体"/>
                <w:color w:val="000000"/>
                <w:kern w:val="0"/>
                <w:sz w:val="24"/>
                <w:szCs w:val="24"/>
                <w:lang w:bidi="ar"/>
              </w:rPr>
            </w:pPr>
          </w:p>
        </w:tc>
        <w:tc>
          <w:tcPr>
            <w:tcW w:w="1734" w:type="pct"/>
            <w:tcBorders>
              <w:top w:val="single" w:color="000000" w:sz="4" w:space="0"/>
              <w:left w:val="single" w:color="000000" w:sz="4" w:space="0"/>
              <w:bottom w:val="single" w:color="000000" w:sz="4" w:space="0"/>
              <w:right w:val="single" w:color="000000" w:sz="4" w:space="0"/>
            </w:tcBorders>
            <w:shd w:val="clear" w:color="auto" w:fill="auto"/>
            <w:vAlign w:val="center"/>
          </w:tcPr>
          <w:p>
            <w:pPr>
              <w:wordWrap w:val="0"/>
              <w:spacing w:line="240" w:lineRule="auto"/>
              <w:ind w:firstLine="0" w:firstLineChars="0"/>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 xml:space="preserve">喷粉作业区宜布置在单层厂房内；如布置在多层厂房内，宜布置在建筑物顶层，如布置在多跨厂房内，宜布置在边跨，并符合 GB 6514 的有关规定。 </w:t>
            </w:r>
          </w:p>
          <w:p>
            <w:pPr>
              <w:wordWrap w:val="0"/>
              <w:spacing w:line="240" w:lineRule="auto"/>
              <w:ind w:firstLine="0" w:firstLineChars="0"/>
              <w:textAlignment w:val="center"/>
              <w:rPr>
                <w:rFonts w:ascii="宋体" w:hAnsi="宋体" w:cs="宋体"/>
                <w:color w:val="000000"/>
                <w:kern w:val="0"/>
                <w:sz w:val="24"/>
                <w:szCs w:val="24"/>
                <w:lang w:bidi="ar"/>
              </w:rPr>
            </w:pP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pPr>
              <w:wordWrap w:val="0"/>
              <w:spacing w:line="240" w:lineRule="auto"/>
              <w:ind w:firstLine="0" w:firstLineChars="0"/>
              <w:textAlignment w:val="center"/>
              <w:rPr>
                <w:rFonts w:ascii="宋体" w:hAnsi="宋体" w:cs="宋体"/>
                <w:color w:val="000000"/>
                <w:kern w:val="0"/>
                <w:sz w:val="24"/>
                <w:szCs w:val="24"/>
                <w:lang w:bidi="ar"/>
              </w:rPr>
            </w:pPr>
            <w:r>
              <w:rPr>
                <w:rFonts w:ascii="宋体" w:hAnsi="宋体" w:cs="宋体"/>
                <w:color w:val="000000"/>
                <w:kern w:val="0"/>
                <w:sz w:val="24"/>
                <w:szCs w:val="24"/>
                <w:lang w:bidi="ar"/>
              </w:rPr>
              <w:t>《涂装作业安全规程 粉末静电喷涂工艺安全》</w:t>
            </w:r>
            <w:r>
              <w:rPr>
                <w:rFonts w:hint="eastAsia" w:ascii="宋体" w:hAnsi="宋体" w:cs="宋体"/>
                <w:color w:val="000000"/>
                <w:kern w:val="0"/>
                <w:sz w:val="24"/>
                <w:szCs w:val="24"/>
                <w:lang w:bidi="ar"/>
              </w:rPr>
              <w:t>（</w:t>
            </w:r>
            <w:r>
              <w:rPr>
                <w:rFonts w:ascii="宋体" w:hAnsi="宋体" w:cs="宋体"/>
                <w:color w:val="000000"/>
                <w:kern w:val="0"/>
                <w:sz w:val="24"/>
                <w:szCs w:val="24"/>
                <w:lang w:bidi="ar"/>
              </w:rPr>
              <w:t xml:space="preserve">GB 15607—2008 </w:t>
            </w:r>
            <w:r>
              <w:rPr>
                <w:rFonts w:hint="eastAsia" w:ascii="宋体" w:hAnsi="宋体" w:cs="宋体"/>
                <w:color w:val="000000"/>
                <w:kern w:val="0"/>
                <w:sz w:val="24"/>
                <w:szCs w:val="24"/>
                <w:lang w:bidi="ar"/>
              </w:rPr>
              <w:t xml:space="preserve">）4.4.2 </w:t>
            </w:r>
          </w:p>
        </w:tc>
        <w:tc>
          <w:tcPr>
            <w:tcW w:w="137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喷粉作业区布置在单层厂房内；</w:t>
            </w:r>
          </w:p>
        </w:tc>
        <w:tc>
          <w:tcPr>
            <w:tcW w:w="534" w:type="pct"/>
            <w:tcBorders>
              <w:top w:val="single" w:color="000000" w:sz="4" w:space="0"/>
              <w:left w:val="single" w:color="000000" w:sz="4" w:space="0"/>
              <w:bottom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符合</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420" w:type="pct"/>
            <w:tcBorders>
              <w:top w:val="single" w:color="000000" w:sz="4" w:space="0"/>
              <w:bottom w:val="single" w:color="000000" w:sz="4" w:space="0"/>
              <w:right w:val="single" w:color="000000" w:sz="4" w:space="0"/>
            </w:tcBorders>
            <w:shd w:val="clear" w:color="auto" w:fill="auto"/>
            <w:vAlign w:val="center"/>
          </w:tcPr>
          <w:p>
            <w:pPr>
              <w:widowControl/>
              <w:numPr>
                <w:ilvl w:val="0"/>
                <w:numId w:val="60"/>
              </w:numPr>
              <w:tabs>
                <w:tab w:val="left" w:pos="397"/>
                <w:tab w:val="clear" w:pos="0"/>
              </w:tabs>
              <w:spacing w:line="240" w:lineRule="auto"/>
              <w:ind w:firstLine="0" w:firstLineChars="0"/>
              <w:jc w:val="center"/>
              <w:textAlignment w:val="center"/>
              <w:rPr>
                <w:rFonts w:ascii="宋体" w:hAnsi="宋体" w:cs="宋体"/>
                <w:color w:val="000000"/>
                <w:kern w:val="0"/>
                <w:sz w:val="24"/>
                <w:szCs w:val="24"/>
                <w:lang w:bidi="ar"/>
              </w:rPr>
            </w:pPr>
          </w:p>
        </w:tc>
        <w:tc>
          <w:tcPr>
            <w:tcW w:w="1734" w:type="pct"/>
            <w:tcBorders>
              <w:top w:val="single" w:color="000000" w:sz="4" w:space="0"/>
              <w:left w:val="single" w:color="000000" w:sz="4" w:space="0"/>
              <w:bottom w:val="single" w:color="000000" w:sz="4" w:space="0"/>
              <w:right w:val="single" w:color="000000" w:sz="4" w:space="0"/>
            </w:tcBorders>
            <w:shd w:val="clear" w:color="auto" w:fill="auto"/>
            <w:vAlign w:val="center"/>
          </w:tcPr>
          <w:p>
            <w:pPr>
              <w:wordWrap w:val="0"/>
              <w:spacing w:line="240" w:lineRule="auto"/>
              <w:ind w:firstLine="0" w:firstLineChars="0"/>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 xml:space="preserve">喷粉作业应在符合第 5 章规定的喷粉室内进行。 </w:t>
            </w:r>
          </w:p>
          <w:p>
            <w:pPr>
              <w:wordWrap w:val="0"/>
              <w:spacing w:line="240" w:lineRule="auto"/>
              <w:ind w:firstLine="0" w:firstLineChars="0"/>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 xml:space="preserve"> </w:t>
            </w:r>
          </w:p>
          <w:p>
            <w:pPr>
              <w:wordWrap w:val="0"/>
              <w:spacing w:line="240" w:lineRule="auto"/>
              <w:ind w:firstLine="0" w:firstLineChars="0"/>
              <w:textAlignment w:val="center"/>
              <w:rPr>
                <w:rFonts w:ascii="宋体" w:hAnsi="宋体" w:cs="宋体"/>
                <w:color w:val="000000"/>
                <w:kern w:val="0"/>
                <w:sz w:val="24"/>
                <w:szCs w:val="24"/>
                <w:lang w:bidi="ar"/>
              </w:rPr>
            </w:pP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pPr>
              <w:wordWrap w:val="0"/>
              <w:spacing w:line="240" w:lineRule="auto"/>
              <w:ind w:firstLine="0" w:firstLineChars="0"/>
              <w:textAlignment w:val="center"/>
              <w:rPr>
                <w:rFonts w:ascii="宋体" w:hAnsi="宋体" w:cs="宋体"/>
                <w:color w:val="000000"/>
                <w:kern w:val="0"/>
                <w:sz w:val="24"/>
                <w:szCs w:val="24"/>
                <w:lang w:bidi="ar"/>
              </w:rPr>
            </w:pPr>
            <w:r>
              <w:rPr>
                <w:rFonts w:ascii="宋体" w:hAnsi="宋体" w:cs="宋体"/>
                <w:color w:val="000000"/>
                <w:kern w:val="0"/>
                <w:sz w:val="24"/>
                <w:szCs w:val="24"/>
                <w:lang w:bidi="ar"/>
              </w:rPr>
              <w:t>《涂装作业安全规程 粉末静电喷涂工艺安全》</w:t>
            </w:r>
            <w:r>
              <w:rPr>
                <w:rFonts w:hint="eastAsia" w:ascii="宋体" w:hAnsi="宋体" w:cs="宋体"/>
                <w:color w:val="000000"/>
                <w:kern w:val="0"/>
                <w:sz w:val="24"/>
                <w:szCs w:val="24"/>
                <w:lang w:bidi="ar"/>
              </w:rPr>
              <w:t>（</w:t>
            </w:r>
            <w:r>
              <w:rPr>
                <w:rFonts w:ascii="宋体" w:hAnsi="宋体" w:cs="宋体"/>
                <w:color w:val="000000"/>
                <w:kern w:val="0"/>
                <w:sz w:val="24"/>
                <w:szCs w:val="24"/>
                <w:lang w:bidi="ar"/>
              </w:rPr>
              <w:t xml:space="preserve">GB 15607—2008 </w:t>
            </w:r>
            <w:r>
              <w:rPr>
                <w:rFonts w:hint="eastAsia" w:ascii="宋体" w:hAnsi="宋体" w:cs="宋体"/>
                <w:color w:val="000000"/>
                <w:kern w:val="0"/>
                <w:sz w:val="24"/>
                <w:szCs w:val="24"/>
                <w:lang w:bidi="ar"/>
              </w:rPr>
              <w:t xml:space="preserve">）4.4.3 </w:t>
            </w:r>
          </w:p>
        </w:tc>
        <w:tc>
          <w:tcPr>
            <w:tcW w:w="137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喷粉作业符合规定的喷粉室内进行。</w:t>
            </w:r>
          </w:p>
        </w:tc>
        <w:tc>
          <w:tcPr>
            <w:tcW w:w="534" w:type="pct"/>
            <w:tcBorders>
              <w:top w:val="single" w:color="000000" w:sz="4" w:space="0"/>
              <w:left w:val="single" w:color="000000" w:sz="4" w:space="0"/>
              <w:bottom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符合</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420" w:type="pct"/>
            <w:tcBorders>
              <w:top w:val="single" w:color="000000" w:sz="4" w:space="0"/>
              <w:bottom w:val="single" w:color="000000" w:sz="4" w:space="0"/>
              <w:right w:val="single" w:color="000000" w:sz="4" w:space="0"/>
            </w:tcBorders>
            <w:shd w:val="clear" w:color="auto" w:fill="auto"/>
            <w:vAlign w:val="center"/>
          </w:tcPr>
          <w:p>
            <w:pPr>
              <w:widowControl/>
              <w:numPr>
                <w:ilvl w:val="0"/>
                <w:numId w:val="60"/>
              </w:numPr>
              <w:tabs>
                <w:tab w:val="left" w:pos="397"/>
                <w:tab w:val="clear" w:pos="0"/>
              </w:tabs>
              <w:spacing w:line="240" w:lineRule="auto"/>
              <w:ind w:firstLine="0" w:firstLineChars="0"/>
              <w:jc w:val="center"/>
              <w:textAlignment w:val="center"/>
              <w:rPr>
                <w:rFonts w:ascii="宋体" w:hAnsi="宋体" w:cs="宋体"/>
                <w:color w:val="000000"/>
                <w:kern w:val="0"/>
                <w:sz w:val="24"/>
                <w:szCs w:val="24"/>
                <w:lang w:bidi="ar"/>
              </w:rPr>
            </w:pPr>
          </w:p>
        </w:tc>
        <w:tc>
          <w:tcPr>
            <w:tcW w:w="1734" w:type="pct"/>
            <w:tcBorders>
              <w:top w:val="single" w:color="000000" w:sz="4" w:space="0"/>
              <w:left w:val="single" w:color="000000" w:sz="4" w:space="0"/>
              <w:bottom w:val="single" w:color="000000" w:sz="4" w:space="0"/>
              <w:right w:val="single" w:color="000000" w:sz="4" w:space="0"/>
            </w:tcBorders>
            <w:shd w:val="clear" w:color="auto" w:fill="auto"/>
            <w:vAlign w:val="center"/>
          </w:tcPr>
          <w:p>
            <w:pPr>
              <w:wordWrap w:val="0"/>
              <w:spacing w:line="240" w:lineRule="auto"/>
              <w:ind w:firstLine="0" w:firstLineChars="0"/>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喷粉室应布置在不产生干扰气流的方位上，并应避免与产生或散逸水蒸气、酸雾以及其他具有粘附性、腐蚀性、易燃、易爆等介质的装置布置在一起，并应与产生以上介质的区域隔离布置。</w:t>
            </w: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pPr>
              <w:wordWrap w:val="0"/>
              <w:spacing w:line="240" w:lineRule="auto"/>
              <w:ind w:firstLine="0" w:firstLineChars="0"/>
              <w:textAlignment w:val="center"/>
              <w:rPr>
                <w:rFonts w:ascii="宋体" w:hAnsi="宋体" w:cs="宋体"/>
                <w:color w:val="000000"/>
                <w:kern w:val="0"/>
                <w:sz w:val="24"/>
                <w:szCs w:val="24"/>
                <w:lang w:bidi="ar"/>
              </w:rPr>
            </w:pPr>
            <w:r>
              <w:rPr>
                <w:rFonts w:ascii="宋体" w:hAnsi="宋体" w:cs="宋体"/>
                <w:color w:val="000000"/>
                <w:kern w:val="0"/>
                <w:sz w:val="24"/>
                <w:szCs w:val="24"/>
                <w:lang w:bidi="ar"/>
              </w:rPr>
              <w:t>《涂装作业安全规程 粉末静电喷涂工艺安全》</w:t>
            </w:r>
            <w:r>
              <w:rPr>
                <w:rFonts w:hint="eastAsia" w:ascii="宋体" w:hAnsi="宋体" w:cs="宋体"/>
                <w:color w:val="000000"/>
                <w:kern w:val="0"/>
                <w:sz w:val="24"/>
                <w:szCs w:val="24"/>
                <w:lang w:bidi="ar"/>
              </w:rPr>
              <w:t>（</w:t>
            </w:r>
            <w:r>
              <w:rPr>
                <w:rFonts w:ascii="宋体" w:hAnsi="宋体" w:cs="宋体"/>
                <w:color w:val="000000"/>
                <w:kern w:val="0"/>
                <w:sz w:val="24"/>
                <w:szCs w:val="24"/>
                <w:lang w:bidi="ar"/>
              </w:rPr>
              <w:t xml:space="preserve">GB 15607—2008 </w:t>
            </w:r>
            <w:r>
              <w:rPr>
                <w:rFonts w:hint="eastAsia" w:ascii="宋体" w:hAnsi="宋体" w:cs="宋体"/>
                <w:color w:val="000000"/>
                <w:kern w:val="0"/>
                <w:sz w:val="24"/>
                <w:szCs w:val="24"/>
                <w:lang w:bidi="ar"/>
              </w:rPr>
              <w:t xml:space="preserve">）4.4.4 </w:t>
            </w:r>
          </w:p>
        </w:tc>
        <w:tc>
          <w:tcPr>
            <w:tcW w:w="137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喷粉室设置符合规定。</w:t>
            </w:r>
          </w:p>
        </w:tc>
        <w:tc>
          <w:tcPr>
            <w:tcW w:w="534" w:type="pct"/>
            <w:tcBorders>
              <w:top w:val="single" w:color="000000" w:sz="4" w:space="0"/>
              <w:left w:val="single" w:color="000000" w:sz="4" w:space="0"/>
              <w:bottom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符合</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420" w:type="pct"/>
            <w:tcBorders>
              <w:top w:val="single" w:color="000000" w:sz="4" w:space="0"/>
              <w:bottom w:val="single" w:color="000000" w:sz="4" w:space="0"/>
              <w:right w:val="single" w:color="000000" w:sz="4" w:space="0"/>
            </w:tcBorders>
            <w:shd w:val="clear" w:color="auto" w:fill="auto"/>
            <w:vAlign w:val="center"/>
          </w:tcPr>
          <w:p>
            <w:pPr>
              <w:widowControl/>
              <w:numPr>
                <w:ilvl w:val="0"/>
                <w:numId w:val="60"/>
              </w:numPr>
              <w:tabs>
                <w:tab w:val="left" w:pos="397"/>
                <w:tab w:val="clear" w:pos="0"/>
              </w:tabs>
              <w:spacing w:line="240" w:lineRule="auto"/>
              <w:ind w:firstLine="0" w:firstLineChars="0"/>
              <w:jc w:val="center"/>
              <w:textAlignment w:val="center"/>
              <w:rPr>
                <w:rFonts w:ascii="宋体" w:hAnsi="宋体" w:cs="宋体"/>
                <w:color w:val="000000"/>
                <w:kern w:val="0"/>
                <w:sz w:val="24"/>
                <w:szCs w:val="24"/>
                <w:lang w:bidi="ar"/>
              </w:rPr>
            </w:pPr>
          </w:p>
        </w:tc>
        <w:tc>
          <w:tcPr>
            <w:tcW w:w="1734" w:type="pct"/>
            <w:tcBorders>
              <w:top w:val="single" w:color="000000" w:sz="4" w:space="0"/>
              <w:left w:val="single" w:color="000000" w:sz="4" w:space="0"/>
              <w:bottom w:val="single" w:color="000000" w:sz="4" w:space="0"/>
              <w:right w:val="single" w:color="000000" w:sz="4" w:space="0"/>
            </w:tcBorders>
            <w:shd w:val="clear" w:color="auto" w:fill="auto"/>
            <w:vAlign w:val="center"/>
          </w:tcPr>
          <w:p>
            <w:pPr>
              <w:wordWrap w:val="0"/>
              <w:spacing w:line="240" w:lineRule="auto"/>
              <w:ind w:firstLine="0" w:firstLineChars="0"/>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 xml:space="preserve">喷粉室不应兼作喷漆室。 </w:t>
            </w:r>
          </w:p>
          <w:p>
            <w:pPr>
              <w:wordWrap w:val="0"/>
              <w:spacing w:line="240" w:lineRule="auto"/>
              <w:ind w:firstLine="0" w:firstLineChars="0"/>
              <w:textAlignment w:val="center"/>
              <w:rPr>
                <w:rFonts w:ascii="宋体" w:hAnsi="宋体" w:cs="宋体"/>
                <w:color w:val="000000"/>
                <w:kern w:val="0"/>
                <w:sz w:val="24"/>
                <w:szCs w:val="24"/>
                <w:lang w:bidi="ar"/>
              </w:rPr>
            </w:pP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pPr>
              <w:wordWrap w:val="0"/>
              <w:spacing w:line="240" w:lineRule="auto"/>
              <w:ind w:firstLine="0" w:firstLineChars="0"/>
              <w:textAlignment w:val="center"/>
              <w:rPr>
                <w:rFonts w:ascii="宋体" w:hAnsi="宋体" w:cs="宋体"/>
                <w:color w:val="000000"/>
                <w:kern w:val="0"/>
                <w:sz w:val="24"/>
                <w:szCs w:val="24"/>
                <w:lang w:bidi="ar"/>
              </w:rPr>
            </w:pPr>
            <w:r>
              <w:rPr>
                <w:rFonts w:ascii="宋体" w:hAnsi="宋体" w:cs="宋体"/>
                <w:color w:val="000000"/>
                <w:kern w:val="0"/>
                <w:sz w:val="24"/>
                <w:szCs w:val="24"/>
                <w:lang w:bidi="ar"/>
              </w:rPr>
              <w:t>《涂装作业安全规程 粉末静电喷涂工艺安全》</w:t>
            </w:r>
            <w:r>
              <w:rPr>
                <w:rFonts w:hint="eastAsia" w:ascii="宋体" w:hAnsi="宋体" w:cs="宋体"/>
                <w:color w:val="000000"/>
                <w:kern w:val="0"/>
                <w:sz w:val="24"/>
                <w:szCs w:val="24"/>
                <w:lang w:bidi="ar"/>
              </w:rPr>
              <w:t>（</w:t>
            </w:r>
            <w:r>
              <w:rPr>
                <w:rFonts w:ascii="宋体" w:hAnsi="宋体" w:cs="宋体"/>
                <w:color w:val="000000"/>
                <w:kern w:val="0"/>
                <w:sz w:val="24"/>
                <w:szCs w:val="24"/>
                <w:lang w:bidi="ar"/>
              </w:rPr>
              <w:t xml:space="preserve">GB 15607—2008 </w:t>
            </w:r>
            <w:r>
              <w:rPr>
                <w:rFonts w:hint="eastAsia" w:ascii="宋体" w:hAnsi="宋体" w:cs="宋体"/>
                <w:color w:val="000000"/>
                <w:kern w:val="0"/>
                <w:sz w:val="24"/>
                <w:szCs w:val="24"/>
                <w:lang w:bidi="ar"/>
              </w:rPr>
              <w:t>）4.4.5</w:t>
            </w:r>
          </w:p>
        </w:tc>
        <w:tc>
          <w:tcPr>
            <w:tcW w:w="137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喷粉室未兼作喷漆室。</w:t>
            </w:r>
          </w:p>
        </w:tc>
        <w:tc>
          <w:tcPr>
            <w:tcW w:w="534" w:type="pct"/>
            <w:tcBorders>
              <w:top w:val="single" w:color="000000" w:sz="4" w:space="0"/>
              <w:left w:val="single" w:color="000000" w:sz="4" w:space="0"/>
              <w:bottom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符合</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420" w:type="pct"/>
            <w:tcBorders>
              <w:top w:val="single" w:color="000000" w:sz="4" w:space="0"/>
              <w:bottom w:val="single" w:color="000000" w:sz="4" w:space="0"/>
              <w:right w:val="single" w:color="000000" w:sz="4" w:space="0"/>
            </w:tcBorders>
            <w:shd w:val="clear" w:color="auto" w:fill="auto"/>
            <w:vAlign w:val="center"/>
          </w:tcPr>
          <w:p>
            <w:pPr>
              <w:widowControl/>
              <w:numPr>
                <w:ilvl w:val="0"/>
                <w:numId w:val="60"/>
              </w:numPr>
              <w:tabs>
                <w:tab w:val="left" w:pos="397"/>
                <w:tab w:val="clear" w:pos="0"/>
              </w:tabs>
              <w:spacing w:line="240" w:lineRule="auto"/>
              <w:ind w:firstLine="0" w:firstLineChars="0"/>
              <w:jc w:val="center"/>
              <w:textAlignment w:val="center"/>
              <w:rPr>
                <w:rFonts w:ascii="宋体" w:hAnsi="宋体" w:cs="宋体"/>
                <w:color w:val="000000"/>
                <w:kern w:val="0"/>
                <w:sz w:val="24"/>
                <w:szCs w:val="24"/>
                <w:lang w:bidi="ar"/>
              </w:rPr>
            </w:pPr>
          </w:p>
        </w:tc>
        <w:tc>
          <w:tcPr>
            <w:tcW w:w="1734" w:type="pct"/>
            <w:tcBorders>
              <w:top w:val="single" w:color="000000" w:sz="4" w:space="0"/>
              <w:left w:val="single" w:color="000000" w:sz="4" w:space="0"/>
              <w:bottom w:val="single" w:color="000000" w:sz="4" w:space="0"/>
              <w:right w:val="single" w:color="000000" w:sz="4" w:space="0"/>
            </w:tcBorders>
            <w:shd w:val="clear" w:color="auto" w:fill="auto"/>
            <w:vAlign w:val="center"/>
          </w:tcPr>
          <w:p>
            <w:pPr>
              <w:wordWrap w:val="0"/>
              <w:spacing w:line="240" w:lineRule="auto"/>
              <w:ind w:firstLine="0" w:firstLineChars="0"/>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 xml:space="preserve">喷粉区内电气设备应采用防爆、防尘型电气设备，其选型应符合表 1 的规定： </w:t>
            </w:r>
          </w:p>
          <w:p>
            <w:pPr>
              <w:wordWrap w:val="0"/>
              <w:spacing w:line="240" w:lineRule="auto"/>
              <w:ind w:firstLine="0" w:firstLineChars="0"/>
              <w:textAlignment w:val="center"/>
              <w:rPr>
                <w:rFonts w:ascii="宋体" w:hAnsi="宋体" w:cs="宋体"/>
                <w:color w:val="000000"/>
                <w:kern w:val="0"/>
                <w:sz w:val="24"/>
                <w:szCs w:val="24"/>
                <w:lang w:bidi="ar"/>
              </w:rPr>
            </w:pP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pPr>
              <w:wordWrap w:val="0"/>
              <w:spacing w:line="240" w:lineRule="auto"/>
              <w:ind w:firstLine="0" w:firstLineChars="0"/>
              <w:textAlignment w:val="center"/>
              <w:rPr>
                <w:rFonts w:ascii="宋体" w:hAnsi="宋体" w:cs="宋体"/>
                <w:color w:val="000000"/>
                <w:kern w:val="0"/>
                <w:sz w:val="24"/>
                <w:szCs w:val="24"/>
                <w:lang w:bidi="ar"/>
              </w:rPr>
            </w:pPr>
            <w:r>
              <w:rPr>
                <w:rFonts w:ascii="宋体" w:hAnsi="宋体" w:cs="宋体"/>
                <w:color w:val="000000"/>
                <w:kern w:val="0"/>
                <w:sz w:val="24"/>
                <w:szCs w:val="24"/>
                <w:lang w:bidi="ar"/>
              </w:rPr>
              <w:t>《涂装作业安全规程 粉末静电喷涂工艺安全》</w:t>
            </w:r>
            <w:r>
              <w:rPr>
                <w:rFonts w:hint="eastAsia" w:ascii="宋体" w:hAnsi="宋体" w:cs="宋体"/>
                <w:color w:val="000000"/>
                <w:kern w:val="0"/>
                <w:sz w:val="24"/>
                <w:szCs w:val="24"/>
                <w:lang w:bidi="ar"/>
              </w:rPr>
              <w:t>（</w:t>
            </w:r>
            <w:r>
              <w:rPr>
                <w:rFonts w:ascii="宋体" w:hAnsi="宋体" w:cs="宋体"/>
                <w:color w:val="000000"/>
                <w:kern w:val="0"/>
                <w:sz w:val="24"/>
                <w:szCs w:val="24"/>
                <w:lang w:bidi="ar"/>
              </w:rPr>
              <w:t xml:space="preserve">GB 15607—2008 </w:t>
            </w:r>
            <w:r>
              <w:rPr>
                <w:rFonts w:hint="eastAsia" w:ascii="宋体" w:hAnsi="宋体" w:cs="宋体"/>
                <w:color w:val="000000"/>
                <w:kern w:val="0"/>
                <w:sz w:val="24"/>
                <w:szCs w:val="24"/>
                <w:lang w:bidi="ar"/>
              </w:rPr>
              <w:t>）</w:t>
            </w:r>
            <w:r>
              <w:rPr>
                <w:rFonts w:ascii="黑体" w:hAnsi="宋体" w:eastAsia="黑体" w:cs="黑体"/>
                <w:color w:val="000000"/>
                <w:kern w:val="0"/>
                <w:sz w:val="21"/>
                <w:szCs w:val="21"/>
                <w:lang w:bidi="ar"/>
              </w:rPr>
              <w:t xml:space="preserve">4.8.1 </w:t>
            </w:r>
          </w:p>
        </w:tc>
        <w:tc>
          <w:tcPr>
            <w:tcW w:w="137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喷粉区内电气设备应采用防爆、防尘型电气设备。</w:t>
            </w:r>
          </w:p>
        </w:tc>
        <w:tc>
          <w:tcPr>
            <w:tcW w:w="534" w:type="pct"/>
            <w:tcBorders>
              <w:top w:val="single" w:color="000000" w:sz="4" w:space="0"/>
              <w:left w:val="single" w:color="000000" w:sz="4" w:space="0"/>
              <w:bottom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符合</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420" w:type="pct"/>
            <w:tcBorders>
              <w:top w:val="single" w:color="000000" w:sz="4" w:space="0"/>
              <w:bottom w:val="single" w:color="000000" w:sz="4" w:space="0"/>
              <w:right w:val="single" w:color="000000" w:sz="4" w:space="0"/>
            </w:tcBorders>
            <w:shd w:val="clear" w:color="auto" w:fill="auto"/>
            <w:vAlign w:val="center"/>
          </w:tcPr>
          <w:p>
            <w:pPr>
              <w:widowControl/>
              <w:numPr>
                <w:ilvl w:val="0"/>
                <w:numId w:val="60"/>
              </w:numPr>
              <w:tabs>
                <w:tab w:val="left" w:pos="397"/>
                <w:tab w:val="clear" w:pos="0"/>
              </w:tabs>
              <w:spacing w:line="240" w:lineRule="auto"/>
              <w:ind w:firstLine="0" w:firstLineChars="0"/>
              <w:jc w:val="center"/>
              <w:textAlignment w:val="center"/>
              <w:rPr>
                <w:rFonts w:ascii="宋体" w:hAnsi="宋体" w:cs="宋体"/>
                <w:color w:val="000000"/>
                <w:kern w:val="0"/>
                <w:sz w:val="24"/>
                <w:szCs w:val="24"/>
                <w:lang w:bidi="ar"/>
              </w:rPr>
            </w:pPr>
          </w:p>
        </w:tc>
        <w:tc>
          <w:tcPr>
            <w:tcW w:w="1734" w:type="pct"/>
            <w:tcBorders>
              <w:top w:val="single" w:color="000000" w:sz="4" w:space="0"/>
              <w:left w:val="single" w:color="000000" w:sz="4" w:space="0"/>
              <w:bottom w:val="single" w:color="000000" w:sz="4" w:space="0"/>
              <w:right w:val="single" w:color="000000" w:sz="4" w:space="0"/>
            </w:tcBorders>
            <w:shd w:val="clear" w:color="auto" w:fill="auto"/>
            <w:vAlign w:val="center"/>
          </w:tcPr>
          <w:p>
            <w:pPr>
              <w:wordWrap w:val="0"/>
              <w:spacing w:line="240" w:lineRule="auto"/>
              <w:ind w:firstLine="0" w:firstLineChars="0"/>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 xml:space="preserve">喷粉区内，接触粉体的设备表面温度不得高于粉末的软化点温度，电气设备表面温升应符合 GB 50058 的规定。 </w:t>
            </w:r>
          </w:p>
          <w:p>
            <w:pPr>
              <w:wordWrap w:val="0"/>
              <w:spacing w:line="240" w:lineRule="auto"/>
              <w:ind w:firstLine="0" w:firstLineChars="0"/>
              <w:textAlignment w:val="center"/>
              <w:rPr>
                <w:rFonts w:ascii="宋体" w:hAnsi="宋体" w:cs="宋体"/>
                <w:color w:val="000000"/>
                <w:kern w:val="0"/>
                <w:sz w:val="24"/>
                <w:szCs w:val="24"/>
                <w:lang w:bidi="ar"/>
              </w:rPr>
            </w:pP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pPr>
              <w:wordWrap w:val="0"/>
              <w:spacing w:line="240" w:lineRule="auto"/>
              <w:ind w:firstLine="0" w:firstLineChars="0"/>
              <w:textAlignment w:val="center"/>
              <w:rPr>
                <w:rFonts w:ascii="宋体" w:hAnsi="宋体" w:cs="宋体"/>
                <w:color w:val="000000"/>
                <w:kern w:val="0"/>
                <w:sz w:val="24"/>
                <w:szCs w:val="24"/>
                <w:lang w:bidi="ar"/>
              </w:rPr>
            </w:pPr>
            <w:r>
              <w:rPr>
                <w:rFonts w:ascii="宋体" w:hAnsi="宋体" w:cs="宋体"/>
                <w:color w:val="000000"/>
                <w:kern w:val="0"/>
                <w:sz w:val="24"/>
                <w:szCs w:val="24"/>
                <w:lang w:bidi="ar"/>
              </w:rPr>
              <w:t>《涂装作业安全规程 粉末静电喷涂工艺安全》</w:t>
            </w:r>
            <w:r>
              <w:rPr>
                <w:rFonts w:hint="eastAsia" w:ascii="宋体" w:hAnsi="宋体" w:cs="宋体"/>
                <w:color w:val="000000"/>
                <w:kern w:val="0"/>
                <w:sz w:val="24"/>
                <w:szCs w:val="24"/>
                <w:lang w:bidi="ar"/>
              </w:rPr>
              <w:t>（</w:t>
            </w:r>
            <w:r>
              <w:rPr>
                <w:rFonts w:ascii="宋体" w:hAnsi="宋体" w:cs="宋体"/>
                <w:color w:val="000000"/>
                <w:kern w:val="0"/>
                <w:sz w:val="24"/>
                <w:szCs w:val="24"/>
                <w:lang w:bidi="ar"/>
              </w:rPr>
              <w:t xml:space="preserve">GB 15607—2008 </w:t>
            </w:r>
            <w:r>
              <w:rPr>
                <w:rFonts w:hint="eastAsia" w:ascii="宋体" w:hAnsi="宋体" w:cs="宋体"/>
                <w:color w:val="000000"/>
                <w:kern w:val="0"/>
                <w:sz w:val="24"/>
                <w:szCs w:val="24"/>
                <w:lang w:bidi="ar"/>
              </w:rPr>
              <w:t xml:space="preserve">）4.8.2 </w:t>
            </w:r>
          </w:p>
        </w:tc>
        <w:tc>
          <w:tcPr>
            <w:tcW w:w="137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喷粉区内，接触粉体的设备表面温度不高于粉末的软化点温度。电气设备表面温升应符合 GB 50058 的规定。</w:t>
            </w:r>
          </w:p>
        </w:tc>
        <w:tc>
          <w:tcPr>
            <w:tcW w:w="534" w:type="pct"/>
            <w:tcBorders>
              <w:top w:val="single" w:color="000000" w:sz="4" w:space="0"/>
              <w:left w:val="single" w:color="000000" w:sz="4" w:space="0"/>
              <w:bottom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符合</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420" w:type="pct"/>
            <w:tcBorders>
              <w:top w:val="single" w:color="000000" w:sz="4" w:space="0"/>
              <w:bottom w:val="single" w:color="000000" w:sz="4" w:space="0"/>
              <w:right w:val="single" w:color="000000" w:sz="4" w:space="0"/>
            </w:tcBorders>
            <w:shd w:val="clear" w:color="auto" w:fill="auto"/>
            <w:vAlign w:val="center"/>
          </w:tcPr>
          <w:p>
            <w:pPr>
              <w:widowControl/>
              <w:numPr>
                <w:ilvl w:val="0"/>
                <w:numId w:val="60"/>
              </w:numPr>
              <w:tabs>
                <w:tab w:val="left" w:pos="397"/>
                <w:tab w:val="clear" w:pos="0"/>
              </w:tabs>
              <w:spacing w:line="240" w:lineRule="auto"/>
              <w:ind w:firstLine="0" w:firstLineChars="0"/>
              <w:jc w:val="center"/>
              <w:textAlignment w:val="center"/>
              <w:rPr>
                <w:rFonts w:ascii="宋体" w:hAnsi="宋体" w:cs="宋体"/>
                <w:color w:val="000000"/>
                <w:kern w:val="0"/>
                <w:sz w:val="24"/>
                <w:szCs w:val="24"/>
                <w:lang w:bidi="ar"/>
              </w:rPr>
            </w:pPr>
          </w:p>
        </w:tc>
        <w:tc>
          <w:tcPr>
            <w:tcW w:w="1734" w:type="pct"/>
            <w:tcBorders>
              <w:top w:val="single" w:color="000000" w:sz="4" w:space="0"/>
              <w:left w:val="single" w:color="000000" w:sz="4" w:space="0"/>
              <w:bottom w:val="single" w:color="000000" w:sz="4" w:space="0"/>
              <w:right w:val="single" w:color="000000" w:sz="4" w:space="0"/>
            </w:tcBorders>
            <w:shd w:val="clear" w:color="auto" w:fill="auto"/>
            <w:vAlign w:val="center"/>
          </w:tcPr>
          <w:p>
            <w:pPr>
              <w:wordWrap w:val="0"/>
              <w:spacing w:line="240" w:lineRule="auto"/>
              <w:ind w:firstLine="0" w:firstLineChars="0"/>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 xml:space="preserve">电气线路 </w:t>
            </w:r>
          </w:p>
          <w:p>
            <w:pPr>
              <w:wordWrap w:val="0"/>
              <w:spacing w:line="240" w:lineRule="auto"/>
              <w:ind w:firstLine="0" w:firstLineChars="0"/>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进入喷粉区内的电气线路应符合GB 50058的规定。</w:t>
            </w:r>
          </w:p>
          <w:p>
            <w:pPr>
              <w:wordWrap w:val="0"/>
              <w:spacing w:line="240" w:lineRule="auto"/>
              <w:ind w:firstLine="0" w:firstLineChars="0"/>
              <w:textAlignment w:val="center"/>
              <w:rPr>
                <w:rFonts w:ascii="宋体" w:hAnsi="宋体" w:cs="宋体"/>
                <w:color w:val="000000"/>
                <w:kern w:val="0"/>
                <w:sz w:val="24"/>
                <w:szCs w:val="24"/>
                <w:lang w:bidi="ar"/>
              </w:rPr>
            </w:pPr>
          </w:p>
        </w:tc>
        <w:tc>
          <w:tcPr>
            <w:tcW w:w="934" w:type="pct"/>
            <w:tcBorders>
              <w:top w:val="single" w:color="000000" w:sz="4" w:space="0"/>
              <w:left w:val="single" w:color="000000" w:sz="4" w:space="0"/>
              <w:bottom w:val="single" w:color="000000" w:sz="4" w:space="0"/>
              <w:right w:val="single" w:color="000000" w:sz="4" w:space="0"/>
            </w:tcBorders>
            <w:shd w:val="clear" w:color="auto" w:fill="auto"/>
            <w:vAlign w:val="center"/>
          </w:tcPr>
          <w:p>
            <w:pPr>
              <w:wordWrap w:val="0"/>
              <w:spacing w:line="240" w:lineRule="auto"/>
              <w:ind w:firstLine="0" w:firstLineChars="0"/>
              <w:textAlignment w:val="center"/>
              <w:rPr>
                <w:rFonts w:ascii="宋体" w:hAnsi="宋体" w:cs="宋体"/>
                <w:color w:val="000000"/>
                <w:kern w:val="0"/>
                <w:sz w:val="24"/>
                <w:szCs w:val="24"/>
                <w:lang w:bidi="ar"/>
              </w:rPr>
            </w:pPr>
            <w:r>
              <w:rPr>
                <w:rFonts w:ascii="宋体" w:hAnsi="宋体" w:cs="宋体"/>
                <w:color w:val="000000"/>
                <w:kern w:val="0"/>
                <w:sz w:val="24"/>
                <w:szCs w:val="24"/>
                <w:lang w:bidi="ar"/>
              </w:rPr>
              <w:t>《涂装作业安全规程 粉末静电喷涂工艺安全》</w:t>
            </w:r>
            <w:r>
              <w:rPr>
                <w:rFonts w:hint="eastAsia" w:ascii="宋体" w:hAnsi="宋体" w:cs="宋体"/>
                <w:color w:val="000000"/>
                <w:kern w:val="0"/>
                <w:sz w:val="24"/>
                <w:szCs w:val="24"/>
                <w:lang w:bidi="ar"/>
              </w:rPr>
              <w:t>（</w:t>
            </w:r>
            <w:r>
              <w:rPr>
                <w:rFonts w:ascii="宋体" w:hAnsi="宋体" w:cs="宋体"/>
                <w:color w:val="000000"/>
                <w:kern w:val="0"/>
                <w:sz w:val="24"/>
                <w:szCs w:val="24"/>
                <w:lang w:bidi="ar"/>
              </w:rPr>
              <w:t>GB 15607—2008</w:t>
            </w:r>
            <w:r>
              <w:rPr>
                <w:rFonts w:hint="eastAsia" w:ascii="宋体" w:hAnsi="宋体" w:cs="宋体"/>
                <w:color w:val="000000"/>
                <w:kern w:val="0"/>
                <w:sz w:val="24"/>
                <w:szCs w:val="24"/>
                <w:lang w:bidi="ar"/>
              </w:rPr>
              <w:t>）</w:t>
            </w:r>
            <w:r>
              <w:rPr>
                <w:rFonts w:ascii="宋体" w:hAnsi="宋体" w:cs="宋体"/>
                <w:color w:val="000000"/>
                <w:kern w:val="0"/>
                <w:sz w:val="24"/>
                <w:szCs w:val="24"/>
                <w:lang w:bidi="ar"/>
              </w:rPr>
              <w:t xml:space="preserve"> </w:t>
            </w:r>
            <w:r>
              <w:rPr>
                <w:rFonts w:hint="eastAsia" w:ascii="宋体" w:hAnsi="宋体" w:cs="宋体"/>
                <w:color w:val="000000"/>
                <w:kern w:val="0"/>
                <w:sz w:val="24"/>
                <w:szCs w:val="24"/>
                <w:lang w:bidi="ar"/>
              </w:rPr>
              <w:t>4.9</w:t>
            </w:r>
          </w:p>
        </w:tc>
        <w:tc>
          <w:tcPr>
            <w:tcW w:w="137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firstLine="0" w:firstLineChars="0"/>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进入喷粉区内的电气线路符合GB 50058的规定。</w:t>
            </w:r>
          </w:p>
          <w:p>
            <w:pPr>
              <w:widowControl/>
              <w:spacing w:line="240" w:lineRule="auto"/>
              <w:ind w:firstLine="0" w:firstLineChars="0"/>
              <w:textAlignment w:val="center"/>
              <w:rPr>
                <w:rFonts w:ascii="宋体" w:hAnsi="宋体" w:cs="宋体"/>
                <w:color w:val="000000"/>
                <w:kern w:val="0"/>
                <w:sz w:val="24"/>
                <w:szCs w:val="24"/>
                <w:lang w:bidi="ar"/>
              </w:rPr>
            </w:pPr>
          </w:p>
        </w:tc>
        <w:tc>
          <w:tcPr>
            <w:tcW w:w="534" w:type="pct"/>
            <w:tcBorders>
              <w:top w:val="single" w:color="000000" w:sz="4" w:space="0"/>
              <w:left w:val="single" w:color="000000" w:sz="4" w:space="0"/>
              <w:bottom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符合</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1505" w:hRule="atLeast"/>
        </w:trPr>
        <w:tc>
          <w:tcPr>
            <w:tcW w:w="420" w:type="pct"/>
            <w:tcBorders>
              <w:top w:val="single" w:color="000000" w:sz="4" w:space="0"/>
              <w:right w:val="single" w:color="000000" w:sz="4" w:space="0"/>
            </w:tcBorders>
            <w:shd w:val="clear" w:color="auto" w:fill="auto"/>
            <w:vAlign w:val="center"/>
          </w:tcPr>
          <w:p>
            <w:pPr>
              <w:widowControl/>
              <w:numPr>
                <w:ilvl w:val="0"/>
                <w:numId w:val="60"/>
              </w:numPr>
              <w:tabs>
                <w:tab w:val="left" w:pos="397"/>
                <w:tab w:val="clear" w:pos="0"/>
              </w:tabs>
              <w:spacing w:line="240" w:lineRule="auto"/>
              <w:ind w:firstLine="0" w:firstLineChars="0"/>
              <w:jc w:val="center"/>
              <w:textAlignment w:val="center"/>
              <w:rPr>
                <w:rFonts w:ascii="宋体" w:hAnsi="宋体" w:cs="宋体"/>
                <w:color w:val="000000"/>
                <w:kern w:val="0"/>
                <w:sz w:val="24"/>
                <w:szCs w:val="24"/>
                <w:lang w:bidi="ar"/>
              </w:rPr>
            </w:pPr>
          </w:p>
        </w:tc>
        <w:tc>
          <w:tcPr>
            <w:tcW w:w="1734" w:type="pct"/>
            <w:tcBorders>
              <w:top w:val="single" w:color="000000" w:sz="4" w:space="0"/>
              <w:left w:val="single" w:color="000000" w:sz="4" w:space="0"/>
              <w:right w:val="single" w:color="000000" w:sz="4" w:space="0"/>
            </w:tcBorders>
            <w:shd w:val="clear" w:color="auto" w:fill="auto"/>
            <w:vAlign w:val="center"/>
          </w:tcPr>
          <w:p>
            <w:pPr>
              <w:wordWrap w:val="0"/>
              <w:spacing w:line="240" w:lineRule="auto"/>
              <w:ind w:firstLine="0" w:firstLineChars="0"/>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 xml:space="preserve">静电接地 </w:t>
            </w:r>
          </w:p>
          <w:p>
            <w:pPr>
              <w:wordWrap w:val="0"/>
              <w:spacing w:line="240" w:lineRule="auto"/>
              <w:ind w:firstLine="0" w:firstLineChars="0"/>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喷粉区内所有导体都应可靠接地，每组专设的静电接电体接地电阻应小于100Ω，带电体的带电区对大地总泄漏电阻一般应小于1×106Ω，特殊情况下可放宽至1×109Ω。挂具与工件的接触区域应采用尖刺或刀刃状，确保工件接地电阻不大于1×106Ω。也可采用静电消除器，消除工件的积聚电荷。</w:t>
            </w:r>
          </w:p>
        </w:tc>
        <w:tc>
          <w:tcPr>
            <w:tcW w:w="934" w:type="pct"/>
            <w:tcBorders>
              <w:top w:val="single" w:color="000000" w:sz="4" w:space="0"/>
              <w:left w:val="single" w:color="000000" w:sz="4" w:space="0"/>
              <w:right w:val="single" w:color="000000" w:sz="4" w:space="0"/>
            </w:tcBorders>
            <w:shd w:val="clear" w:color="auto" w:fill="auto"/>
            <w:vAlign w:val="center"/>
          </w:tcPr>
          <w:p>
            <w:pPr>
              <w:wordWrap w:val="0"/>
              <w:spacing w:line="240" w:lineRule="auto"/>
              <w:ind w:firstLine="0" w:firstLineChars="0"/>
              <w:textAlignment w:val="center"/>
              <w:rPr>
                <w:rFonts w:ascii="宋体" w:hAnsi="宋体" w:cs="宋体"/>
                <w:color w:val="000000"/>
                <w:kern w:val="0"/>
                <w:sz w:val="24"/>
                <w:szCs w:val="24"/>
                <w:lang w:bidi="ar"/>
              </w:rPr>
            </w:pPr>
            <w:r>
              <w:rPr>
                <w:rFonts w:ascii="宋体" w:hAnsi="宋体" w:cs="宋体"/>
                <w:color w:val="000000"/>
                <w:kern w:val="0"/>
                <w:sz w:val="24"/>
                <w:szCs w:val="24"/>
                <w:lang w:bidi="ar"/>
              </w:rPr>
              <w:t>《涂装作业安全规程 粉末静电喷涂工艺安全》</w:t>
            </w:r>
            <w:r>
              <w:rPr>
                <w:rFonts w:hint="eastAsia" w:ascii="宋体" w:hAnsi="宋体" w:cs="宋体"/>
                <w:color w:val="000000"/>
                <w:kern w:val="0"/>
                <w:sz w:val="24"/>
                <w:szCs w:val="24"/>
                <w:lang w:bidi="ar"/>
              </w:rPr>
              <w:t>（</w:t>
            </w:r>
            <w:r>
              <w:rPr>
                <w:rFonts w:ascii="宋体" w:hAnsi="宋体" w:cs="宋体"/>
                <w:color w:val="000000"/>
                <w:kern w:val="0"/>
                <w:sz w:val="24"/>
                <w:szCs w:val="24"/>
                <w:lang w:bidi="ar"/>
              </w:rPr>
              <w:t>GB 15607—2008</w:t>
            </w:r>
            <w:r>
              <w:rPr>
                <w:rFonts w:hint="eastAsia" w:ascii="宋体" w:hAnsi="宋体" w:cs="宋体"/>
                <w:color w:val="000000"/>
                <w:kern w:val="0"/>
                <w:sz w:val="24"/>
                <w:szCs w:val="24"/>
                <w:lang w:bidi="ar"/>
              </w:rPr>
              <w:t xml:space="preserve">）4.10 </w:t>
            </w:r>
          </w:p>
        </w:tc>
        <w:tc>
          <w:tcPr>
            <w:tcW w:w="1375" w:type="pct"/>
            <w:tcBorders>
              <w:top w:val="single" w:color="000000" w:sz="4" w:space="0"/>
              <w:left w:val="single" w:color="000000" w:sz="4" w:space="0"/>
              <w:right w:val="single" w:color="000000" w:sz="4" w:space="0"/>
            </w:tcBorders>
            <w:shd w:val="clear" w:color="auto" w:fill="auto"/>
            <w:vAlign w:val="center"/>
          </w:tcPr>
          <w:p>
            <w:pPr>
              <w:widowControl/>
              <w:spacing w:line="240" w:lineRule="auto"/>
              <w:ind w:firstLine="0" w:firstLineChars="0"/>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喷粉区内所有导体都进行可靠接地。</w:t>
            </w:r>
          </w:p>
        </w:tc>
        <w:tc>
          <w:tcPr>
            <w:tcW w:w="534" w:type="pct"/>
            <w:tcBorders>
              <w:top w:val="single" w:color="000000" w:sz="4" w:space="0"/>
              <w:left w:val="single" w:color="000000" w:sz="4" w:space="0"/>
            </w:tcBorders>
            <w:shd w:val="clear" w:color="auto" w:fill="auto"/>
            <w:vAlign w:val="center"/>
          </w:tcPr>
          <w:p>
            <w:pPr>
              <w:widowControl/>
              <w:spacing w:line="240" w:lineRule="auto"/>
              <w:ind w:firstLine="0" w:firstLineChars="0"/>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符合</w:t>
            </w:r>
          </w:p>
        </w:tc>
      </w:tr>
    </w:tbl>
    <w:p>
      <w:pPr>
        <w:ind w:firstLine="560"/>
      </w:pPr>
      <w:r>
        <w:t>针对</w:t>
      </w:r>
      <w:r>
        <w:rPr>
          <w:rFonts w:hint="eastAsia"/>
        </w:rPr>
        <w:t>生产工艺系统、装置、设施、设备单元</w:t>
      </w:r>
      <w:r>
        <w:t>符合性</w:t>
      </w:r>
      <w:r>
        <w:rPr>
          <w:rFonts w:hint="eastAsia"/>
        </w:rPr>
        <w:t>安全检查符合</w:t>
      </w:r>
      <w:r>
        <w:rPr>
          <w:rFonts w:hint="eastAsia"/>
          <w:lang w:eastAsia="zh-CN"/>
        </w:rPr>
        <w:t>《</w:t>
      </w:r>
      <w:r>
        <w:rPr>
          <w:rFonts w:hint="eastAsia"/>
        </w:rPr>
        <w:t>高温熔融金属吊运安全规程</w:t>
      </w:r>
      <w:r>
        <w:rPr>
          <w:rFonts w:hint="eastAsia"/>
          <w:lang w:eastAsia="zh-CN"/>
        </w:rPr>
        <w:t>》</w:t>
      </w:r>
      <w:r>
        <w:rPr>
          <w:rFonts w:hint="eastAsia"/>
        </w:rPr>
        <w:t>(AQ 7011-2018)、《</w:t>
      </w:r>
      <w:r>
        <w:t>起重机械安全规程 第 1 部分：总则</w:t>
      </w:r>
      <w:r>
        <w:rPr>
          <w:rFonts w:hint="eastAsia"/>
        </w:rPr>
        <w:t>》（GB/T 6067.1-2010）、《</w:t>
      </w:r>
      <w:r>
        <w:t>固定式压力容器安全技术监察规程</w:t>
      </w:r>
      <w:r>
        <w:rPr>
          <w:rFonts w:hint="eastAsia"/>
        </w:rPr>
        <w:t>》(</w:t>
      </w:r>
      <w:r>
        <w:rPr>
          <w:rFonts w:hint="eastAsia" w:ascii="宋体" w:hAnsi="宋体" w:cs="宋体"/>
        </w:rPr>
        <w:t>TSG 21-2016/XG1-2020)</w:t>
      </w:r>
      <w:r>
        <w:rPr>
          <w:rFonts w:hint="eastAsia"/>
        </w:rPr>
        <w:t>、《电热装置基本技术条件 第31部分：中频无心感应炉》（GB/T 10067.31-2013)等相关规范要求。</w:t>
      </w:r>
    </w:p>
    <w:bookmarkEnd w:id="280"/>
    <w:bookmarkEnd w:id="281"/>
    <w:bookmarkEnd w:id="282"/>
    <w:p>
      <w:pPr>
        <w:pStyle w:val="5"/>
        <w:spacing w:before="156" w:after="156"/>
      </w:pPr>
      <w:bookmarkStart w:id="292" w:name="_Toc498519833"/>
      <w:bookmarkStart w:id="293" w:name="_Toc500007171"/>
      <w:bookmarkStart w:id="294" w:name="_Toc498299363"/>
      <w:bookmarkStart w:id="295" w:name="_Toc8957"/>
      <w:r>
        <w:t>公用工程及辅助设施单元</w:t>
      </w:r>
      <w:bookmarkEnd w:id="292"/>
      <w:bookmarkEnd w:id="293"/>
      <w:bookmarkEnd w:id="294"/>
      <w:bookmarkEnd w:id="295"/>
    </w:p>
    <w:p>
      <w:pPr>
        <w:pStyle w:val="6"/>
        <w:keepNext w:val="0"/>
        <w:keepLines w:val="0"/>
        <w:spacing w:before="156" w:after="156"/>
      </w:pPr>
      <w:bookmarkStart w:id="296" w:name="_Toc498519834"/>
      <w:bookmarkStart w:id="297" w:name="_Toc500007172"/>
      <w:bookmarkStart w:id="298" w:name="_Toc498299364"/>
      <w:bookmarkStart w:id="299" w:name="_Toc21751"/>
      <w:r>
        <w:t>电气安全</w:t>
      </w:r>
      <w:bookmarkEnd w:id="296"/>
      <w:bookmarkEnd w:id="297"/>
      <w:bookmarkEnd w:id="298"/>
      <w:bookmarkEnd w:id="299"/>
    </w:p>
    <w:p>
      <w:pPr>
        <w:numPr>
          <w:ilvl w:val="0"/>
          <w:numId w:val="61"/>
        </w:numPr>
        <w:ind w:firstLine="560"/>
        <w:rPr>
          <w:rFonts w:ascii="宋体" w:hAnsi="宋体" w:cs="宋体"/>
        </w:rPr>
      </w:pPr>
      <w:r>
        <w:rPr>
          <w:rFonts w:hint="eastAsia" w:ascii="宋体" w:hAnsi="宋体" w:cs="宋体"/>
        </w:rPr>
        <w:t>供配电安全检查表</w:t>
      </w:r>
    </w:p>
    <w:p>
      <w:pPr>
        <w:ind w:firstLine="560"/>
        <w:rPr>
          <w:rFonts w:ascii="宋体" w:hAnsi="宋体" w:cs="宋体"/>
        </w:rPr>
      </w:pPr>
      <w:r>
        <w:rPr>
          <w:rFonts w:hint="eastAsia" w:ascii="宋体" w:hAnsi="宋体" w:cs="宋体"/>
        </w:rPr>
        <w:t>依据《20kV及以下变电所设计规范》（GB50053-2013）、《低压配电设计规范》（GB50054-2011）等标准规范的规定，对该项目供配电系统采用安全检查表法进行分析评价。</w:t>
      </w:r>
    </w:p>
    <w:p>
      <w:pPr>
        <w:pStyle w:val="14"/>
        <w:spacing w:before="156" w:after="156"/>
      </w:pPr>
      <w:r>
        <w:t xml:space="preserve">表 </w:t>
      </w:r>
      <w:r>
        <w:fldChar w:fldCharType="begin"/>
      </w:r>
      <w:r>
        <w:instrText xml:space="preserve"> STYLEREF 2 \s </w:instrText>
      </w:r>
      <w:r>
        <w:fldChar w:fldCharType="separate"/>
      </w:r>
      <w:r>
        <w:t>5.</w:t>
      </w:r>
      <w:r>
        <w:fldChar w:fldCharType="end"/>
      </w:r>
      <w:r>
        <w:rPr>
          <w:rFonts w:hint="eastAsia"/>
        </w:rPr>
        <w:t>6-</w:t>
      </w:r>
      <w:r>
        <w:fldChar w:fldCharType="begin"/>
      </w:r>
      <w:r>
        <w:instrText xml:space="preserve"> SEQ 表 \* ARABIC \s 2 </w:instrText>
      </w:r>
      <w:r>
        <w:fldChar w:fldCharType="separate"/>
      </w:r>
      <w:r>
        <w:t>1</w:t>
      </w:r>
      <w:r>
        <w:fldChar w:fldCharType="end"/>
      </w:r>
      <w:r>
        <w:rPr>
          <w:rFonts w:hint="eastAsia"/>
        </w:rPr>
        <w:t>电气安全</w:t>
      </w:r>
      <w:r>
        <w:t>符合性</w:t>
      </w:r>
      <w:r>
        <w:rPr>
          <w:rFonts w:hint="eastAsia"/>
        </w:rPr>
        <w:t>安全检查表</w:t>
      </w:r>
    </w:p>
    <w:tbl>
      <w:tblPr>
        <w:tblStyle w:val="29"/>
        <w:tblW w:w="5000"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16"/>
        <w:gridCol w:w="2957"/>
        <w:gridCol w:w="1948"/>
        <w:gridCol w:w="1991"/>
        <w:gridCol w:w="91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23" w:hRule="atLeast"/>
        </w:trPr>
        <w:tc>
          <w:tcPr>
            <w:tcW w:w="420" w:type="pct"/>
            <w:shd w:val="clear" w:color="auto" w:fill="auto"/>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序号</w:t>
            </w:r>
          </w:p>
        </w:tc>
        <w:tc>
          <w:tcPr>
            <w:tcW w:w="1734" w:type="pct"/>
            <w:shd w:val="clear" w:color="auto" w:fill="auto"/>
            <w:vAlign w:val="center"/>
          </w:tcPr>
          <w:p>
            <w:pPr>
              <w:spacing w:line="240" w:lineRule="auto"/>
              <w:ind w:firstLine="0" w:firstLineChars="0"/>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检查内容</w:t>
            </w:r>
          </w:p>
        </w:tc>
        <w:tc>
          <w:tcPr>
            <w:tcW w:w="1142" w:type="pct"/>
            <w:shd w:val="clear" w:color="auto" w:fill="auto"/>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评价依据</w:t>
            </w:r>
          </w:p>
        </w:tc>
        <w:tc>
          <w:tcPr>
            <w:tcW w:w="1167" w:type="pct"/>
            <w:shd w:val="clear" w:color="auto" w:fill="auto"/>
            <w:vAlign w:val="center"/>
          </w:tcPr>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检查情况</w:t>
            </w:r>
          </w:p>
        </w:tc>
        <w:tc>
          <w:tcPr>
            <w:tcW w:w="534" w:type="pct"/>
            <w:shd w:val="clear" w:color="auto" w:fill="auto"/>
            <w:vAlign w:val="center"/>
          </w:tcPr>
          <w:p>
            <w:pPr>
              <w:snapToGrid w:val="0"/>
              <w:spacing w:line="240" w:lineRule="auto"/>
              <w:ind w:firstLine="0" w:firstLineChars="0"/>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检查</w:t>
            </w:r>
          </w:p>
          <w:p>
            <w:pPr>
              <w:snapToGrid w:val="0"/>
              <w:spacing w:line="240" w:lineRule="auto"/>
              <w:ind w:firstLine="0" w:firstLineChars="0"/>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结果</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23" w:hRule="atLeast"/>
        </w:trPr>
        <w:tc>
          <w:tcPr>
            <w:tcW w:w="420" w:type="pct"/>
            <w:shd w:val="clear" w:color="auto" w:fill="auto"/>
            <w:vAlign w:val="center"/>
          </w:tcPr>
          <w:p>
            <w:pPr>
              <w:widowControl/>
              <w:numPr>
                <w:ilvl w:val="0"/>
                <w:numId w:val="62"/>
              </w:numPr>
              <w:tabs>
                <w:tab w:val="left" w:pos="397"/>
                <w:tab w:val="clear" w:pos="0"/>
              </w:tabs>
              <w:spacing w:line="240" w:lineRule="auto"/>
              <w:ind w:firstLine="0" w:firstLineChars="0"/>
              <w:jc w:val="center"/>
              <w:textAlignment w:val="center"/>
              <w:rPr>
                <w:rFonts w:ascii="宋体" w:hAnsi="宋体" w:cs="宋体"/>
                <w:color w:val="000000"/>
                <w:kern w:val="0"/>
                <w:sz w:val="24"/>
                <w:szCs w:val="24"/>
                <w:lang w:bidi="ar"/>
              </w:rPr>
            </w:pPr>
          </w:p>
        </w:tc>
        <w:tc>
          <w:tcPr>
            <w:tcW w:w="1734" w:type="pct"/>
            <w:shd w:val="clear" w:color="auto" w:fill="auto"/>
            <w:vAlign w:val="center"/>
          </w:tcPr>
          <w:p>
            <w:pPr>
              <w:spacing w:line="240" w:lineRule="auto"/>
              <w:ind w:firstLine="0" w:firstLineChars="0"/>
              <w:jc w:val="both"/>
              <w:rPr>
                <w:rFonts w:ascii="宋体" w:hAnsi="宋体" w:cs="宋体"/>
                <w:color w:val="000000"/>
                <w:kern w:val="0"/>
                <w:sz w:val="24"/>
                <w:szCs w:val="24"/>
                <w:lang w:bidi="ar"/>
              </w:rPr>
            </w:pPr>
            <w:r>
              <w:rPr>
                <w:rFonts w:hint="eastAsia" w:ascii="宋体" w:hAnsi="宋体" w:cs="宋体"/>
                <w:sz w:val="21"/>
                <w:szCs w:val="21"/>
              </w:rPr>
              <w:t>变压器室、配电室、电容器室的门应向外开启。相邻配电室之间有门时，此门应能双向开启。</w:t>
            </w:r>
          </w:p>
        </w:tc>
        <w:tc>
          <w:tcPr>
            <w:tcW w:w="1142" w:type="pct"/>
            <w:shd w:val="clear" w:color="auto" w:fill="auto"/>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《20kV及以下变电所设计规范》（GB50053-2013）</w:t>
            </w:r>
          </w:p>
          <w:p>
            <w:pPr>
              <w:spacing w:line="240" w:lineRule="auto"/>
              <w:ind w:firstLine="0" w:firstLineChars="0"/>
              <w:jc w:val="center"/>
              <w:rPr>
                <w:rFonts w:ascii="宋体" w:hAnsi="宋体" w:cs="宋体"/>
                <w:color w:val="000000"/>
                <w:kern w:val="0"/>
                <w:sz w:val="24"/>
                <w:szCs w:val="24"/>
                <w:lang w:bidi="ar"/>
              </w:rPr>
            </w:pPr>
            <w:r>
              <w:rPr>
                <w:rFonts w:hint="eastAsia" w:ascii="宋体" w:hAnsi="宋体" w:cs="宋体"/>
                <w:sz w:val="21"/>
                <w:szCs w:val="21"/>
              </w:rPr>
              <w:t>6.2.2</w:t>
            </w:r>
          </w:p>
        </w:tc>
        <w:tc>
          <w:tcPr>
            <w:tcW w:w="1167" w:type="pct"/>
            <w:shd w:val="clear" w:color="auto" w:fill="auto"/>
            <w:vAlign w:val="center"/>
          </w:tcPr>
          <w:p>
            <w:pPr>
              <w:spacing w:line="240" w:lineRule="auto"/>
              <w:ind w:firstLine="0" w:firstLineChars="0"/>
              <w:jc w:val="both"/>
              <w:rPr>
                <w:rFonts w:ascii="宋体" w:hAnsi="宋体" w:cs="宋体"/>
                <w:color w:val="000000"/>
                <w:kern w:val="0"/>
                <w:sz w:val="24"/>
                <w:szCs w:val="24"/>
                <w:lang w:bidi="ar"/>
              </w:rPr>
            </w:pPr>
            <w:r>
              <w:rPr>
                <w:rFonts w:hint="eastAsia" w:ascii="宋体" w:hAnsi="宋体" w:cs="宋体"/>
                <w:sz w:val="21"/>
                <w:szCs w:val="21"/>
              </w:rPr>
              <w:t>该项目配电室门向外开启。</w:t>
            </w:r>
          </w:p>
        </w:tc>
        <w:tc>
          <w:tcPr>
            <w:tcW w:w="534" w:type="pct"/>
            <w:shd w:val="clear" w:color="auto" w:fill="auto"/>
            <w:vAlign w:val="center"/>
          </w:tcPr>
          <w:p>
            <w:pPr>
              <w:spacing w:line="240" w:lineRule="auto"/>
              <w:ind w:firstLine="0" w:firstLineChars="0"/>
              <w:jc w:val="center"/>
              <w:rPr>
                <w:rFonts w:ascii="宋体" w:hAnsi="宋体" w:cs="宋体"/>
                <w:color w:val="000000"/>
                <w:kern w:val="0"/>
                <w:sz w:val="24"/>
                <w:szCs w:val="24"/>
                <w:lang w:bidi="ar"/>
              </w:rPr>
            </w:pPr>
            <w:r>
              <w:rPr>
                <w:rFonts w:eastAsiaTheme="minorEastAsia"/>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23" w:hRule="atLeast"/>
        </w:trPr>
        <w:tc>
          <w:tcPr>
            <w:tcW w:w="420" w:type="pct"/>
            <w:shd w:val="clear" w:color="auto" w:fill="auto"/>
            <w:vAlign w:val="center"/>
          </w:tcPr>
          <w:p>
            <w:pPr>
              <w:widowControl/>
              <w:numPr>
                <w:ilvl w:val="0"/>
                <w:numId w:val="62"/>
              </w:numPr>
              <w:tabs>
                <w:tab w:val="left" w:pos="397"/>
                <w:tab w:val="clear" w:pos="0"/>
              </w:tabs>
              <w:spacing w:line="240" w:lineRule="auto"/>
              <w:ind w:firstLine="0" w:firstLineChars="0"/>
              <w:jc w:val="center"/>
              <w:textAlignment w:val="center"/>
              <w:rPr>
                <w:rFonts w:ascii="宋体" w:hAnsi="宋体" w:cs="宋体"/>
                <w:color w:val="000000"/>
                <w:kern w:val="0"/>
                <w:sz w:val="24"/>
                <w:szCs w:val="24"/>
                <w:lang w:bidi="ar"/>
              </w:rPr>
            </w:pPr>
          </w:p>
        </w:tc>
        <w:tc>
          <w:tcPr>
            <w:tcW w:w="1734" w:type="pct"/>
            <w:shd w:val="clear" w:color="auto" w:fill="auto"/>
            <w:vAlign w:val="center"/>
          </w:tcPr>
          <w:p>
            <w:pPr>
              <w:spacing w:line="240" w:lineRule="auto"/>
              <w:ind w:firstLine="0" w:firstLineChars="0"/>
              <w:jc w:val="both"/>
              <w:rPr>
                <w:rFonts w:ascii="宋体" w:hAnsi="宋体" w:cs="宋体"/>
                <w:color w:val="000000"/>
                <w:kern w:val="0"/>
                <w:sz w:val="24"/>
                <w:szCs w:val="24"/>
                <w:lang w:bidi="ar"/>
              </w:rPr>
            </w:pPr>
            <w:r>
              <w:rPr>
                <w:rFonts w:hint="eastAsia" w:ascii="宋体" w:hAnsi="宋体" w:cs="宋体"/>
                <w:sz w:val="21"/>
                <w:szCs w:val="21"/>
              </w:rPr>
              <w:t>高、低压配电室内，不应有与其无关的管道和线路通过。</w:t>
            </w:r>
          </w:p>
        </w:tc>
        <w:tc>
          <w:tcPr>
            <w:tcW w:w="1142" w:type="pct"/>
            <w:shd w:val="clear" w:color="auto" w:fill="auto"/>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《20kV及以下变电所设计规范》（GB50053-2013）</w:t>
            </w:r>
          </w:p>
          <w:p>
            <w:pPr>
              <w:spacing w:line="240" w:lineRule="auto"/>
              <w:ind w:firstLine="0" w:firstLineChars="0"/>
              <w:jc w:val="center"/>
              <w:rPr>
                <w:rFonts w:ascii="宋体" w:hAnsi="宋体" w:cs="宋体"/>
                <w:color w:val="000000"/>
                <w:kern w:val="0"/>
                <w:sz w:val="24"/>
                <w:szCs w:val="24"/>
                <w:lang w:bidi="ar"/>
              </w:rPr>
            </w:pPr>
            <w:r>
              <w:rPr>
                <w:rFonts w:hint="eastAsia" w:ascii="宋体" w:hAnsi="宋体" w:cs="宋体"/>
                <w:sz w:val="21"/>
                <w:szCs w:val="21"/>
              </w:rPr>
              <w:t>6.4.1</w:t>
            </w:r>
          </w:p>
        </w:tc>
        <w:tc>
          <w:tcPr>
            <w:tcW w:w="1167" w:type="pct"/>
            <w:shd w:val="clear" w:color="auto" w:fill="auto"/>
            <w:vAlign w:val="center"/>
          </w:tcPr>
          <w:p>
            <w:pPr>
              <w:spacing w:line="240" w:lineRule="auto"/>
              <w:ind w:firstLine="0" w:firstLineChars="0"/>
              <w:jc w:val="both"/>
              <w:rPr>
                <w:rFonts w:ascii="宋体" w:hAnsi="宋体" w:cs="宋体"/>
                <w:color w:val="000000"/>
                <w:kern w:val="0"/>
                <w:sz w:val="24"/>
                <w:szCs w:val="24"/>
                <w:lang w:bidi="ar"/>
              </w:rPr>
            </w:pPr>
            <w:r>
              <w:rPr>
                <w:rFonts w:hint="eastAsia" w:ascii="宋体" w:hAnsi="宋体" w:cs="宋体"/>
                <w:sz w:val="21"/>
                <w:szCs w:val="21"/>
              </w:rPr>
              <w:t>高、低压配电室内没有无关管道、线路通过。</w:t>
            </w:r>
          </w:p>
        </w:tc>
        <w:tc>
          <w:tcPr>
            <w:tcW w:w="534" w:type="pct"/>
            <w:shd w:val="clear" w:color="auto" w:fill="auto"/>
            <w:vAlign w:val="center"/>
          </w:tcPr>
          <w:p>
            <w:pPr>
              <w:spacing w:line="240" w:lineRule="auto"/>
              <w:ind w:firstLine="0" w:firstLineChars="0"/>
              <w:jc w:val="center"/>
              <w:rPr>
                <w:rFonts w:ascii="宋体" w:hAnsi="宋体" w:cs="宋体"/>
                <w:color w:val="000000"/>
                <w:kern w:val="0"/>
                <w:sz w:val="24"/>
                <w:szCs w:val="24"/>
                <w:lang w:bidi="ar"/>
              </w:rPr>
            </w:pPr>
            <w:r>
              <w:rPr>
                <w:rFonts w:eastAsiaTheme="minorEastAsia"/>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23" w:hRule="atLeast"/>
        </w:trPr>
        <w:tc>
          <w:tcPr>
            <w:tcW w:w="420" w:type="pct"/>
            <w:shd w:val="clear" w:color="auto" w:fill="auto"/>
            <w:vAlign w:val="center"/>
          </w:tcPr>
          <w:p>
            <w:pPr>
              <w:widowControl/>
              <w:numPr>
                <w:ilvl w:val="0"/>
                <w:numId w:val="62"/>
              </w:numPr>
              <w:tabs>
                <w:tab w:val="left" w:pos="397"/>
                <w:tab w:val="clear" w:pos="0"/>
              </w:tabs>
              <w:spacing w:line="240" w:lineRule="auto"/>
              <w:ind w:firstLine="0" w:firstLineChars="0"/>
              <w:jc w:val="center"/>
              <w:textAlignment w:val="center"/>
              <w:rPr>
                <w:rFonts w:ascii="宋体" w:hAnsi="宋体" w:cs="宋体"/>
                <w:color w:val="000000"/>
                <w:kern w:val="0"/>
                <w:sz w:val="24"/>
                <w:szCs w:val="24"/>
                <w:lang w:bidi="ar"/>
              </w:rPr>
            </w:pPr>
          </w:p>
        </w:tc>
        <w:tc>
          <w:tcPr>
            <w:tcW w:w="1734" w:type="pct"/>
            <w:shd w:val="clear" w:color="auto" w:fill="auto"/>
            <w:vAlign w:val="center"/>
          </w:tcPr>
          <w:p>
            <w:pPr>
              <w:spacing w:line="240" w:lineRule="auto"/>
              <w:ind w:firstLine="0" w:firstLineChars="0"/>
              <w:jc w:val="both"/>
              <w:rPr>
                <w:rFonts w:ascii="宋体" w:hAnsi="宋体" w:cs="宋体"/>
                <w:color w:val="000000"/>
                <w:kern w:val="0"/>
                <w:sz w:val="24"/>
                <w:szCs w:val="24"/>
                <w:lang w:bidi="ar"/>
              </w:rPr>
            </w:pPr>
            <w:r>
              <w:rPr>
                <w:rFonts w:hint="eastAsia" w:ascii="宋体" w:hAnsi="宋体" w:cs="宋体"/>
                <w:sz w:val="21"/>
                <w:szCs w:val="21"/>
              </w:rPr>
              <w:t>配电室长度超过7m时，应设2个出口，并宜布置在配电室两端。当配电室双层布置时，楼上配电室的出口应至少设一个通向该层走廊或室外的安全出口。配电室的门均应向外开启，但通向高压配电室的门应为双向开启门。</w:t>
            </w:r>
          </w:p>
        </w:tc>
        <w:tc>
          <w:tcPr>
            <w:tcW w:w="1142" w:type="pct"/>
            <w:shd w:val="clear" w:color="auto" w:fill="auto"/>
            <w:vAlign w:val="center"/>
          </w:tcPr>
          <w:p>
            <w:pPr>
              <w:spacing w:line="240" w:lineRule="auto"/>
              <w:ind w:firstLine="0" w:firstLineChars="0"/>
              <w:jc w:val="center"/>
              <w:rPr>
                <w:rFonts w:ascii="宋体" w:hAnsi="宋体" w:cs="宋体"/>
                <w:color w:val="000000"/>
                <w:kern w:val="0"/>
                <w:sz w:val="24"/>
                <w:szCs w:val="24"/>
                <w:lang w:bidi="ar"/>
              </w:rPr>
            </w:pPr>
            <w:r>
              <w:rPr>
                <w:rFonts w:hint="eastAsia" w:ascii="宋体" w:hAnsi="宋体" w:cs="宋体"/>
                <w:sz w:val="21"/>
                <w:szCs w:val="21"/>
              </w:rPr>
              <w:t>《低压配电设计规范》GB50054-2011）4.3.2</w:t>
            </w:r>
          </w:p>
        </w:tc>
        <w:tc>
          <w:tcPr>
            <w:tcW w:w="1167" w:type="pct"/>
            <w:shd w:val="clear" w:color="auto" w:fill="auto"/>
            <w:vAlign w:val="center"/>
          </w:tcPr>
          <w:p>
            <w:pPr>
              <w:spacing w:line="240" w:lineRule="auto"/>
              <w:ind w:firstLine="0" w:firstLineChars="0"/>
              <w:jc w:val="both"/>
              <w:rPr>
                <w:rFonts w:ascii="宋体" w:hAnsi="宋体" w:cs="宋体"/>
                <w:color w:val="000000"/>
                <w:kern w:val="0"/>
                <w:sz w:val="24"/>
                <w:szCs w:val="24"/>
                <w:lang w:bidi="ar"/>
              </w:rPr>
            </w:pPr>
            <w:r>
              <w:rPr>
                <w:rFonts w:hint="eastAsia" w:ascii="宋体" w:hAnsi="宋体" w:cs="宋体"/>
                <w:sz w:val="21"/>
                <w:szCs w:val="21"/>
              </w:rPr>
              <w:t>配电室超过7m时已设置2个出口。</w:t>
            </w:r>
          </w:p>
        </w:tc>
        <w:tc>
          <w:tcPr>
            <w:tcW w:w="534" w:type="pct"/>
            <w:shd w:val="clear" w:color="auto" w:fill="auto"/>
            <w:vAlign w:val="center"/>
          </w:tcPr>
          <w:p>
            <w:pPr>
              <w:spacing w:line="240" w:lineRule="auto"/>
              <w:ind w:firstLine="0" w:firstLineChars="0"/>
              <w:jc w:val="center"/>
              <w:rPr>
                <w:rFonts w:ascii="宋体" w:hAnsi="宋体" w:cs="宋体"/>
                <w:color w:val="000000"/>
                <w:kern w:val="0"/>
                <w:sz w:val="24"/>
                <w:szCs w:val="24"/>
                <w:lang w:bidi="ar"/>
              </w:rPr>
            </w:pPr>
            <w:r>
              <w:rPr>
                <w:rFonts w:eastAsiaTheme="minorEastAsia"/>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23" w:hRule="atLeast"/>
        </w:trPr>
        <w:tc>
          <w:tcPr>
            <w:tcW w:w="420" w:type="pct"/>
            <w:shd w:val="clear" w:color="auto" w:fill="auto"/>
            <w:vAlign w:val="center"/>
          </w:tcPr>
          <w:p>
            <w:pPr>
              <w:widowControl/>
              <w:numPr>
                <w:ilvl w:val="0"/>
                <w:numId w:val="62"/>
              </w:numPr>
              <w:tabs>
                <w:tab w:val="left" w:pos="397"/>
                <w:tab w:val="clear" w:pos="0"/>
              </w:tabs>
              <w:spacing w:line="240" w:lineRule="auto"/>
              <w:ind w:firstLine="0" w:firstLineChars="0"/>
              <w:jc w:val="center"/>
              <w:textAlignment w:val="center"/>
              <w:rPr>
                <w:rFonts w:ascii="宋体" w:hAnsi="宋体" w:cs="宋体"/>
                <w:color w:val="000000"/>
                <w:kern w:val="0"/>
                <w:sz w:val="24"/>
                <w:szCs w:val="24"/>
                <w:lang w:bidi="ar"/>
              </w:rPr>
            </w:pPr>
          </w:p>
        </w:tc>
        <w:tc>
          <w:tcPr>
            <w:tcW w:w="1734" w:type="pct"/>
            <w:shd w:val="clear" w:color="auto" w:fill="auto"/>
            <w:vAlign w:val="center"/>
          </w:tcPr>
          <w:p>
            <w:pPr>
              <w:spacing w:line="240" w:lineRule="auto"/>
              <w:ind w:firstLine="0" w:firstLineChars="0"/>
              <w:jc w:val="both"/>
              <w:rPr>
                <w:rFonts w:ascii="宋体" w:hAnsi="宋体" w:cs="宋体"/>
                <w:color w:val="000000"/>
                <w:kern w:val="0"/>
                <w:sz w:val="24"/>
                <w:szCs w:val="24"/>
                <w:lang w:bidi="ar"/>
              </w:rPr>
            </w:pPr>
            <w:r>
              <w:rPr>
                <w:rFonts w:hint="eastAsia" w:ascii="宋体" w:hAnsi="宋体" w:cs="宋体"/>
                <w:sz w:val="21"/>
                <w:szCs w:val="21"/>
              </w:rPr>
              <w:t>配电室内的电缆沟，应采取防水和排水措施。配电室的地面宜高出本层地面50mm或设置防水门槛。</w:t>
            </w:r>
          </w:p>
        </w:tc>
        <w:tc>
          <w:tcPr>
            <w:tcW w:w="1142" w:type="pct"/>
            <w:shd w:val="clear" w:color="auto" w:fill="auto"/>
            <w:vAlign w:val="center"/>
          </w:tcPr>
          <w:p>
            <w:pPr>
              <w:spacing w:line="240" w:lineRule="auto"/>
              <w:ind w:firstLine="0" w:firstLineChars="0"/>
              <w:jc w:val="center"/>
              <w:rPr>
                <w:rFonts w:ascii="宋体" w:hAnsi="宋体" w:cs="宋体"/>
                <w:color w:val="000000"/>
                <w:kern w:val="0"/>
                <w:sz w:val="24"/>
                <w:szCs w:val="24"/>
                <w:lang w:bidi="ar"/>
              </w:rPr>
            </w:pPr>
            <w:r>
              <w:rPr>
                <w:rFonts w:hint="eastAsia" w:ascii="宋体" w:hAnsi="宋体" w:cs="宋体"/>
                <w:sz w:val="21"/>
                <w:szCs w:val="21"/>
              </w:rPr>
              <w:t>《低压配电设计规范》GB50054-2011）4.3.4</w:t>
            </w:r>
          </w:p>
        </w:tc>
        <w:tc>
          <w:tcPr>
            <w:tcW w:w="1167" w:type="pct"/>
            <w:shd w:val="clear" w:color="auto" w:fill="auto"/>
            <w:vAlign w:val="center"/>
          </w:tcPr>
          <w:p>
            <w:pPr>
              <w:spacing w:line="240" w:lineRule="auto"/>
              <w:ind w:firstLine="0" w:firstLineChars="0"/>
              <w:jc w:val="both"/>
              <w:rPr>
                <w:rFonts w:ascii="宋体" w:hAnsi="宋体" w:cs="宋体"/>
                <w:color w:val="000000"/>
                <w:kern w:val="0"/>
                <w:sz w:val="24"/>
                <w:szCs w:val="24"/>
                <w:lang w:bidi="ar"/>
              </w:rPr>
            </w:pPr>
            <w:r>
              <w:rPr>
                <w:rFonts w:hint="eastAsia" w:ascii="宋体" w:hAnsi="宋体" w:cs="宋体"/>
                <w:sz w:val="21"/>
                <w:szCs w:val="21"/>
              </w:rPr>
              <w:t>配电室内的电缆沟已采取防水和排水设施。</w:t>
            </w:r>
          </w:p>
        </w:tc>
        <w:tc>
          <w:tcPr>
            <w:tcW w:w="534" w:type="pct"/>
            <w:shd w:val="clear" w:color="auto" w:fill="auto"/>
            <w:vAlign w:val="center"/>
          </w:tcPr>
          <w:p>
            <w:pPr>
              <w:spacing w:line="240" w:lineRule="auto"/>
              <w:ind w:firstLine="0" w:firstLineChars="0"/>
              <w:jc w:val="center"/>
              <w:rPr>
                <w:rFonts w:ascii="宋体" w:hAnsi="宋体" w:cs="宋体"/>
                <w:color w:val="000000"/>
                <w:kern w:val="0"/>
                <w:sz w:val="24"/>
                <w:szCs w:val="24"/>
                <w:lang w:bidi="ar"/>
              </w:rPr>
            </w:pPr>
            <w:r>
              <w:rPr>
                <w:rFonts w:eastAsiaTheme="minorEastAsia"/>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23" w:hRule="atLeast"/>
        </w:trPr>
        <w:tc>
          <w:tcPr>
            <w:tcW w:w="420" w:type="pct"/>
            <w:shd w:val="clear" w:color="auto" w:fill="auto"/>
            <w:vAlign w:val="center"/>
          </w:tcPr>
          <w:p>
            <w:pPr>
              <w:widowControl/>
              <w:numPr>
                <w:ilvl w:val="0"/>
                <w:numId w:val="62"/>
              </w:numPr>
              <w:tabs>
                <w:tab w:val="left" w:pos="397"/>
                <w:tab w:val="clear" w:pos="0"/>
              </w:tabs>
              <w:spacing w:line="240" w:lineRule="auto"/>
              <w:ind w:firstLine="0" w:firstLineChars="0"/>
              <w:jc w:val="center"/>
              <w:textAlignment w:val="center"/>
              <w:rPr>
                <w:rFonts w:ascii="宋体" w:hAnsi="宋体" w:cs="宋体"/>
                <w:color w:val="000000"/>
                <w:kern w:val="0"/>
                <w:sz w:val="24"/>
                <w:szCs w:val="24"/>
                <w:lang w:bidi="ar"/>
              </w:rPr>
            </w:pPr>
          </w:p>
        </w:tc>
        <w:tc>
          <w:tcPr>
            <w:tcW w:w="1734" w:type="pct"/>
            <w:shd w:val="clear" w:color="auto" w:fill="auto"/>
            <w:vAlign w:val="center"/>
          </w:tcPr>
          <w:p>
            <w:pPr>
              <w:spacing w:line="240" w:lineRule="auto"/>
              <w:ind w:firstLine="0" w:firstLineChars="0"/>
              <w:jc w:val="both"/>
              <w:rPr>
                <w:rFonts w:ascii="宋体" w:hAnsi="宋体" w:cs="宋体"/>
                <w:color w:val="000000"/>
                <w:kern w:val="0"/>
                <w:sz w:val="24"/>
                <w:szCs w:val="24"/>
                <w:lang w:bidi="ar"/>
              </w:rPr>
            </w:pPr>
            <w:r>
              <w:rPr>
                <w:rFonts w:hint="eastAsia" w:ascii="宋体" w:hAnsi="宋体" w:cs="宋体"/>
                <w:sz w:val="21"/>
                <w:szCs w:val="21"/>
              </w:rPr>
              <w:t>配电室的门、窗关闭应密合；与室外相通的洞、通风孔应设防止鼠、蛇类等小动物进入网罩，其防护等级不宜低于现行国家标准《外壳防护等级》GB/T 4208-2017规定的IP3X级。直接与室外露天相通的通风孔尚应采取防止雨、雪飘入的措施。</w:t>
            </w:r>
          </w:p>
        </w:tc>
        <w:tc>
          <w:tcPr>
            <w:tcW w:w="1142" w:type="pct"/>
            <w:shd w:val="clear" w:color="auto" w:fill="auto"/>
            <w:vAlign w:val="center"/>
          </w:tcPr>
          <w:p>
            <w:pPr>
              <w:spacing w:line="240" w:lineRule="auto"/>
              <w:ind w:firstLine="0" w:firstLineChars="0"/>
              <w:jc w:val="center"/>
              <w:rPr>
                <w:rFonts w:ascii="宋体" w:hAnsi="宋体" w:cs="宋体"/>
                <w:color w:val="000000"/>
                <w:kern w:val="0"/>
                <w:sz w:val="24"/>
                <w:szCs w:val="24"/>
                <w:lang w:bidi="ar"/>
              </w:rPr>
            </w:pPr>
            <w:r>
              <w:rPr>
                <w:rFonts w:hint="eastAsia" w:ascii="宋体" w:hAnsi="宋体" w:cs="宋体"/>
                <w:sz w:val="21"/>
                <w:szCs w:val="21"/>
              </w:rPr>
              <w:t>《低压配电设计规范》GB50054-2011）4.3.7</w:t>
            </w:r>
          </w:p>
        </w:tc>
        <w:tc>
          <w:tcPr>
            <w:tcW w:w="1167" w:type="pct"/>
            <w:shd w:val="clear" w:color="auto" w:fill="auto"/>
            <w:vAlign w:val="center"/>
          </w:tcPr>
          <w:p>
            <w:pPr>
              <w:spacing w:line="240" w:lineRule="auto"/>
              <w:ind w:firstLine="0" w:firstLineChars="0"/>
              <w:jc w:val="both"/>
              <w:rPr>
                <w:rFonts w:ascii="宋体" w:hAnsi="宋体" w:cs="宋体"/>
                <w:color w:val="000000"/>
                <w:kern w:val="0"/>
                <w:sz w:val="24"/>
                <w:szCs w:val="24"/>
                <w:lang w:bidi="ar"/>
              </w:rPr>
            </w:pPr>
            <w:r>
              <w:rPr>
                <w:rFonts w:hint="eastAsia" w:ascii="宋体" w:hAnsi="宋体" w:cs="宋体"/>
                <w:sz w:val="21"/>
                <w:szCs w:val="21"/>
              </w:rPr>
              <w:t>配电室门窗已设置防小动物进入设施。</w:t>
            </w:r>
          </w:p>
        </w:tc>
        <w:tc>
          <w:tcPr>
            <w:tcW w:w="534" w:type="pct"/>
            <w:shd w:val="clear" w:color="auto" w:fill="auto"/>
            <w:vAlign w:val="center"/>
          </w:tcPr>
          <w:p>
            <w:pPr>
              <w:spacing w:line="240" w:lineRule="auto"/>
              <w:ind w:firstLine="0" w:firstLineChars="0"/>
              <w:jc w:val="center"/>
              <w:rPr>
                <w:rFonts w:ascii="宋体" w:hAnsi="宋体" w:cs="宋体"/>
                <w:color w:val="000000"/>
                <w:kern w:val="0"/>
                <w:sz w:val="24"/>
                <w:szCs w:val="24"/>
                <w:lang w:bidi="ar"/>
              </w:rPr>
            </w:pPr>
            <w:r>
              <w:rPr>
                <w:rFonts w:eastAsiaTheme="minorEastAsia"/>
                <w:sz w:val="20"/>
                <w:szCs w:val="20"/>
              </w:rPr>
              <w:t>符合</w:t>
            </w:r>
          </w:p>
        </w:tc>
      </w:tr>
    </w:tbl>
    <w:p>
      <w:pPr>
        <w:ind w:firstLine="560"/>
        <w:rPr>
          <w:rFonts w:ascii="宋体" w:hAnsi="宋体" w:cs="宋体"/>
        </w:rPr>
      </w:pPr>
      <w:r>
        <w:rPr>
          <w:rFonts w:hint="eastAsia" w:ascii="宋体" w:hAnsi="宋体" w:cs="宋体"/>
        </w:rPr>
        <w:t>由上述检查表得知：该项目供电系统满足《20kV及以下变电所设计规范》（GB50053-2013）、《低压配电设计规范》（GB50054-2011）等标准规范的要求。</w:t>
      </w:r>
    </w:p>
    <w:p>
      <w:pPr>
        <w:numPr>
          <w:ilvl w:val="0"/>
          <w:numId w:val="61"/>
        </w:numPr>
        <w:ind w:firstLine="560"/>
        <w:rPr>
          <w:snapToGrid w:val="0"/>
          <w:kern w:val="0"/>
          <w:szCs w:val="28"/>
        </w:rPr>
      </w:pPr>
      <w:r>
        <w:rPr>
          <w:snapToGrid w:val="0"/>
          <w:kern w:val="0"/>
          <w:szCs w:val="28"/>
        </w:rPr>
        <w:t>防雷接地装置安全检查表</w:t>
      </w:r>
    </w:p>
    <w:p>
      <w:pPr>
        <w:ind w:firstLine="560"/>
        <w:rPr>
          <w:rFonts w:ascii="宋体" w:hAnsi="宋体" w:cs="宋体"/>
        </w:rPr>
      </w:pPr>
      <w:r>
        <w:rPr>
          <w:rFonts w:hint="eastAsia" w:ascii="宋体" w:hAnsi="宋体" w:cs="宋体"/>
        </w:rPr>
        <w:t>依据《建筑物防雷设计规范》（GB50057-2010）、《生产设备安全卫生设计总则》（GB5083-1999）、《防止静电事故通用导则》（GB12158-2006）等相关法律法规、标准规范的要求，对该项目的防雷、防静电进行安全检查。检查结果见下表。</w:t>
      </w:r>
    </w:p>
    <w:p>
      <w:pPr>
        <w:pStyle w:val="14"/>
        <w:spacing w:before="156" w:after="156"/>
      </w:pPr>
      <w:r>
        <w:t xml:space="preserve">表 </w:t>
      </w:r>
      <w:r>
        <w:fldChar w:fldCharType="begin"/>
      </w:r>
      <w:r>
        <w:instrText xml:space="preserve"> STYLEREF 1 \s </w:instrText>
      </w:r>
      <w:r>
        <w:fldChar w:fldCharType="separate"/>
      </w:r>
      <w:r>
        <w:t>5</w:t>
      </w:r>
      <w:r>
        <w:fldChar w:fldCharType="end"/>
      </w:r>
      <w:r>
        <w:rPr>
          <w:rFonts w:hint="eastAsia"/>
        </w:rPr>
        <w:t>.6-</w:t>
      </w:r>
      <w:r>
        <w:fldChar w:fldCharType="begin"/>
      </w:r>
      <w:r>
        <w:instrText xml:space="preserve"> SEQ 表 \* ARABIC \s 1 </w:instrText>
      </w:r>
      <w:r>
        <w:fldChar w:fldCharType="separate"/>
      </w:r>
      <w:r>
        <w:t>2</w:t>
      </w:r>
      <w:r>
        <w:fldChar w:fldCharType="end"/>
      </w:r>
      <w:r>
        <w:rPr>
          <w:rFonts w:hint="eastAsia"/>
        </w:rPr>
        <w:t>防雷、防静电安全检查表</w:t>
      </w:r>
    </w:p>
    <w:tbl>
      <w:tblPr>
        <w:tblStyle w:val="29"/>
        <w:tblW w:w="5113"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93"/>
        <w:gridCol w:w="3345"/>
        <w:gridCol w:w="1879"/>
        <w:gridCol w:w="2130"/>
        <w:gridCol w:w="66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42" w:hRule="atLeast"/>
          <w:tblHeader/>
          <w:jc w:val="center"/>
        </w:trPr>
        <w:tc>
          <w:tcPr>
            <w:tcW w:w="397" w:type="pct"/>
            <w:tcBorders>
              <w:tl2br w:val="nil"/>
              <w:tr2bl w:val="nil"/>
            </w:tcBorders>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序号</w:t>
            </w:r>
          </w:p>
        </w:tc>
        <w:tc>
          <w:tcPr>
            <w:tcW w:w="1919" w:type="pct"/>
            <w:tcBorders>
              <w:tl2br w:val="nil"/>
              <w:tr2bl w:val="nil"/>
            </w:tcBorders>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检查内容</w:t>
            </w:r>
          </w:p>
        </w:tc>
        <w:tc>
          <w:tcPr>
            <w:tcW w:w="1078" w:type="pct"/>
            <w:tcBorders>
              <w:tl2br w:val="nil"/>
              <w:tr2bl w:val="nil"/>
            </w:tcBorders>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依据标准</w:t>
            </w:r>
          </w:p>
        </w:tc>
        <w:tc>
          <w:tcPr>
            <w:tcW w:w="1222" w:type="pct"/>
            <w:tcBorders>
              <w:tl2br w:val="nil"/>
              <w:tr2bl w:val="nil"/>
            </w:tcBorders>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检查情况</w:t>
            </w:r>
          </w:p>
        </w:tc>
        <w:tc>
          <w:tcPr>
            <w:tcW w:w="383" w:type="pct"/>
            <w:tcBorders>
              <w:tl2br w:val="nil"/>
              <w:tr2bl w:val="nil"/>
            </w:tcBorders>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结论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83" w:hRule="atLeast"/>
          <w:jc w:val="center"/>
        </w:trPr>
        <w:tc>
          <w:tcPr>
            <w:tcW w:w="397" w:type="pct"/>
            <w:tcBorders>
              <w:tl2br w:val="nil"/>
              <w:tr2bl w:val="nil"/>
            </w:tcBorders>
            <w:vAlign w:val="center"/>
          </w:tcPr>
          <w:p>
            <w:pPr>
              <w:numPr>
                <w:ilvl w:val="0"/>
                <w:numId w:val="63"/>
              </w:numPr>
              <w:spacing w:line="240" w:lineRule="auto"/>
              <w:ind w:firstLine="0" w:firstLineChars="0"/>
              <w:jc w:val="center"/>
              <w:rPr>
                <w:rFonts w:ascii="宋体" w:hAnsi="宋体" w:cs="宋体"/>
                <w:b/>
                <w:bCs/>
                <w:sz w:val="21"/>
                <w:szCs w:val="21"/>
              </w:rPr>
            </w:pPr>
          </w:p>
        </w:tc>
        <w:tc>
          <w:tcPr>
            <w:tcW w:w="1919" w:type="pct"/>
            <w:tcBorders>
              <w:tl2br w:val="nil"/>
              <w:tr2bl w:val="nil"/>
            </w:tcBorders>
            <w:vAlign w:val="center"/>
          </w:tcPr>
          <w:p>
            <w:pPr>
              <w:spacing w:line="240" w:lineRule="auto"/>
              <w:ind w:firstLine="0" w:firstLineChars="0"/>
              <w:jc w:val="both"/>
              <w:rPr>
                <w:rFonts w:ascii="宋体" w:hAnsi="宋体" w:cs="宋体"/>
                <w:sz w:val="21"/>
                <w:szCs w:val="21"/>
              </w:rPr>
            </w:pPr>
            <w:r>
              <w:rPr>
                <w:rFonts w:ascii="宋体" w:hAnsi="宋体" w:cs="宋体"/>
                <w:sz w:val="21"/>
                <w:szCs w:val="21"/>
              </w:rPr>
              <w:t>各类防雷建筑物应设防直击雷的外部防雷装置并应采取防闪电电涌侵入的措施。</w:t>
            </w:r>
          </w:p>
          <w:p>
            <w:pPr>
              <w:spacing w:line="240" w:lineRule="auto"/>
              <w:ind w:firstLine="0" w:firstLineChars="0"/>
              <w:jc w:val="both"/>
              <w:rPr>
                <w:rFonts w:ascii="宋体" w:hAnsi="宋体" w:cs="宋体"/>
                <w:sz w:val="21"/>
                <w:szCs w:val="21"/>
              </w:rPr>
            </w:pPr>
            <w:r>
              <w:rPr>
                <w:rFonts w:ascii="宋体" w:hAnsi="宋体" w:cs="宋体"/>
                <w:sz w:val="21"/>
                <w:szCs w:val="21"/>
              </w:rPr>
              <w:t>第一类防雷建筑物和本规范第3.0.3条5、6、7款所规定的第二类防雷建筑物尚应采取防雷电感应的措施。</w:t>
            </w:r>
          </w:p>
        </w:tc>
        <w:tc>
          <w:tcPr>
            <w:tcW w:w="1078" w:type="pct"/>
            <w:tcBorders>
              <w:tl2br w:val="nil"/>
              <w:tr2bl w:val="nil"/>
            </w:tcBorders>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《建筑物防雷设计规范》（GB50057-2010）4.1.1</w:t>
            </w:r>
          </w:p>
        </w:tc>
        <w:tc>
          <w:tcPr>
            <w:tcW w:w="1222" w:type="pct"/>
            <w:tcBorders>
              <w:tl2br w:val="nil"/>
              <w:tr2bl w:val="nil"/>
            </w:tcBorders>
            <w:vAlign w:val="center"/>
          </w:tcPr>
          <w:p>
            <w:pPr>
              <w:spacing w:line="240" w:lineRule="auto"/>
              <w:ind w:firstLine="0" w:firstLineChars="0"/>
              <w:jc w:val="both"/>
              <w:rPr>
                <w:rFonts w:ascii="宋体" w:hAnsi="宋体" w:cs="宋体"/>
                <w:sz w:val="21"/>
                <w:szCs w:val="21"/>
              </w:rPr>
            </w:pPr>
            <w:r>
              <w:rPr>
                <w:rFonts w:ascii="宋体" w:hAnsi="宋体" w:cs="宋体"/>
                <w:sz w:val="21"/>
                <w:szCs w:val="21"/>
              </w:rPr>
              <w:t>该项目厂区建构筑物</w:t>
            </w:r>
            <w:r>
              <w:rPr>
                <w:rFonts w:hint="eastAsia" w:ascii="宋体" w:hAnsi="宋体" w:cs="宋体"/>
                <w:sz w:val="21"/>
                <w:szCs w:val="21"/>
              </w:rPr>
              <w:t>为三类防雷建筑物，</w:t>
            </w:r>
            <w:r>
              <w:rPr>
                <w:rFonts w:ascii="宋体" w:hAnsi="宋体" w:cs="宋体"/>
                <w:sz w:val="21"/>
                <w:szCs w:val="21"/>
              </w:rPr>
              <w:t>采取了相应的防雷措施。</w:t>
            </w:r>
          </w:p>
        </w:tc>
        <w:tc>
          <w:tcPr>
            <w:tcW w:w="383" w:type="pct"/>
            <w:tcBorders>
              <w:tl2br w:val="nil"/>
              <w:tr2bl w:val="nil"/>
            </w:tcBorders>
            <w:vAlign w:val="center"/>
          </w:tcPr>
          <w:p>
            <w:pPr>
              <w:ind w:firstLine="0" w:firstLineChars="0"/>
              <w:jc w:val="center"/>
              <w:rPr>
                <w:rFonts w:cs="Times New Roman"/>
                <w:bCs/>
                <w:sz w:val="20"/>
                <w:szCs w:val="20"/>
              </w:rPr>
            </w:pPr>
            <w:r>
              <w:rPr>
                <w:bCs/>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79" w:hRule="atLeast"/>
          <w:jc w:val="center"/>
        </w:trPr>
        <w:tc>
          <w:tcPr>
            <w:tcW w:w="397" w:type="pct"/>
            <w:tcBorders>
              <w:tl2br w:val="nil"/>
              <w:tr2bl w:val="nil"/>
            </w:tcBorders>
            <w:vAlign w:val="center"/>
          </w:tcPr>
          <w:p>
            <w:pPr>
              <w:numPr>
                <w:ilvl w:val="0"/>
                <w:numId w:val="63"/>
              </w:numPr>
              <w:spacing w:line="240" w:lineRule="auto"/>
              <w:ind w:firstLine="0" w:firstLineChars="0"/>
              <w:jc w:val="center"/>
              <w:rPr>
                <w:rFonts w:ascii="宋体" w:hAnsi="宋体" w:cs="宋体"/>
                <w:b/>
                <w:bCs/>
                <w:sz w:val="21"/>
                <w:szCs w:val="21"/>
              </w:rPr>
            </w:pPr>
          </w:p>
        </w:tc>
        <w:tc>
          <w:tcPr>
            <w:tcW w:w="1919" w:type="pct"/>
            <w:tcBorders>
              <w:tl2br w:val="nil"/>
              <w:tr2bl w:val="nil"/>
            </w:tcBorders>
            <w:vAlign w:val="center"/>
          </w:tcPr>
          <w:p>
            <w:pPr>
              <w:spacing w:line="240" w:lineRule="auto"/>
              <w:ind w:firstLine="0" w:firstLineChars="0"/>
              <w:jc w:val="both"/>
              <w:rPr>
                <w:rFonts w:ascii="宋体" w:hAnsi="宋体" w:cs="宋体"/>
                <w:sz w:val="21"/>
                <w:szCs w:val="21"/>
              </w:rPr>
            </w:pPr>
            <w:r>
              <w:rPr>
                <w:rFonts w:ascii="宋体" w:hAnsi="宋体" w:cs="宋体"/>
                <w:sz w:val="21"/>
                <w:szCs w:val="21"/>
              </w:rPr>
              <w:t>在使用过程中有可能遭受雷击的生产设备，必须采取适当的防护措施，以使雷击时产生的电荷被安全、迅速导入大地。</w:t>
            </w:r>
          </w:p>
        </w:tc>
        <w:tc>
          <w:tcPr>
            <w:tcW w:w="1078" w:type="pct"/>
            <w:tcBorders>
              <w:tl2br w:val="nil"/>
              <w:tr2bl w:val="nil"/>
            </w:tcBorders>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《生产设备安全卫生设计总则》（GB5083-1999）6.10</w:t>
            </w:r>
          </w:p>
        </w:tc>
        <w:tc>
          <w:tcPr>
            <w:tcW w:w="1222" w:type="pct"/>
            <w:tcBorders>
              <w:tl2br w:val="nil"/>
              <w:tr2bl w:val="nil"/>
            </w:tcBorders>
            <w:vAlign w:val="center"/>
          </w:tcPr>
          <w:p>
            <w:pPr>
              <w:spacing w:line="240" w:lineRule="auto"/>
              <w:ind w:firstLine="0" w:firstLineChars="0"/>
              <w:jc w:val="both"/>
              <w:rPr>
                <w:rFonts w:ascii="宋体" w:hAnsi="宋体" w:cs="宋体"/>
                <w:sz w:val="21"/>
                <w:szCs w:val="21"/>
              </w:rPr>
            </w:pPr>
            <w:r>
              <w:rPr>
                <w:rFonts w:ascii="宋体" w:hAnsi="宋体" w:cs="宋体"/>
                <w:sz w:val="21"/>
                <w:szCs w:val="21"/>
              </w:rPr>
              <w:t>该项目采取了相应的防雷措施。</w:t>
            </w:r>
          </w:p>
        </w:tc>
        <w:tc>
          <w:tcPr>
            <w:tcW w:w="383" w:type="pct"/>
            <w:tcBorders>
              <w:tl2br w:val="nil"/>
              <w:tr2bl w:val="nil"/>
            </w:tcBorders>
            <w:vAlign w:val="center"/>
          </w:tcPr>
          <w:p>
            <w:pPr>
              <w:pStyle w:val="57"/>
              <w:widowControl w:val="0"/>
              <w:adjustRightInd/>
              <w:spacing w:line="300" w:lineRule="exact"/>
              <w:textAlignment w:val="auto"/>
              <w:rPr>
                <w:bCs/>
                <w:sz w:val="20"/>
              </w:rPr>
            </w:pPr>
            <w:r>
              <w:rPr>
                <w:bCs/>
                <w:sz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626" w:hRule="atLeast"/>
          <w:jc w:val="center"/>
        </w:trPr>
        <w:tc>
          <w:tcPr>
            <w:tcW w:w="397" w:type="pct"/>
            <w:tcBorders>
              <w:tl2br w:val="nil"/>
              <w:tr2bl w:val="nil"/>
            </w:tcBorders>
            <w:vAlign w:val="center"/>
          </w:tcPr>
          <w:p>
            <w:pPr>
              <w:numPr>
                <w:ilvl w:val="0"/>
                <w:numId w:val="63"/>
              </w:numPr>
              <w:spacing w:line="240" w:lineRule="auto"/>
              <w:ind w:firstLine="0" w:firstLineChars="0"/>
              <w:jc w:val="center"/>
              <w:rPr>
                <w:rFonts w:ascii="宋体" w:hAnsi="宋体" w:cs="宋体"/>
                <w:b/>
                <w:bCs/>
                <w:sz w:val="21"/>
                <w:szCs w:val="21"/>
              </w:rPr>
            </w:pPr>
          </w:p>
        </w:tc>
        <w:tc>
          <w:tcPr>
            <w:tcW w:w="1919" w:type="pct"/>
            <w:tcBorders>
              <w:tl2br w:val="nil"/>
              <w:tr2bl w:val="nil"/>
            </w:tcBorders>
            <w:vAlign w:val="center"/>
          </w:tcPr>
          <w:p>
            <w:pPr>
              <w:spacing w:line="240" w:lineRule="auto"/>
              <w:ind w:firstLine="0" w:firstLineChars="0"/>
              <w:jc w:val="both"/>
              <w:rPr>
                <w:rFonts w:ascii="宋体" w:hAnsi="宋体" w:cs="宋体"/>
                <w:sz w:val="21"/>
                <w:szCs w:val="21"/>
              </w:rPr>
            </w:pPr>
            <w:r>
              <w:rPr>
                <w:rFonts w:ascii="宋体" w:hAnsi="宋体" w:cs="宋体"/>
                <w:sz w:val="21"/>
                <w:szCs w:val="21"/>
              </w:rPr>
              <w:t>在静电危险场所，所有属于静电导体的物体必须接地。对金属物体必须采用金属导体与大地做导通性连接，对金属以外的静电导体及亚导体则应间接接地。</w:t>
            </w:r>
          </w:p>
        </w:tc>
        <w:tc>
          <w:tcPr>
            <w:tcW w:w="1078" w:type="pct"/>
            <w:tcBorders>
              <w:tl2br w:val="nil"/>
              <w:tr2bl w:val="nil"/>
            </w:tcBorders>
            <w:vAlign w:val="center"/>
          </w:tcPr>
          <w:p>
            <w:pPr>
              <w:spacing w:line="240" w:lineRule="auto"/>
              <w:ind w:firstLine="0" w:firstLineChars="0"/>
              <w:jc w:val="both"/>
              <w:rPr>
                <w:rFonts w:ascii="宋体" w:hAnsi="宋体" w:cs="宋体"/>
                <w:sz w:val="21"/>
                <w:szCs w:val="21"/>
              </w:rPr>
            </w:pPr>
            <w:r>
              <w:rPr>
                <w:rFonts w:hint="eastAsia" w:ascii="宋体" w:hAnsi="宋体" w:cs="宋体"/>
                <w:sz w:val="21"/>
                <w:szCs w:val="21"/>
              </w:rPr>
              <w:t>《防止静电事故通用导则》（GB12158-2006）6.1.2</w:t>
            </w:r>
          </w:p>
        </w:tc>
        <w:tc>
          <w:tcPr>
            <w:tcW w:w="1222" w:type="pct"/>
            <w:tcBorders>
              <w:tl2br w:val="nil"/>
              <w:tr2bl w:val="nil"/>
            </w:tcBorders>
            <w:vAlign w:val="center"/>
          </w:tcPr>
          <w:p>
            <w:pPr>
              <w:spacing w:line="240" w:lineRule="auto"/>
              <w:ind w:firstLine="0" w:firstLineChars="0"/>
              <w:rPr>
                <w:rFonts w:ascii="宋体" w:hAnsi="宋体" w:cs="宋体"/>
                <w:sz w:val="21"/>
                <w:szCs w:val="21"/>
              </w:rPr>
            </w:pPr>
            <w:r>
              <w:rPr>
                <w:rFonts w:hint="eastAsia" w:ascii="宋体" w:hAnsi="宋体" w:cs="宋体"/>
                <w:sz w:val="21"/>
                <w:szCs w:val="21"/>
              </w:rPr>
              <w:t>本项目范围防雷接地检测报告DYXJC-JD-2022-8。</w:t>
            </w:r>
          </w:p>
        </w:tc>
        <w:tc>
          <w:tcPr>
            <w:tcW w:w="383" w:type="pct"/>
            <w:tcBorders>
              <w:tl2br w:val="nil"/>
              <w:tr2bl w:val="nil"/>
            </w:tcBorders>
            <w:vAlign w:val="center"/>
          </w:tcPr>
          <w:p>
            <w:pPr>
              <w:spacing w:line="240" w:lineRule="auto"/>
              <w:ind w:firstLine="0" w:firstLineChars="0"/>
              <w:jc w:val="both"/>
              <w:rPr>
                <w:rFonts w:ascii="宋体" w:hAnsi="宋体" w:cs="宋体"/>
                <w:sz w:val="21"/>
                <w:szCs w:val="21"/>
              </w:rPr>
            </w:pPr>
            <w:r>
              <w:rPr>
                <w:rFonts w:ascii="宋体" w:hAnsi="宋体" w:cs="宋体"/>
                <w:sz w:val="21"/>
                <w:szCs w:val="21"/>
              </w:rPr>
              <w:t>符合</w:t>
            </w:r>
          </w:p>
        </w:tc>
      </w:tr>
    </w:tbl>
    <w:p>
      <w:pPr>
        <w:ind w:firstLine="560"/>
      </w:pPr>
      <w:r>
        <w:rPr>
          <w:rFonts w:hint="eastAsia" w:ascii="宋体" w:hAnsi="宋体" w:cs="宋体"/>
          <w:szCs w:val="28"/>
        </w:rPr>
        <w:t>根据上表的检查结果可以得出以下结论：该项目防雷、防静电设施符合《建筑物防雷设计规范》（GB50057-2010）、《生产设备安全卫生设计总则》（GB5083-1999）、《防止静电事故通用导则》（GB12158-2006）等国家相关标准规范的要求。</w:t>
      </w:r>
    </w:p>
    <w:p>
      <w:pPr>
        <w:pStyle w:val="6"/>
        <w:spacing w:before="156" w:after="156"/>
      </w:pPr>
      <w:bookmarkStart w:id="300" w:name="_Toc500007173"/>
      <w:bookmarkStart w:id="301" w:name="_Toc498299365"/>
      <w:bookmarkStart w:id="302" w:name="_Toc498519835"/>
      <w:bookmarkStart w:id="303" w:name="_Toc11043"/>
      <w:r>
        <w:t>机械安全</w:t>
      </w:r>
      <w:bookmarkEnd w:id="300"/>
      <w:bookmarkEnd w:id="301"/>
      <w:bookmarkEnd w:id="302"/>
      <w:bookmarkEnd w:id="303"/>
    </w:p>
    <w:p>
      <w:pPr>
        <w:ind w:firstLine="560"/>
        <w:rPr>
          <w:rFonts w:ascii="宋体" w:hAnsi="宋体" w:cs="宋体"/>
        </w:rPr>
      </w:pPr>
      <w:r>
        <w:rPr>
          <w:rFonts w:hint="eastAsia" w:ascii="宋体" w:hAnsi="宋体" w:cs="宋体"/>
        </w:rPr>
        <w:t>根据《生产过程安全卫生要求总则》（GB/T 12801-2008）、《生产设备安全卫生设计总则》（GB5083-1999）、《机械安全 防护装置 固定式和活动式防护装置的设计与制造一般要求》（GB/T 8196-2018）、《带式输送机安全规范》（GB14784-2013）等标准规范的相关要求对本项目机械安全进行检查，具体见下表。</w:t>
      </w:r>
    </w:p>
    <w:p>
      <w:pPr>
        <w:pStyle w:val="14"/>
        <w:spacing w:before="156" w:after="156"/>
      </w:pPr>
      <w:r>
        <w:t xml:space="preserve">表 </w:t>
      </w:r>
      <w:r>
        <w:fldChar w:fldCharType="begin"/>
      </w:r>
      <w:r>
        <w:instrText xml:space="preserve"> STYLEREF 2 \s </w:instrText>
      </w:r>
      <w:r>
        <w:fldChar w:fldCharType="separate"/>
      </w:r>
      <w:r>
        <w:t>5.6</w:t>
      </w:r>
      <w:r>
        <w:fldChar w:fldCharType="end"/>
      </w:r>
      <w:r>
        <w:rPr>
          <w:rFonts w:hint="eastAsia"/>
        </w:rPr>
        <w:t>-3机械安全</w:t>
      </w:r>
      <w:r>
        <w:t>符合性</w:t>
      </w:r>
      <w:r>
        <w:rPr>
          <w:rFonts w:hint="eastAsia"/>
        </w:rPr>
        <w:t>安全检查表</w:t>
      </w:r>
    </w:p>
    <w:tbl>
      <w:tblPr>
        <w:tblStyle w:val="29"/>
        <w:tblW w:w="5114"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693"/>
        <w:gridCol w:w="3132"/>
        <w:gridCol w:w="2108"/>
        <w:gridCol w:w="2115"/>
        <w:gridCol w:w="66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7" w:hRule="atLeast"/>
          <w:tblHeader/>
          <w:jc w:val="center"/>
        </w:trPr>
        <w:tc>
          <w:tcPr>
            <w:tcW w:w="398" w:type="pct"/>
            <w:tcBorders>
              <w:tl2br w:val="nil"/>
              <w:tr2bl w:val="nil"/>
            </w:tcBorders>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序号</w:t>
            </w:r>
          </w:p>
        </w:tc>
        <w:tc>
          <w:tcPr>
            <w:tcW w:w="1796" w:type="pct"/>
            <w:tcBorders>
              <w:tl2br w:val="nil"/>
              <w:tr2bl w:val="nil"/>
            </w:tcBorders>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检查内容</w:t>
            </w:r>
          </w:p>
        </w:tc>
        <w:tc>
          <w:tcPr>
            <w:tcW w:w="1209" w:type="pct"/>
            <w:tcBorders>
              <w:tl2br w:val="nil"/>
              <w:tr2bl w:val="nil"/>
            </w:tcBorders>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依据标准</w:t>
            </w:r>
          </w:p>
        </w:tc>
        <w:tc>
          <w:tcPr>
            <w:tcW w:w="1213" w:type="pct"/>
            <w:tcBorders>
              <w:tl2br w:val="nil"/>
              <w:tr2bl w:val="nil"/>
            </w:tcBorders>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检查情况</w:t>
            </w:r>
          </w:p>
        </w:tc>
        <w:tc>
          <w:tcPr>
            <w:tcW w:w="383" w:type="pct"/>
            <w:tcBorders>
              <w:tl2br w:val="nil"/>
              <w:tr2bl w:val="nil"/>
            </w:tcBorders>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结论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398" w:type="pct"/>
            <w:tcBorders>
              <w:tl2br w:val="nil"/>
              <w:tr2bl w:val="nil"/>
            </w:tcBorders>
            <w:vAlign w:val="center"/>
          </w:tcPr>
          <w:p>
            <w:pPr>
              <w:numPr>
                <w:ilvl w:val="0"/>
                <w:numId w:val="64"/>
              </w:numPr>
              <w:spacing w:line="240" w:lineRule="auto"/>
              <w:ind w:firstLine="0" w:firstLineChars="0"/>
              <w:jc w:val="center"/>
              <w:rPr>
                <w:rFonts w:ascii="宋体" w:hAnsi="宋体" w:cs="宋体"/>
                <w:b/>
                <w:bCs/>
                <w:sz w:val="21"/>
                <w:szCs w:val="21"/>
              </w:rPr>
            </w:pPr>
          </w:p>
        </w:tc>
        <w:tc>
          <w:tcPr>
            <w:tcW w:w="1796" w:type="pct"/>
            <w:tcBorders>
              <w:tl2br w:val="nil"/>
              <w:tr2bl w:val="nil"/>
            </w:tcBorders>
          </w:tcPr>
          <w:p>
            <w:pPr>
              <w:spacing w:line="240" w:lineRule="auto"/>
              <w:ind w:firstLine="0" w:firstLineChars="0"/>
              <w:jc w:val="both"/>
              <w:rPr>
                <w:rFonts w:ascii="宋体" w:hAnsi="宋体" w:cs="宋体"/>
                <w:sz w:val="21"/>
                <w:szCs w:val="21"/>
              </w:rPr>
            </w:pPr>
            <w:r>
              <w:rPr>
                <w:rFonts w:hint="eastAsia" w:ascii="宋体" w:hAnsi="宋体" w:cs="宋体"/>
                <w:sz w:val="21"/>
                <w:szCs w:val="21"/>
              </w:rPr>
              <w:t>焊接、粘接或机械式紧固连接应有足够的强度，以承受可合理预见的载荷。在使用粘接剂的场合，应使其与所采用的工艺和使用的材料兼容。在使用机械紧固件的场合，其强度、数量和间距应足以保证防护装置的稳定性和刚度。</w:t>
            </w:r>
          </w:p>
        </w:tc>
        <w:tc>
          <w:tcPr>
            <w:tcW w:w="1209" w:type="pct"/>
            <w:tcBorders>
              <w:tl2br w:val="nil"/>
              <w:tr2bl w:val="nil"/>
            </w:tcBorders>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《机械安全 防护装置 固定式和活动式防护装置的设计与制造一般要求》（GB/T 8196-2018）5.3.8</w:t>
            </w:r>
          </w:p>
        </w:tc>
        <w:tc>
          <w:tcPr>
            <w:tcW w:w="1213" w:type="pct"/>
            <w:tcBorders>
              <w:tl2br w:val="nil"/>
              <w:tr2bl w:val="nil"/>
            </w:tcBorders>
            <w:vAlign w:val="center"/>
          </w:tcPr>
          <w:p>
            <w:pPr>
              <w:spacing w:line="240" w:lineRule="auto"/>
              <w:ind w:firstLine="0" w:firstLineChars="0"/>
              <w:jc w:val="both"/>
              <w:rPr>
                <w:rFonts w:ascii="宋体" w:hAnsi="宋体" w:cs="宋体"/>
                <w:sz w:val="21"/>
                <w:szCs w:val="21"/>
              </w:rPr>
            </w:pPr>
            <w:r>
              <w:rPr>
                <w:rFonts w:ascii="宋体" w:hAnsi="宋体" w:cs="宋体"/>
                <w:sz w:val="21"/>
                <w:szCs w:val="21"/>
              </w:rPr>
              <w:t>项目防护装置连接牢固性符合要求，现场检查时未发现明显缺陷。</w:t>
            </w:r>
          </w:p>
        </w:tc>
        <w:tc>
          <w:tcPr>
            <w:tcW w:w="383" w:type="pct"/>
            <w:tcBorders>
              <w:tl2br w:val="nil"/>
              <w:tr2bl w:val="nil"/>
            </w:tcBorders>
            <w:vAlign w:val="center"/>
          </w:tcPr>
          <w:p>
            <w:pPr>
              <w:spacing w:line="300" w:lineRule="exact"/>
              <w:ind w:firstLine="0" w:firstLineChars="0"/>
              <w:jc w:val="center"/>
              <w:rPr>
                <w:rFonts w:cs="Times New Roman"/>
                <w:sz w:val="20"/>
                <w:szCs w:val="20"/>
              </w:rPr>
            </w:pPr>
            <w:r>
              <w:rPr>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398" w:type="pct"/>
            <w:tcBorders>
              <w:tl2br w:val="nil"/>
              <w:tr2bl w:val="nil"/>
            </w:tcBorders>
            <w:vAlign w:val="center"/>
          </w:tcPr>
          <w:p>
            <w:pPr>
              <w:numPr>
                <w:ilvl w:val="0"/>
                <w:numId w:val="64"/>
              </w:numPr>
              <w:spacing w:line="240" w:lineRule="auto"/>
              <w:ind w:firstLine="0" w:firstLineChars="0"/>
              <w:jc w:val="center"/>
              <w:rPr>
                <w:rFonts w:ascii="宋体" w:hAnsi="宋体" w:cs="宋体"/>
                <w:b/>
                <w:bCs/>
                <w:sz w:val="21"/>
                <w:szCs w:val="21"/>
              </w:rPr>
            </w:pPr>
          </w:p>
        </w:tc>
        <w:tc>
          <w:tcPr>
            <w:tcW w:w="1796" w:type="pct"/>
            <w:tcBorders>
              <w:tl2br w:val="nil"/>
              <w:tr2bl w:val="nil"/>
            </w:tcBorders>
            <w:vAlign w:val="center"/>
          </w:tcPr>
          <w:p>
            <w:pPr>
              <w:spacing w:line="240" w:lineRule="auto"/>
              <w:ind w:firstLine="0" w:firstLineChars="0"/>
              <w:jc w:val="both"/>
              <w:rPr>
                <w:rFonts w:ascii="宋体" w:hAnsi="宋体" w:cs="宋体"/>
                <w:sz w:val="21"/>
                <w:szCs w:val="21"/>
              </w:rPr>
            </w:pPr>
            <w:r>
              <w:rPr>
                <w:rFonts w:ascii="宋体" w:hAnsi="宋体" w:cs="宋体"/>
                <w:sz w:val="21"/>
                <w:szCs w:val="21"/>
              </w:rPr>
              <w:t>对于防护装置可拆卸的固定部件，应只能借助工具才可以拆卸。</w:t>
            </w:r>
          </w:p>
        </w:tc>
        <w:tc>
          <w:tcPr>
            <w:tcW w:w="1209" w:type="pct"/>
            <w:tcBorders>
              <w:tl2br w:val="nil"/>
              <w:tr2bl w:val="nil"/>
            </w:tcBorders>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《机械安全 防护装置 固定式和活动式防护装置的设计与制造一般要求》（GB/T 8196-2018）5.3.9</w:t>
            </w:r>
          </w:p>
        </w:tc>
        <w:tc>
          <w:tcPr>
            <w:tcW w:w="1213" w:type="pct"/>
            <w:tcBorders>
              <w:tl2br w:val="nil"/>
              <w:tr2bl w:val="nil"/>
            </w:tcBorders>
            <w:vAlign w:val="center"/>
          </w:tcPr>
          <w:p>
            <w:pPr>
              <w:spacing w:line="240" w:lineRule="auto"/>
              <w:ind w:firstLine="0" w:firstLineChars="0"/>
              <w:jc w:val="both"/>
              <w:rPr>
                <w:rFonts w:ascii="宋体" w:hAnsi="宋体" w:cs="宋体"/>
                <w:sz w:val="21"/>
                <w:szCs w:val="21"/>
              </w:rPr>
            </w:pPr>
            <w:r>
              <w:rPr>
                <w:rFonts w:ascii="宋体" w:hAnsi="宋体" w:cs="宋体"/>
                <w:sz w:val="21"/>
                <w:szCs w:val="21"/>
              </w:rPr>
              <w:t>项目防护装置可拆卸部件设计符合相关要求。</w:t>
            </w:r>
          </w:p>
        </w:tc>
        <w:tc>
          <w:tcPr>
            <w:tcW w:w="383" w:type="pct"/>
            <w:tcBorders>
              <w:tl2br w:val="nil"/>
              <w:tr2bl w:val="nil"/>
            </w:tcBorders>
            <w:vAlign w:val="center"/>
          </w:tcPr>
          <w:p>
            <w:pPr>
              <w:spacing w:line="300" w:lineRule="exact"/>
              <w:ind w:firstLine="0" w:firstLineChars="0"/>
              <w:jc w:val="center"/>
              <w:rPr>
                <w:rFonts w:cs="Times New Roman"/>
                <w:sz w:val="20"/>
                <w:szCs w:val="20"/>
              </w:rPr>
            </w:pPr>
            <w:r>
              <w:rPr>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398" w:type="pct"/>
            <w:tcBorders>
              <w:tl2br w:val="nil"/>
              <w:tr2bl w:val="nil"/>
            </w:tcBorders>
            <w:vAlign w:val="center"/>
          </w:tcPr>
          <w:p>
            <w:pPr>
              <w:numPr>
                <w:ilvl w:val="0"/>
                <w:numId w:val="64"/>
              </w:numPr>
              <w:spacing w:line="240" w:lineRule="auto"/>
              <w:ind w:firstLine="0" w:firstLineChars="0"/>
              <w:jc w:val="center"/>
              <w:rPr>
                <w:rFonts w:ascii="宋体" w:hAnsi="宋体" w:cs="宋体"/>
                <w:b/>
                <w:bCs/>
                <w:sz w:val="21"/>
                <w:szCs w:val="21"/>
              </w:rPr>
            </w:pPr>
          </w:p>
        </w:tc>
        <w:tc>
          <w:tcPr>
            <w:tcW w:w="1796" w:type="pct"/>
            <w:tcBorders>
              <w:tl2br w:val="nil"/>
              <w:tr2bl w:val="nil"/>
            </w:tcBorders>
            <w:vAlign w:val="center"/>
          </w:tcPr>
          <w:p>
            <w:pPr>
              <w:spacing w:line="240" w:lineRule="auto"/>
              <w:ind w:firstLine="0" w:firstLineChars="0"/>
              <w:jc w:val="both"/>
              <w:rPr>
                <w:rFonts w:ascii="宋体" w:hAnsi="宋体" w:cs="宋体"/>
                <w:sz w:val="21"/>
                <w:szCs w:val="21"/>
              </w:rPr>
            </w:pPr>
            <w:r>
              <w:rPr>
                <w:rFonts w:ascii="宋体" w:hAnsi="宋体" w:cs="宋体"/>
                <w:sz w:val="21"/>
                <w:szCs w:val="21"/>
              </w:rPr>
              <w:t>运动传递部件：对于带轮、传动带、齿轮、齿条齿轮和传动轴等运动的传动部件产生的危险，应采用固定式防护装置或联锁的活动式防护装置进行防护。</w:t>
            </w:r>
          </w:p>
        </w:tc>
        <w:tc>
          <w:tcPr>
            <w:tcW w:w="1209" w:type="pct"/>
            <w:tcBorders>
              <w:tl2br w:val="nil"/>
              <w:tr2bl w:val="nil"/>
            </w:tcBorders>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《机械安全 防护装置 固定式和活动式防护装置的设计与制造一般要求》（GB/T 8196-2018）6.4.2</w:t>
            </w:r>
          </w:p>
        </w:tc>
        <w:tc>
          <w:tcPr>
            <w:tcW w:w="1213" w:type="pct"/>
            <w:tcBorders>
              <w:tl2br w:val="nil"/>
              <w:tr2bl w:val="nil"/>
            </w:tcBorders>
            <w:vAlign w:val="center"/>
          </w:tcPr>
          <w:p>
            <w:pPr>
              <w:spacing w:line="240" w:lineRule="auto"/>
              <w:ind w:firstLine="0" w:firstLineChars="0"/>
              <w:jc w:val="both"/>
              <w:rPr>
                <w:rFonts w:ascii="宋体" w:hAnsi="宋体" w:cs="宋体"/>
                <w:sz w:val="21"/>
                <w:szCs w:val="21"/>
              </w:rPr>
            </w:pPr>
            <w:r>
              <w:rPr>
                <w:rFonts w:ascii="宋体" w:hAnsi="宋体" w:cs="宋体"/>
                <w:sz w:val="21"/>
                <w:szCs w:val="21"/>
              </w:rPr>
              <w:t>机械设备传动部位设置了机械防护罩。</w:t>
            </w:r>
          </w:p>
        </w:tc>
        <w:tc>
          <w:tcPr>
            <w:tcW w:w="383" w:type="pct"/>
            <w:tcBorders>
              <w:tl2br w:val="nil"/>
              <w:tr2bl w:val="nil"/>
            </w:tcBorders>
            <w:vAlign w:val="center"/>
          </w:tcPr>
          <w:p>
            <w:pPr>
              <w:spacing w:line="300" w:lineRule="exact"/>
              <w:ind w:firstLine="0" w:firstLineChars="0"/>
              <w:jc w:val="center"/>
              <w:rPr>
                <w:rFonts w:cs="Times New Roman"/>
                <w:sz w:val="20"/>
                <w:szCs w:val="20"/>
              </w:rPr>
            </w:pPr>
            <w:r>
              <w:rPr>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64" w:hRule="atLeast"/>
          <w:jc w:val="center"/>
        </w:trPr>
        <w:tc>
          <w:tcPr>
            <w:tcW w:w="398" w:type="pct"/>
            <w:tcBorders>
              <w:tl2br w:val="nil"/>
              <w:tr2bl w:val="nil"/>
            </w:tcBorders>
            <w:vAlign w:val="center"/>
          </w:tcPr>
          <w:p>
            <w:pPr>
              <w:numPr>
                <w:ilvl w:val="0"/>
                <w:numId w:val="64"/>
              </w:numPr>
              <w:spacing w:line="240" w:lineRule="auto"/>
              <w:ind w:firstLine="0" w:firstLineChars="0"/>
              <w:jc w:val="center"/>
              <w:rPr>
                <w:rFonts w:ascii="宋体" w:hAnsi="宋体" w:cs="宋体"/>
                <w:b/>
                <w:bCs/>
                <w:sz w:val="21"/>
                <w:szCs w:val="21"/>
              </w:rPr>
            </w:pPr>
          </w:p>
        </w:tc>
        <w:tc>
          <w:tcPr>
            <w:tcW w:w="1796" w:type="pct"/>
            <w:tcBorders>
              <w:tl2br w:val="nil"/>
              <w:tr2bl w:val="nil"/>
            </w:tcBorders>
            <w:vAlign w:val="center"/>
          </w:tcPr>
          <w:p>
            <w:pPr>
              <w:spacing w:line="240" w:lineRule="auto"/>
              <w:ind w:firstLine="0" w:firstLineChars="0"/>
              <w:jc w:val="both"/>
              <w:rPr>
                <w:rFonts w:ascii="宋体" w:hAnsi="宋体" w:cs="宋体"/>
                <w:sz w:val="21"/>
                <w:szCs w:val="21"/>
              </w:rPr>
            </w:pPr>
            <w:r>
              <w:rPr>
                <w:rFonts w:ascii="宋体" w:hAnsi="宋体" w:cs="宋体"/>
                <w:sz w:val="21"/>
                <w:szCs w:val="21"/>
              </w:rPr>
              <w:t>滚筒的防护应采用防护罩（板）或防夹楔。</w:t>
            </w:r>
          </w:p>
        </w:tc>
        <w:tc>
          <w:tcPr>
            <w:tcW w:w="1209" w:type="pct"/>
            <w:tcBorders>
              <w:tl2br w:val="nil"/>
              <w:tr2bl w:val="nil"/>
            </w:tcBorders>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《带式输送机安全规范》（GB14784-2013）4.1.2</w:t>
            </w:r>
          </w:p>
        </w:tc>
        <w:tc>
          <w:tcPr>
            <w:tcW w:w="1213" w:type="pct"/>
            <w:tcBorders>
              <w:tl2br w:val="nil"/>
              <w:tr2bl w:val="nil"/>
            </w:tcBorders>
            <w:vAlign w:val="center"/>
          </w:tcPr>
          <w:p>
            <w:pPr>
              <w:spacing w:line="240" w:lineRule="auto"/>
              <w:ind w:firstLine="0" w:firstLineChars="0"/>
              <w:jc w:val="both"/>
              <w:rPr>
                <w:rFonts w:ascii="宋体" w:hAnsi="宋体" w:cs="宋体"/>
                <w:sz w:val="21"/>
                <w:szCs w:val="21"/>
              </w:rPr>
            </w:pPr>
            <w:r>
              <w:rPr>
                <w:rFonts w:ascii="宋体" w:hAnsi="宋体" w:cs="宋体"/>
                <w:sz w:val="21"/>
                <w:szCs w:val="21"/>
              </w:rPr>
              <w:t>皮带输送机滚筒、机械设备传动部位设置了防护罩。</w:t>
            </w:r>
          </w:p>
        </w:tc>
        <w:tc>
          <w:tcPr>
            <w:tcW w:w="383" w:type="pct"/>
            <w:tcBorders>
              <w:tl2br w:val="nil"/>
              <w:tr2bl w:val="nil"/>
            </w:tcBorders>
            <w:vAlign w:val="center"/>
          </w:tcPr>
          <w:p>
            <w:pPr>
              <w:spacing w:line="300" w:lineRule="exact"/>
              <w:ind w:firstLine="0" w:firstLineChars="0"/>
              <w:jc w:val="center"/>
              <w:rPr>
                <w:rFonts w:cs="Times New Roman"/>
                <w:sz w:val="20"/>
                <w:szCs w:val="20"/>
              </w:rPr>
            </w:pPr>
            <w:r>
              <w:rPr>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64" w:hRule="atLeast"/>
          <w:jc w:val="center"/>
        </w:trPr>
        <w:tc>
          <w:tcPr>
            <w:tcW w:w="398" w:type="pct"/>
            <w:tcBorders>
              <w:tl2br w:val="nil"/>
              <w:tr2bl w:val="nil"/>
            </w:tcBorders>
            <w:vAlign w:val="center"/>
          </w:tcPr>
          <w:p>
            <w:pPr>
              <w:numPr>
                <w:ilvl w:val="0"/>
                <w:numId w:val="64"/>
              </w:numPr>
              <w:spacing w:line="240" w:lineRule="auto"/>
              <w:ind w:firstLine="0" w:firstLineChars="0"/>
              <w:jc w:val="center"/>
              <w:rPr>
                <w:rFonts w:ascii="宋体" w:hAnsi="宋体" w:cs="宋体"/>
                <w:b/>
                <w:bCs/>
                <w:sz w:val="21"/>
                <w:szCs w:val="21"/>
              </w:rPr>
            </w:pPr>
          </w:p>
        </w:tc>
        <w:tc>
          <w:tcPr>
            <w:tcW w:w="1796" w:type="pct"/>
            <w:tcBorders>
              <w:tl2br w:val="nil"/>
              <w:tr2bl w:val="nil"/>
            </w:tcBorders>
            <w:vAlign w:val="center"/>
          </w:tcPr>
          <w:p>
            <w:pPr>
              <w:spacing w:line="240" w:lineRule="auto"/>
              <w:ind w:firstLine="0" w:firstLineChars="0"/>
              <w:jc w:val="both"/>
              <w:rPr>
                <w:rFonts w:ascii="宋体" w:hAnsi="宋体" w:cs="宋体"/>
                <w:sz w:val="21"/>
                <w:szCs w:val="21"/>
              </w:rPr>
            </w:pPr>
            <w:r>
              <w:rPr>
                <w:rFonts w:ascii="宋体" w:hAnsi="宋体" w:cs="宋体"/>
                <w:sz w:val="21"/>
                <w:szCs w:val="21"/>
              </w:rPr>
              <w:t>高速轴联轴器、低速轴联轴器、制动轮、制动盘及</w:t>
            </w:r>
            <w:r>
              <w:rPr>
                <w:rFonts w:hint="eastAsia" w:ascii="宋体" w:hAnsi="宋体" w:cs="宋体"/>
                <w:sz w:val="21"/>
                <w:szCs w:val="21"/>
              </w:rPr>
              <w:t>液力耦合器</w:t>
            </w:r>
            <w:r>
              <w:rPr>
                <w:rFonts w:ascii="宋体" w:hAnsi="宋体" w:cs="宋体"/>
                <w:sz w:val="21"/>
                <w:szCs w:val="21"/>
              </w:rPr>
              <w:t>都应加装防护罩。</w:t>
            </w:r>
          </w:p>
        </w:tc>
        <w:tc>
          <w:tcPr>
            <w:tcW w:w="1209" w:type="pct"/>
            <w:tcBorders>
              <w:tl2br w:val="nil"/>
              <w:tr2bl w:val="nil"/>
            </w:tcBorders>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《带式输送机安全规范》（GB14784-2013）4.1.5</w:t>
            </w:r>
          </w:p>
        </w:tc>
        <w:tc>
          <w:tcPr>
            <w:tcW w:w="1213" w:type="pct"/>
            <w:tcBorders>
              <w:tl2br w:val="nil"/>
              <w:tr2bl w:val="nil"/>
            </w:tcBorders>
            <w:vAlign w:val="center"/>
          </w:tcPr>
          <w:p>
            <w:pPr>
              <w:spacing w:line="240" w:lineRule="auto"/>
              <w:ind w:firstLine="0" w:firstLineChars="0"/>
              <w:jc w:val="both"/>
              <w:rPr>
                <w:rFonts w:ascii="宋体" w:hAnsi="宋体" w:cs="宋体"/>
                <w:sz w:val="21"/>
                <w:szCs w:val="21"/>
              </w:rPr>
            </w:pPr>
            <w:r>
              <w:rPr>
                <w:rFonts w:ascii="宋体" w:hAnsi="宋体" w:cs="宋体"/>
                <w:sz w:val="21"/>
                <w:szCs w:val="21"/>
              </w:rPr>
              <w:t>皮带输送机滚筒、机械设备传动部位设置了防护罩。</w:t>
            </w:r>
          </w:p>
        </w:tc>
        <w:tc>
          <w:tcPr>
            <w:tcW w:w="383" w:type="pct"/>
            <w:tcBorders>
              <w:tl2br w:val="nil"/>
              <w:tr2bl w:val="nil"/>
            </w:tcBorders>
            <w:vAlign w:val="center"/>
          </w:tcPr>
          <w:p>
            <w:pPr>
              <w:spacing w:line="300" w:lineRule="exact"/>
              <w:ind w:firstLine="0" w:firstLineChars="0"/>
              <w:jc w:val="center"/>
              <w:rPr>
                <w:rFonts w:cs="Times New Roman"/>
                <w:sz w:val="20"/>
                <w:szCs w:val="20"/>
              </w:rPr>
            </w:pPr>
            <w:r>
              <w:rPr>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49" w:hRule="atLeast"/>
          <w:jc w:val="center"/>
        </w:trPr>
        <w:tc>
          <w:tcPr>
            <w:tcW w:w="398" w:type="pct"/>
            <w:tcBorders>
              <w:tl2br w:val="nil"/>
              <w:tr2bl w:val="nil"/>
            </w:tcBorders>
            <w:vAlign w:val="center"/>
          </w:tcPr>
          <w:p>
            <w:pPr>
              <w:numPr>
                <w:ilvl w:val="0"/>
                <w:numId w:val="64"/>
              </w:numPr>
              <w:spacing w:line="240" w:lineRule="auto"/>
              <w:ind w:firstLine="0" w:firstLineChars="0"/>
              <w:jc w:val="center"/>
              <w:rPr>
                <w:rFonts w:ascii="宋体" w:hAnsi="宋体" w:cs="宋体"/>
                <w:b/>
                <w:bCs/>
                <w:sz w:val="21"/>
                <w:szCs w:val="21"/>
              </w:rPr>
            </w:pPr>
          </w:p>
        </w:tc>
        <w:tc>
          <w:tcPr>
            <w:tcW w:w="1796" w:type="pct"/>
            <w:tcBorders>
              <w:tl2br w:val="nil"/>
              <w:tr2bl w:val="nil"/>
            </w:tcBorders>
            <w:vAlign w:val="center"/>
          </w:tcPr>
          <w:p>
            <w:pPr>
              <w:spacing w:line="240" w:lineRule="auto"/>
              <w:ind w:firstLine="0" w:firstLineChars="0"/>
              <w:jc w:val="both"/>
              <w:rPr>
                <w:rFonts w:ascii="宋体" w:hAnsi="宋体" w:cs="宋体"/>
                <w:sz w:val="21"/>
                <w:szCs w:val="21"/>
              </w:rPr>
            </w:pPr>
            <w:r>
              <w:rPr>
                <w:rFonts w:ascii="宋体" w:hAnsi="宋体" w:cs="宋体"/>
                <w:sz w:val="21"/>
                <w:szCs w:val="21"/>
              </w:rPr>
              <w:t>当输送机架空越过人行通道时，应在人行通道上方的承载分支输送带下装接料板。</w:t>
            </w:r>
          </w:p>
        </w:tc>
        <w:tc>
          <w:tcPr>
            <w:tcW w:w="1209" w:type="pct"/>
            <w:tcBorders>
              <w:tl2br w:val="nil"/>
              <w:tr2bl w:val="nil"/>
            </w:tcBorders>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《带式输送机安全规范》（GB14784-2013）</w:t>
            </w:r>
            <w:r>
              <w:rPr>
                <w:rFonts w:hint="eastAsia" w:ascii="宋体" w:hAnsi="宋体" w:cs="宋体"/>
                <w:sz w:val="21"/>
                <w:szCs w:val="21"/>
                <w:lang w:val="zh-CN"/>
              </w:rPr>
              <w:t>4.1.9.2</w:t>
            </w:r>
          </w:p>
        </w:tc>
        <w:tc>
          <w:tcPr>
            <w:tcW w:w="1213" w:type="pct"/>
            <w:tcBorders>
              <w:tl2br w:val="nil"/>
              <w:tr2bl w:val="nil"/>
            </w:tcBorders>
            <w:vAlign w:val="center"/>
          </w:tcPr>
          <w:p>
            <w:pPr>
              <w:spacing w:line="240" w:lineRule="auto"/>
              <w:ind w:firstLine="0" w:firstLineChars="0"/>
              <w:jc w:val="both"/>
              <w:rPr>
                <w:rFonts w:ascii="宋体" w:hAnsi="宋体" w:cs="宋体"/>
                <w:sz w:val="21"/>
                <w:szCs w:val="21"/>
              </w:rPr>
            </w:pPr>
            <w:r>
              <w:rPr>
                <w:rFonts w:ascii="宋体" w:hAnsi="宋体" w:cs="宋体"/>
                <w:sz w:val="21"/>
                <w:szCs w:val="21"/>
              </w:rPr>
              <w:t>当输送机架空越过人行通道时，设置有接料板。</w:t>
            </w:r>
          </w:p>
        </w:tc>
        <w:tc>
          <w:tcPr>
            <w:tcW w:w="383" w:type="pct"/>
            <w:tcBorders>
              <w:tl2br w:val="nil"/>
              <w:tr2bl w:val="nil"/>
            </w:tcBorders>
            <w:vAlign w:val="center"/>
          </w:tcPr>
          <w:p>
            <w:pPr>
              <w:spacing w:line="300" w:lineRule="exact"/>
              <w:ind w:firstLine="0" w:firstLineChars="0"/>
              <w:jc w:val="center"/>
              <w:rPr>
                <w:rFonts w:cs="Times New Roman"/>
                <w:sz w:val="20"/>
                <w:szCs w:val="20"/>
              </w:rPr>
            </w:pPr>
            <w:r>
              <w:rPr>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683" w:hRule="atLeast"/>
          <w:jc w:val="center"/>
        </w:trPr>
        <w:tc>
          <w:tcPr>
            <w:tcW w:w="398" w:type="pct"/>
            <w:tcBorders>
              <w:tl2br w:val="nil"/>
              <w:tr2bl w:val="nil"/>
            </w:tcBorders>
            <w:vAlign w:val="center"/>
          </w:tcPr>
          <w:p>
            <w:pPr>
              <w:numPr>
                <w:ilvl w:val="0"/>
                <w:numId w:val="64"/>
              </w:numPr>
              <w:spacing w:line="240" w:lineRule="auto"/>
              <w:ind w:firstLine="0" w:firstLineChars="0"/>
              <w:jc w:val="center"/>
              <w:rPr>
                <w:rFonts w:ascii="宋体" w:hAnsi="宋体" w:cs="宋体"/>
                <w:b/>
                <w:bCs/>
                <w:sz w:val="21"/>
                <w:szCs w:val="21"/>
              </w:rPr>
            </w:pPr>
          </w:p>
        </w:tc>
        <w:tc>
          <w:tcPr>
            <w:tcW w:w="1796" w:type="pct"/>
            <w:tcBorders>
              <w:tl2br w:val="nil"/>
              <w:tr2bl w:val="nil"/>
            </w:tcBorders>
            <w:vAlign w:val="center"/>
          </w:tcPr>
          <w:p>
            <w:pPr>
              <w:spacing w:line="240" w:lineRule="auto"/>
              <w:ind w:firstLine="0" w:firstLineChars="0"/>
              <w:jc w:val="both"/>
              <w:rPr>
                <w:rFonts w:ascii="宋体" w:hAnsi="宋体" w:cs="宋体"/>
                <w:sz w:val="21"/>
                <w:szCs w:val="21"/>
              </w:rPr>
            </w:pPr>
            <w:r>
              <w:rPr>
                <w:rFonts w:ascii="宋体" w:hAnsi="宋体" w:cs="宋体"/>
                <w:sz w:val="21"/>
                <w:szCs w:val="21"/>
              </w:rPr>
              <w:t>生产设备及其零部件，必须有足够的强度刚度、稳定性和可靠性。在按规定条件制造、运输、贮存、安装和使用时，不得对人员造成危险。</w:t>
            </w:r>
          </w:p>
        </w:tc>
        <w:tc>
          <w:tcPr>
            <w:tcW w:w="1209" w:type="pct"/>
            <w:tcBorders>
              <w:tl2br w:val="nil"/>
              <w:tr2bl w:val="nil"/>
            </w:tcBorders>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《生产设备安全卫生设计总则》（GB5083-1999）</w:t>
            </w:r>
          </w:p>
          <w:p>
            <w:pPr>
              <w:spacing w:line="240" w:lineRule="auto"/>
              <w:ind w:firstLine="0" w:firstLineChars="0"/>
              <w:jc w:val="center"/>
              <w:rPr>
                <w:rFonts w:ascii="宋体" w:hAnsi="宋体" w:cs="宋体"/>
                <w:sz w:val="21"/>
                <w:szCs w:val="21"/>
              </w:rPr>
            </w:pPr>
            <w:r>
              <w:rPr>
                <w:rFonts w:hint="eastAsia" w:ascii="宋体" w:hAnsi="宋体" w:cs="宋体"/>
                <w:sz w:val="21"/>
                <w:szCs w:val="21"/>
              </w:rPr>
              <w:t>4.1</w:t>
            </w:r>
          </w:p>
        </w:tc>
        <w:tc>
          <w:tcPr>
            <w:tcW w:w="1213" w:type="pct"/>
            <w:tcBorders>
              <w:tl2br w:val="nil"/>
              <w:tr2bl w:val="nil"/>
            </w:tcBorders>
            <w:vAlign w:val="center"/>
          </w:tcPr>
          <w:p>
            <w:pPr>
              <w:spacing w:line="240" w:lineRule="auto"/>
              <w:ind w:firstLine="0" w:firstLineChars="0"/>
              <w:jc w:val="both"/>
              <w:rPr>
                <w:rFonts w:ascii="宋体" w:hAnsi="宋体" w:cs="宋体"/>
                <w:sz w:val="21"/>
                <w:szCs w:val="21"/>
              </w:rPr>
            </w:pPr>
            <w:r>
              <w:rPr>
                <w:rFonts w:ascii="宋体" w:hAnsi="宋体" w:cs="宋体"/>
                <w:sz w:val="21"/>
                <w:szCs w:val="21"/>
              </w:rPr>
              <w:t>项目所使用的设备及其零部件均由有资质的单位和正规厂家设计、制造、安装，能满足使用要求。</w:t>
            </w:r>
          </w:p>
        </w:tc>
        <w:tc>
          <w:tcPr>
            <w:tcW w:w="383" w:type="pct"/>
            <w:tcBorders>
              <w:tl2br w:val="nil"/>
              <w:tr2bl w:val="nil"/>
            </w:tcBorders>
            <w:vAlign w:val="center"/>
          </w:tcPr>
          <w:p>
            <w:pPr>
              <w:spacing w:line="300" w:lineRule="exact"/>
              <w:ind w:firstLine="0" w:firstLineChars="0"/>
              <w:jc w:val="center"/>
              <w:rPr>
                <w:rFonts w:cs="Times New Roman"/>
                <w:sz w:val="20"/>
                <w:szCs w:val="20"/>
              </w:rPr>
            </w:pPr>
            <w:r>
              <w:rPr>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52" w:hRule="atLeast"/>
          <w:jc w:val="center"/>
        </w:trPr>
        <w:tc>
          <w:tcPr>
            <w:tcW w:w="398" w:type="pct"/>
            <w:tcBorders>
              <w:tl2br w:val="nil"/>
              <w:tr2bl w:val="nil"/>
            </w:tcBorders>
            <w:vAlign w:val="center"/>
          </w:tcPr>
          <w:p>
            <w:pPr>
              <w:numPr>
                <w:ilvl w:val="0"/>
                <w:numId w:val="64"/>
              </w:numPr>
              <w:spacing w:line="240" w:lineRule="auto"/>
              <w:ind w:firstLine="0" w:firstLineChars="0"/>
              <w:jc w:val="center"/>
              <w:rPr>
                <w:rFonts w:ascii="宋体" w:hAnsi="宋体" w:cs="宋体"/>
                <w:b/>
                <w:bCs/>
                <w:sz w:val="21"/>
                <w:szCs w:val="21"/>
              </w:rPr>
            </w:pPr>
          </w:p>
        </w:tc>
        <w:tc>
          <w:tcPr>
            <w:tcW w:w="1796" w:type="pct"/>
            <w:tcBorders>
              <w:tl2br w:val="nil"/>
              <w:tr2bl w:val="nil"/>
            </w:tcBorders>
            <w:vAlign w:val="center"/>
          </w:tcPr>
          <w:p>
            <w:pPr>
              <w:spacing w:line="240" w:lineRule="auto"/>
              <w:ind w:firstLine="0" w:firstLineChars="0"/>
              <w:jc w:val="both"/>
              <w:rPr>
                <w:rFonts w:ascii="宋体" w:hAnsi="宋体" w:cs="宋体"/>
                <w:sz w:val="21"/>
                <w:szCs w:val="21"/>
              </w:rPr>
            </w:pPr>
            <w:r>
              <w:rPr>
                <w:rFonts w:ascii="宋体" w:hAnsi="宋体" w:cs="宋体"/>
                <w:sz w:val="21"/>
                <w:szCs w:val="21"/>
              </w:rPr>
              <w:t>生产设备正常生产和使用过程中，不应向工作场所和大气排放超过国家标准规定的有害物质，不应产生超过国家标准规定的噪声、振动、辐射和其他污染。对可能产生的有害因素，必须在设计上采取有效措施加以防护。</w:t>
            </w:r>
          </w:p>
        </w:tc>
        <w:tc>
          <w:tcPr>
            <w:tcW w:w="1209" w:type="pct"/>
            <w:tcBorders>
              <w:tl2br w:val="nil"/>
              <w:tr2bl w:val="nil"/>
            </w:tcBorders>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《生产设备安全卫生设计总则》（GB5083-1999）</w:t>
            </w:r>
          </w:p>
          <w:p>
            <w:pPr>
              <w:spacing w:line="240" w:lineRule="auto"/>
              <w:ind w:firstLine="0" w:firstLineChars="0"/>
              <w:jc w:val="center"/>
              <w:rPr>
                <w:rFonts w:ascii="宋体" w:hAnsi="宋体" w:cs="宋体"/>
                <w:sz w:val="21"/>
                <w:szCs w:val="21"/>
              </w:rPr>
            </w:pPr>
            <w:r>
              <w:rPr>
                <w:rFonts w:hint="eastAsia" w:ascii="宋体" w:hAnsi="宋体" w:cs="宋体"/>
                <w:sz w:val="21"/>
                <w:szCs w:val="21"/>
              </w:rPr>
              <w:t>4.2</w:t>
            </w:r>
          </w:p>
        </w:tc>
        <w:tc>
          <w:tcPr>
            <w:tcW w:w="1213" w:type="pct"/>
            <w:tcBorders>
              <w:tl2br w:val="nil"/>
              <w:tr2bl w:val="nil"/>
            </w:tcBorders>
            <w:vAlign w:val="center"/>
          </w:tcPr>
          <w:p>
            <w:pPr>
              <w:spacing w:line="240" w:lineRule="auto"/>
              <w:ind w:firstLine="0" w:firstLineChars="0"/>
              <w:jc w:val="both"/>
              <w:rPr>
                <w:rFonts w:ascii="宋体" w:hAnsi="宋体" w:cs="宋体"/>
                <w:sz w:val="21"/>
                <w:szCs w:val="21"/>
              </w:rPr>
            </w:pPr>
            <w:r>
              <w:rPr>
                <w:rFonts w:ascii="宋体" w:hAnsi="宋体" w:cs="宋体"/>
                <w:sz w:val="21"/>
                <w:szCs w:val="21"/>
              </w:rPr>
              <w:t>项目所使用的设备各项标准均符合国家规定，采取了相应的防护措施。</w:t>
            </w:r>
          </w:p>
        </w:tc>
        <w:tc>
          <w:tcPr>
            <w:tcW w:w="383" w:type="pct"/>
            <w:tcBorders>
              <w:tl2br w:val="nil"/>
              <w:tr2bl w:val="nil"/>
            </w:tcBorders>
            <w:vAlign w:val="center"/>
          </w:tcPr>
          <w:p>
            <w:pPr>
              <w:spacing w:line="300" w:lineRule="exact"/>
              <w:ind w:firstLine="0" w:firstLineChars="0"/>
              <w:jc w:val="center"/>
              <w:rPr>
                <w:rFonts w:cs="Times New Roman"/>
                <w:color w:val="FF0000"/>
                <w:sz w:val="20"/>
                <w:szCs w:val="20"/>
              </w:rPr>
            </w:pPr>
            <w:r>
              <w:rPr>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49" w:hRule="atLeast"/>
          <w:jc w:val="center"/>
        </w:trPr>
        <w:tc>
          <w:tcPr>
            <w:tcW w:w="398" w:type="pct"/>
            <w:tcBorders>
              <w:tl2br w:val="nil"/>
              <w:tr2bl w:val="nil"/>
            </w:tcBorders>
            <w:vAlign w:val="center"/>
          </w:tcPr>
          <w:p>
            <w:pPr>
              <w:numPr>
                <w:ilvl w:val="0"/>
                <w:numId w:val="64"/>
              </w:numPr>
              <w:spacing w:line="240" w:lineRule="auto"/>
              <w:ind w:firstLine="0" w:firstLineChars="0"/>
              <w:jc w:val="center"/>
              <w:rPr>
                <w:rFonts w:ascii="宋体" w:hAnsi="宋体" w:cs="宋体"/>
                <w:b/>
                <w:bCs/>
                <w:sz w:val="21"/>
                <w:szCs w:val="21"/>
              </w:rPr>
            </w:pPr>
          </w:p>
        </w:tc>
        <w:tc>
          <w:tcPr>
            <w:tcW w:w="1796" w:type="pct"/>
            <w:tcBorders>
              <w:tl2br w:val="nil"/>
              <w:tr2bl w:val="nil"/>
            </w:tcBorders>
            <w:vAlign w:val="center"/>
          </w:tcPr>
          <w:p>
            <w:pPr>
              <w:spacing w:line="240" w:lineRule="auto"/>
              <w:ind w:firstLine="0" w:firstLineChars="0"/>
              <w:jc w:val="both"/>
              <w:rPr>
                <w:rFonts w:ascii="宋体" w:hAnsi="宋体" w:cs="宋体"/>
                <w:sz w:val="21"/>
                <w:szCs w:val="21"/>
              </w:rPr>
            </w:pPr>
            <w:r>
              <w:rPr>
                <w:rFonts w:ascii="宋体" w:hAnsi="宋体" w:cs="宋体"/>
                <w:sz w:val="21"/>
                <w:szCs w:val="21"/>
              </w:rPr>
              <w:t>在规定使用期限内，生产设备应满足使用环境要求，特别是满足防腐蚀、耐磨损、抗疲劳、抗老化和抵御失效的要求。</w:t>
            </w:r>
          </w:p>
        </w:tc>
        <w:tc>
          <w:tcPr>
            <w:tcW w:w="1209" w:type="pct"/>
            <w:tcBorders>
              <w:tl2br w:val="nil"/>
              <w:tr2bl w:val="nil"/>
            </w:tcBorders>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《生产设备安全卫生设计总则》（GB5083-1999）</w:t>
            </w:r>
          </w:p>
          <w:p>
            <w:pPr>
              <w:spacing w:line="240" w:lineRule="auto"/>
              <w:ind w:firstLine="0" w:firstLineChars="0"/>
              <w:jc w:val="center"/>
              <w:rPr>
                <w:rFonts w:ascii="宋体" w:hAnsi="宋体" w:cs="宋体"/>
                <w:sz w:val="21"/>
                <w:szCs w:val="21"/>
              </w:rPr>
            </w:pPr>
            <w:r>
              <w:rPr>
                <w:rFonts w:hint="eastAsia" w:ascii="宋体" w:hAnsi="宋体" w:cs="宋体"/>
                <w:sz w:val="21"/>
                <w:szCs w:val="21"/>
              </w:rPr>
              <w:t>5.1</w:t>
            </w:r>
          </w:p>
        </w:tc>
        <w:tc>
          <w:tcPr>
            <w:tcW w:w="1213" w:type="pct"/>
            <w:tcBorders>
              <w:tl2br w:val="nil"/>
              <w:tr2bl w:val="nil"/>
            </w:tcBorders>
            <w:vAlign w:val="center"/>
          </w:tcPr>
          <w:p>
            <w:pPr>
              <w:spacing w:line="240" w:lineRule="auto"/>
              <w:ind w:firstLine="0" w:firstLineChars="0"/>
              <w:jc w:val="both"/>
              <w:rPr>
                <w:rFonts w:ascii="宋体" w:hAnsi="宋体" w:cs="宋体"/>
                <w:sz w:val="21"/>
                <w:szCs w:val="21"/>
              </w:rPr>
            </w:pPr>
            <w:r>
              <w:rPr>
                <w:rFonts w:ascii="宋体" w:hAnsi="宋体" w:cs="宋体"/>
                <w:sz w:val="21"/>
                <w:szCs w:val="21"/>
              </w:rPr>
              <w:t>项目所选择的设备能满足环境使用要求。</w:t>
            </w:r>
          </w:p>
        </w:tc>
        <w:tc>
          <w:tcPr>
            <w:tcW w:w="383" w:type="pct"/>
            <w:tcBorders>
              <w:tl2br w:val="nil"/>
              <w:tr2bl w:val="nil"/>
            </w:tcBorders>
            <w:vAlign w:val="center"/>
          </w:tcPr>
          <w:p>
            <w:pPr>
              <w:spacing w:line="300" w:lineRule="exact"/>
              <w:ind w:firstLine="0" w:firstLineChars="0"/>
              <w:jc w:val="center"/>
              <w:rPr>
                <w:rFonts w:cs="Times New Roman"/>
                <w:color w:val="FF0000"/>
                <w:sz w:val="20"/>
                <w:szCs w:val="20"/>
              </w:rPr>
            </w:pPr>
            <w:r>
              <w:rPr>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49" w:hRule="atLeast"/>
          <w:jc w:val="center"/>
        </w:trPr>
        <w:tc>
          <w:tcPr>
            <w:tcW w:w="398" w:type="pct"/>
            <w:tcBorders>
              <w:tl2br w:val="nil"/>
              <w:tr2bl w:val="nil"/>
            </w:tcBorders>
            <w:vAlign w:val="center"/>
          </w:tcPr>
          <w:p>
            <w:pPr>
              <w:numPr>
                <w:ilvl w:val="0"/>
                <w:numId w:val="64"/>
              </w:numPr>
              <w:spacing w:line="240" w:lineRule="auto"/>
              <w:ind w:firstLine="0" w:firstLineChars="0"/>
              <w:jc w:val="center"/>
              <w:rPr>
                <w:rFonts w:ascii="宋体" w:hAnsi="宋体" w:cs="宋体"/>
                <w:b/>
                <w:bCs/>
                <w:sz w:val="21"/>
                <w:szCs w:val="21"/>
              </w:rPr>
            </w:pPr>
          </w:p>
        </w:tc>
        <w:tc>
          <w:tcPr>
            <w:tcW w:w="1796" w:type="pct"/>
            <w:tcBorders>
              <w:tl2br w:val="nil"/>
              <w:tr2bl w:val="nil"/>
            </w:tcBorders>
            <w:vAlign w:val="center"/>
          </w:tcPr>
          <w:p>
            <w:pPr>
              <w:spacing w:line="240" w:lineRule="auto"/>
              <w:ind w:firstLine="0" w:firstLineChars="0"/>
              <w:jc w:val="both"/>
              <w:rPr>
                <w:rFonts w:ascii="宋体" w:hAnsi="宋体" w:cs="宋体"/>
                <w:sz w:val="21"/>
                <w:szCs w:val="21"/>
              </w:rPr>
            </w:pPr>
            <w:r>
              <w:rPr>
                <w:rFonts w:ascii="宋体" w:hAnsi="宋体" w:cs="宋体"/>
                <w:sz w:val="21"/>
                <w:szCs w:val="21"/>
              </w:rPr>
              <w:t>生产设备不应在振动、风载或其他可预见的外载荷作用下倾覆或产生允许范围外的运动。</w:t>
            </w:r>
          </w:p>
        </w:tc>
        <w:tc>
          <w:tcPr>
            <w:tcW w:w="1209" w:type="pct"/>
            <w:tcBorders>
              <w:tl2br w:val="nil"/>
              <w:tr2bl w:val="nil"/>
            </w:tcBorders>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《生产设备安全卫生设计总则》（GB5083-1999）5.3.1</w:t>
            </w:r>
          </w:p>
        </w:tc>
        <w:tc>
          <w:tcPr>
            <w:tcW w:w="1213" w:type="pct"/>
            <w:tcBorders>
              <w:tl2br w:val="nil"/>
              <w:tr2bl w:val="nil"/>
            </w:tcBorders>
            <w:vAlign w:val="center"/>
          </w:tcPr>
          <w:p>
            <w:pPr>
              <w:spacing w:line="240" w:lineRule="auto"/>
              <w:ind w:firstLine="0" w:firstLineChars="0"/>
              <w:jc w:val="both"/>
              <w:rPr>
                <w:rFonts w:ascii="宋体" w:hAnsi="宋体" w:cs="宋体"/>
                <w:sz w:val="21"/>
                <w:szCs w:val="21"/>
              </w:rPr>
            </w:pPr>
            <w:r>
              <w:rPr>
                <w:rFonts w:ascii="宋体" w:hAnsi="宋体" w:cs="宋体"/>
                <w:sz w:val="21"/>
                <w:szCs w:val="21"/>
              </w:rPr>
              <w:t>项目的生产设备均进行了良好的固定，能保证振动情况下的稳定性。</w:t>
            </w:r>
          </w:p>
        </w:tc>
        <w:tc>
          <w:tcPr>
            <w:tcW w:w="383" w:type="pct"/>
            <w:tcBorders>
              <w:tl2br w:val="nil"/>
              <w:tr2bl w:val="nil"/>
            </w:tcBorders>
            <w:vAlign w:val="center"/>
          </w:tcPr>
          <w:p>
            <w:pPr>
              <w:spacing w:line="300" w:lineRule="exact"/>
              <w:ind w:firstLine="0" w:firstLineChars="0"/>
              <w:jc w:val="center"/>
              <w:rPr>
                <w:rFonts w:cs="Times New Roman"/>
                <w:sz w:val="20"/>
                <w:szCs w:val="20"/>
              </w:rPr>
            </w:pPr>
            <w:r>
              <w:rPr>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683" w:hRule="atLeast"/>
          <w:jc w:val="center"/>
        </w:trPr>
        <w:tc>
          <w:tcPr>
            <w:tcW w:w="398" w:type="pct"/>
            <w:tcBorders>
              <w:tl2br w:val="nil"/>
              <w:tr2bl w:val="nil"/>
            </w:tcBorders>
            <w:vAlign w:val="center"/>
          </w:tcPr>
          <w:p>
            <w:pPr>
              <w:numPr>
                <w:ilvl w:val="0"/>
                <w:numId w:val="64"/>
              </w:numPr>
              <w:spacing w:line="240" w:lineRule="auto"/>
              <w:ind w:firstLine="0" w:firstLineChars="0"/>
              <w:jc w:val="center"/>
              <w:rPr>
                <w:rFonts w:ascii="宋体" w:hAnsi="宋体" w:cs="宋体"/>
                <w:b/>
                <w:bCs/>
                <w:sz w:val="21"/>
                <w:szCs w:val="21"/>
              </w:rPr>
            </w:pPr>
          </w:p>
        </w:tc>
        <w:tc>
          <w:tcPr>
            <w:tcW w:w="1796" w:type="pct"/>
            <w:tcBorders>
              <w:tl2br w:val="nil"/>
              <w:tr2bl w:val="nil"/>
            </w:tcBorders>
            <w:vAlign w:val="center"/>
          </w:tcPr>
          <w:p>
            <w:pPr>
              <w:spacing w:line="240" w:lineRule="auto"/>
              <w:ind w:firstLine="0" w:firstLineChars="0"/>
              <w:jc w:val="both"/>
              <w:rPr>
                <w:rFonts w:ascii="宋体" w:hAnsi="宋体" w:cs="宋体"/>
                <w:sz w:val="21"/>
                <w:szCs w:val="21"/>
              </w:rPr>
            </w:pPr>
            <w:r>
              <w:rPr>
                <w:rFonts w:ascii="宋体" w:hAnsi="宋体" w:cs="宋体"/>
                <w:sz w:val="21"/>
                <w:szCs w:val="21"/>
              </w:rPr>
              <w:t>信号和显示器应在安全、清晰、迅速的原则下，根据工艺流程、重要程度和使用频繁程度、配置在人员易看到和易听到的范围内。</w:t>
            </w:r>
          </w:p>
        </w:tc>
        <w:tc>
          <w:tcPr>
            <w:tcW w:w="1209" w:type="pct"/>
            <w:tcBorders>
              <w:tl2br w:val="nil"/>
              <w:tr2bl w:val="nil"/>
            </w:tcBorders>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《生产设备安全卫生设计总则》（GB5083-1999）5.5.2</w:t>
            </w:r>
          </w:p>
        </w:tc>
        <w:tc>
          <w:tcPr>
            <w:tcW w:w="1213" w:type="pct"/>
            <w:tcBorders>
              <w:tl2br w:val="nil"/>
              <w:tr2bl w:val="nil"/>
            </w:tcBorders>
            <w:vAlign w:val="center"/>
          </w:tcPr>
          <w:p>
            <w:pPr>
              <w:spacing w:line="240" w:lineRule="auto"/>
              <w:ind w:firstLine="0" w:firstLineChars="0"/>
              <w:jc w:val="both"/>
              <w:rPr>
                <w:rFonts w:ascii="宋体" w:hAnsi="宋体" w:cs="宋体"/>
                <w:sz w:val="21"/>
                <w:szCs w:val="21"/>
              </w:rPr>
            </w:pPr>
            <w:r>
              <w:rPr>
                <w:rFonts w:ascii="宋体" w:hAnsi="宋体" w:cs="宋体"/>
                <w:sz w:val="21"/>
                <w:szCs w:val="21"/>
              </w:rPr>
              <w:t>项目各工艺过程控制信号及显示器易于辨识。</w:t>
            </w:r>
          </w:p>
        </w:tc>
        <w:tc>
          <w:tcPr>
            <w:tcW w:w="383" w:type="pct"/>
            <w:tcBorders>
              <w:tl2br w:val="nil"/>
              <w:tr2bl w:val="nil"/>
            </w:tcBorders>
            <w:vAlign w:val="center"/>
          </w:tcPr>
          <w:p>
            <w:pPr>
              <w:spacing w:line="300" w:lineRule="exact"/>
              <w:ind w:firstLine="0" w:firstLineChars="0"/>
              <w:jc w:val="center"/>
              <w:rPr>
                <w:rFonts w:cs="Times New Roman"/>
                <w:sz w:val="20"/>
                <w:szCs w:val="20"/>
              </w:rPr>
            </w:pPr>
            <w:r>
              <w:rPr>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79" w:hRule="atLeast"/>
          <w:jc w:val="center"/>
        </w:trPr>
        <w:tc>
          <w:tcPr>
            <w:tcW w:w="398" w:type="pct"/>
            <w:tcBorders>
              <w:tl2br w:val="nil"/>
              <w:tr2bl w:val="nil"/>
            </w:tcBorders>
            <w:vAlign w:val="center"/>
          </w:tcPr>
          <w:p>
            <w:pPr>
              <w:numPr>
                <w:ilvl w:val="0"/>
                <w:numId w:val="64"/>
              </w:numPr>
              <w:spacing w:line="240" w:lineRule="auto"/>
              <w:ind w:firstLine="0" w:firstLineChars="0"/>
              <w:jc w:val="center"/>
              <w:rPr>
                <w:rFonts w:ascii="宋体" w:hAnsi="宋体" w:cs="宋体"/>
                <w:b/>
                <w:bCs/>
                <w:sz w:val="21"/>
                <w:szCs w:val="21"/>
              </w:rPr>
            </w:pPr>
          </w:p>
        </w:tc>
        <w:tc>
          <w:tcPr>
            <w:tcW w:w="1796" w:type="pct"/>
            <w:tcBorders>
              <w:tl2br w:val="nil"/>
              <w:tr2bl w:val="nil"/>
            </w:tcBorders>
            <w:vAlign w:val="center"/>
          </w:tcPr>
          <w:p>
            <w:pPr>
              <w:spacing w:line="240" w:lineRule="auto"/>
              <w:ind w:firstLine="0" w:firstLineChars="0"/>
              <w:jc w:val="both"/>
              <w:rPr>
                <w:rFonts w:ascii="宋体" w:hAnsi="宋体" w:cs="宋体"/>
                <w:sz w:val="21"/>
                <w:szCs w:val="21"/>
              </w:rPr>
            </w:pPr>
            <w:r>
              <w:rPr>
                <w:rFonts w:ascii="宋体" w:hAnsi="宋体" w:cs="宋体"/>
                <w:sz w:val="21"/>
                <w:szCs w:val="21"/>
              </w:rPr>
              <w:t>自动或半自动控制系统应设有必要的保护装置，以防止控制指令紊乱。同时，在每台设备上还应辅以能单独操纵的手动控制装置。</w:t>
            </w:r>
          </w:p>
        </w:tc>
        <w:tc>
          <w:tcPr>
            <w:tcW w:w="1209" w:type="pct"/>
            <w:tcBorders>
              <w:tl2br w:val="nil"/>
              <w:tr2bl w:val="nil"/>
            </w:tcBorders>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《生产设备安全卫生设计总则》（GB5083-1999）5.6.1.2</w:t>
            </w:r>
          </w:p>
        </w:tc>
        <w:tc>
          <w:tcPr>
            <w:tcW w:w="1213" w:type="pct"/>
            <w:tcBorders>
              <w:tl2br w:val="nil"/>
              <w:tr2bl w:val="nil"/>
            </w:tcBorders>
            <w:vAlign w:val="center"/>
          </w:tcPr>
          <w:p>
            <w:pPr>
              <w:spacing w:line="240" w:lineRule="auto"/>
              <w:ind w:firstLine="0" w:firstLineChars="0"/>
              <w:jc w:val="both"/>
              <w:rPr>
                <w:rFonts w:ascii="宋体" w:hAnsi="宋体" w:cs="宋体"/>
                <w:sz w:val="21"/>
                <w:szCs w:val="21"/>
              </w:rPr>
            </w:pPr>
            <w:r>
              <w:rPr>
                <w:rFonts w:ascii="宋体" w:hAnsi="宋体" w:cs="宋体"/>
                <w:sz w:val="21"/>
                <w:szCs w:val="21"/>
              </w:rPr>
              <w:t>项目各设备集中控制系统可对设备进行联锁停车保护，设备现场控制柜也设</w:t>
            </w:r>
            <w:r>
              <w:rPr>
                <w:rFonts w:hint="eastAsia" w:ascii="宋体" w:hAnsi="宋体" w:cs="宋体"/>
                <w:sz w:val="21"/>
                <w:szCs w:val="21"/>
              </w:rPr>
              <w:t>“</w:t>
            </w:r>
            <w:r>
              <w:rPr>
                <w:rFonts w:ascii="宋体" w:hAnsi="宋体" w:cs="宋体"/>
                <w:sz w:val="21"/>
                <w:szCs w:val="21"/>
              </w:rPr>
              <w:t>紧急停机</w:t>
            </w:r>
            <w:r>
              <w:rPr>
                <w:rFonts w:hint="eastAsia" w:ascii="宋体" w:hAnsi="宋体" w:cs="宋体"/>
                <w:sz w:val="21"/>
                <w:szCs w:val="21"/>
              </w:rPr>
              <w:t>”</w:t>
            </w:r>
            <w:r>
              <w:rPr>
                <w:rFonts w:ascii="宋体" w:hAnsi="宋体" w:cs="宋体"/>
                <w:sz w:val="21"/>
                <w:szCs w:val="21"/>
              </w:rPr>
              <w:t>按钮，可以手动停车。</w:t>
            </w:r>
          </w:p>
        </w:tc>
        <w:tc>
          <w:tcPr>
            <w:tcW w:w="383" w:type="pct"/>
            <w:tcBorders>
              <w:tl2br w:val="nil"/>
              <w:tr2bl w:val="nil"/>
            </w:tcBorders>
            <w:vAlign w:val="center"/>
          </w:tcPr>
          <w:p>
            <w:pPr>
              <w:spacing w:line="300" w:lineRule="exact"/>
              <w:ind w:firstLine="0" w:firstLineChars="0"/>
              <w:jc w:val="center"/>
              <w:rPr>
                <w:rFonts w:cs="Times New Roman"/>
                <w:sz w:val="20"/>
                <w:szCs w:val="20"/>
              </w:rPr>
            </w:pPr>
            <w:r>
              <w:rPr>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683" w:hRule="atLeast"/>
          <w:jc w:val="center"/>
        </w:trPr>
        <w:tc>
          <w:tcPr>
            <w:tcW w:w="398" w:type="pct"/>
            <w:tcBorders>
              <w:tl2br w:val="nil"/>
              <w:tr2bl w:val="nil"/>
            </w:tcBorders>
            <w:vAlign w:val="center"/>
          </w:tcPr>
          <w:p>
            <w:pPr>
              <w:numPr>
                <w:ilvl w:val="0"/>
                <w:numId w:val="64"/>
              </w:numPr>
              <w:spacing w:line="240" w:lineRule="auto"/>
              <w:ind w:firstLine="0" w:firstLineChars="0"/>
              <w:jc w:val="center"/>
              <w:rPr>
                <w:rFonts w:ascii="宋体" w:hAnsi="宋体" w:cs="宋体"/>
                <w:b/>
                <w:bCs/>
                <w:sz w:val="21"/>
                <w:szCs w:val="21"/>
              </w:rPr>
            </w:pPr>
          </w:p>
        </w:tc>
        <w:tc>
          <w:tcPr>
            <w:tcW w:w="1796" w:type="pct"/>
            <w:tcBorders>
              <w:tl2br w:val="nil"/>
              <w:tr2bl w:val="nil"/>
            </w:tcBorders>
            <w:vAlign w:val="center"/>
          </w:tcPr>
          <w:p>
            <w:pPr>
              <w:spacing w:line="240" w:lineRule="auto"/>
              <w:ind w:firstLine="0" w:firstLineChars="0"/>
              <w:jc w:val="both"/>
              <w:rPr>
                <w:rFonts w:ascii="宋体" w:hAnsi="宋体" w:cs="宋体"/>
                <w:sz w:val="21"/>
                <w:szCs w:val="21"/>
              </w:rPr>
            </w:pPr>
            <w:r>
              <w:rPr>
                <w:rFonts w:ascii="宋体" w:hAnsi="宋体" w:cs="宋体"/>
                <w:sz w:val="21"/>
                <w:szCs w:val="21"/>
              </w:rPr>
              <w:t>生产设备上供人员作业的工作位置应安全可靠。其工作空间应保证操作人员的头、臂、手、腿、足在正常作业中有充分的活动余地。</w:t>
            </w:r>
          </w:p>
        </w:tc>
        <w:tc>
          <w:tcPr>
            <w:tcW w:w="1209" w:type="pct"/>
            <w:tcBorders>
              <w:tl2br w:val="nil"/>
              <w:tr2bl w:val="nil"/>
            </w:tcBorders>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《生产设备安全卫生设计总则》（GB5083-1999）</w:t>
            </w:r>
          </w:p>
          <w:p>
            <w:pPr>
              <w:spacing w:line="240" w:lineRule="auto"/>
              <w:ind w:firstLine="0" w:firstLineChars="0"/>
              <w:jc w:val="center"/>
              <w:rPr>
                <w:rFonts w:ascii="宋体" w:hAnsi="宋体" w:cs="宋体"/>
                <w:sz w:val="21"/>
                <w:szCs w:val="21"/>
              </w:rPr>
            </w:pPr>
            <w:r>
              <w:rPr>
                <w:rFonts w:hint="eastAsia" w:ascii="宋体" w:hAnsi="宋体" w:cs="宋体"/>
                <w:sz w:val="21"/>
                <w:szCs w:val="21"/>
              </w:rPr>
              <w:t>5.7</w:t>
            </w:r>
          </w:p>
        </w:tc>
        <w:tc>
          <w:tcPr>
            <w:tcW w:w="1213" w:type="pct"/>
            <w:tcBorders>
              <w:tl2br w:val="nil"/>
              <w:tr2bl w:val="nil"/>
            </w:tcBorders>
            <w:vAlign w:val="center"/>
          </w:tcPr>
          <w:p>
            <w:pPr>
              <w:spacing w:line="240" w:lineRule="auto"/>
              <w:ind w:firstLine="0" w:firstLineChars="0"/>
              <w:jc w:val="both"/>
              <w:rPr>
                <w:rFonts w:ascii="宋体" w:hAnsi="宋体" w:cs="宋体"/>
                <w:sz w:val="21"/>
                <w:szCs w:val="21"/>
              </w:rPr>
            </w:pPr>
            <w:r>
              <w:rPr>
                <w:rFonts w:ascii="宋体" w:hAnsi="宋体" w:cs="宋体"/>
                <w:sz w:val="21"/>
                <w:szCs w:val="21"/>
              </w:rPr>
              <w:t>项目各生产设备供人员作业的工作位置安全可靠，能保证操作人员正常的作业。</w:t>
            </w:r>
          </w:p>
        </w:tc>
        <w:tc>
          <w:tcPr>
            <w:tcW w:w="383" w:type="pct"/>
            <w:tcBorders>
              <w:tl2br w:val="nil"/>
              <w:tr2bl w:val="nil"/>
            </w:tcBorders>
            <w:vAlign w:val="center"/>
          </w:tcPr>
          <w:p>
            <w:pPr>
              <w:spacing w:line="300" w:lineRule="exact"/>
              <w:ind w:firstLine="0" w:firstLineChars="0"/>
              <w:jc w:val="center"/>
              <w:rPr>
                <w:rFonts w:cs="Times New Roman"/>
                <w:sz w:val="20"/>
                <w:szCs w:val="20"/>
              </w:rPr>
            </w:pPr>
            <w:r>
              <w:rPr>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49" w:hRule="atLeast"/>
          <w:jc w:val="center"/>
        </w:trPr>
        <w:tc>
          <w:tcPr>
            <w:tcW w:w="398" w:type="pct"/>
            <w:tcBorders>
              <w:tl2br w:val="nil"/>
              <w:tr2bl w:val="nil"/>
            </w:tcBorders>
            <w:vAlign w:val="center"/>
          </w:tcPr>
          <w:p>
            <w:pPr>
              <w:numPr>
                <w:ilvl w:val="0"/>
                <w:numId w:val="64"/>
              </w:numPr>
              <w:spacing w:line="240" w:lineRule="auto"/>
              <w:ind w:firstLine="0" w:firstLineChars="0"/>
              <w:jc w:val="center"/>
              <w:rPr>
                <w:rFonts w:ascii="宋体" w:hAnsi="宋体" w:cs="宋体"/>
                <w:b/>
                <w:bCs/>
                <w:sz w:val="21"/>
                <w:szCs w:val="21"/>
              </w:rPr>
            </w:pPr>
          </w:p>
        </w:tc>
        <w:tc>
          <w:tcPr>
            <w:tcW w:w="1796" w:type="pct"/>
            <w:tcBorders>
              <w:tl2br w:val="nil"/>
              <w:tr2bl w:val="nil"/>
            </w:tcBorders>
            <w:vAlign w:val="center"/>
          </w:tcPr>
          <w:p>
            <w:pPr>
              <w:spacing w:line="240" w:lineRule="auto"/>
              <w:ind w:firstLine="0" w:firstLineChars="0"/>
              <w:jc w:val="both"/>
              <w:rPr>
                <w:rFonts w:ascii="宋体" w:hAnsi="宋体" w:cs="宋体"/>
                <w:sz w:val="21"/>
                <w:szCs w:val="21"/>
              </w:rPr>
            </w:pPr>
            <w:r>
              <w:rPr>
                <w:rFonts w:ascii="宋体" w:hAnsi="宋体" w:cs="宋体"/>
                <w:sz w:val="21"/>
                <w:szCs w:val="21"/>
              </w:rPr>
              <w:t>生产设备上的操作位置，宜能保证操作者交替采用坐姿和立姿。</w:t>
            </w:r>
          </w:p>
        </w:tc>
        <w:tc>
          <w:tcPr>
            <w:tcW w:w="1209" w:type="pct"/>
            <w:tcBorders>
              <w:tl2br w:val="nil"/>
              <w:tr2bl w:val="nil"/>
            </w:tcBorders>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《生产设备安全卫生设计总则》（GB5083-1999）5.7.1</w:t>
            </w:r>
          </w:p>
        </w:tc>
        <w:tc>
          <w:tcPr>
            <w:tcW w:w="1213" w:type="pct"/>
            <w:tcBorders>
              <w:tl2br w:val="nil"/>
              <w:tr2bl w:val="nil"/>
            </w:tcBorders>
            <w:vAlign w:val="center"/>
          </w:tcPr>
          <w:p>
            <w:pPr>
              <w:spacing w:line="240" w:lineRule="auto"/>
              <w:ind w:firstLine="0" w:firstLineChars="0"/>
              <w:jc w:val="both"/>
              <w:rPr>
                <w:rFonts w:ascii="宋体" w:hAnsi="宋体" w:cs="宋体"/>
                <w:sz w:val="21"/>
                <w:szCs w:val="21"/>
              </w:rPr>
            </w:pPr>
            <w:r>
              <w:rPr>
                <w:rFonts w:ascii="宋体" w:hAnsi="宋体" w:cs="宋体"/>
                <w:sz w:val="21"/>
                <w:szCs w:val="21"/>
              </w:rPr>
              <w:t>根据实际的操作情况设置操作位置，能满足操作者正常的操作姿势。</w:t>
            </w:r>
          </w:p>
        </w:tc>
        <w:tc>
          <w:tcPr>
            <w:tcW w:w="383" w:type="pct"/>
            <w:tcBorders>
              <w:tl2br w:val="nil"/>
              <w:tr2bl w:val="nil"/>
            </w:tcBorders>
            <w:vAlign w:val="center"/>
          </w:tcPr>
          <w:p>
            <w:pPr>
              <w:spacing w:line="300" w:lineRule="exact"/>
              <w:ind w:firstLine="0" w:firstLineChars="0"/>
              <w:jc w:val="center"/>
              <w:rPr>
                <w:rFonts w:cs="Times New Roman"/>
                <w:sz w:val="20"/>
                <w:szCs w:val="20"/>
              </w:rPr>
            </w:pPr>
            <w:r>
              <w:rPr>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683" w:hRule="atLeast"/>
          <w:jc w:val="center"/>
        </w:trPr>
        <w:tc>
          <w:tcPr>
            <w:tcW w:w="398" w:type="pct"/>
            <w:tcBorders>
              <w:tl2br w:val="nil"/>
              <w:tr2bl w:val="nil"/>
            </w:tcBorders>
            <w:vAlign w:val="center"/>
          </w:tcPr>
          <w:p>
            <w:pPr>
              <w:numPr>
                <w:ilvl w:val="0"/>
                <w:numId w:val="64"/>
              </w:numPr>
              <w:spacing w:line="240" w:lineRule="auto"/>
              <w:ind w:firstLine="0" w:firstLineChars="0"/>
              <w:jc w:val="center"/>
              <w:rPr>
                <w:rFonts w:ascii="宋体" w:hAnsi="宋体" w:cs="宋体"/>
                <w:b/>
                <w:bCs/>
                <w:sz w:val="21"/>
                <w:szCs w:val="21"/>
              </w:rPr>
            </w:pPr>
          </w:p>
        </w:tc>
        <w:tc>
          <w:tcPr>
            <w:tcW w:w="1796" w:type="pct"/>
            <w:tcBorders>
              <w:tl2br w:val="nil"/>
              <w:tr2bl w:val="nil"/>
            </w:tcBorders>
            <w:vAlign w:val="center"/>
          </w:tcPr>
          <w:p>
            <w:pPr>
              <w:spacing w:line="240" w:lineRule="auto"/>
              <w:ind w:firstLine="0" w:firstLineChars="0"/>
              <w:jc w:val="both"/>
              <w:rPr>
                <w:rFonts w:ascii="宋体" w:hAnsi="宋体" w:cs="宋体"/>
                <w:sz w:val="21"/>
                <w:szCs w:val="21"/>
              </w:rPr>
            </w:pPr>
            <w:r>
              <w:rPr>
                <w:rFonts w:ascii="宋体" w:hAnsi="宋体" w:cs="宋体"/>
                <w:sz w:val="21"/>
                <w:szCs w:val="21"/>
              </w:rPr>
              <w:t>操纵室必须保证人员操作的安全、方便和舒适。同时宜保证操作者在座位上能直接控制全部操作部位及操作件并使其具有良好的视野。</w:t>
            </w:r>
          </w:p>
        </w:tc>
        <w:tc>
          <w:tcPr>
            <w:tcW w:w="1209" w:type="pct"/>
            <w:tcBorders>
              <w:tl2br w:val="nil"/>
              <w:tr2bl w:val="nil"/>
            </w:tcBorders>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《生产设备安全卫生设计总则》（GB5083-1999）5.7.3.1</w:t>
            </w:r>
          </w:p>
        </w:tc>
        <w:tc>
          <w:tcPr>
            <w:tcW w:w="1213" w:type="pct"/>
            <w:tcBorders>
              <w:tl2br w:val="nil"/>
              <w:tr2bl w:val="nil"/>
            </w:tcBorders>
            <w:vAlign w:val="center"/>
          </w:tcPr>
          <w:p>
            <w:pPr>
              <w:spacing w:line="240" w:lineRule="auto"/>
              <w:ind w:firstLine="0" w:firstLineChars="0"/>
              <w:jc w:val="both"/>
              <w:rPr>
                <w:rFonts w:ascii="宋体" w:hAnsi="宋体" w:cs="宋体"/>
                <w:sz w:val="21"/>
                <w:szCs w:val="21"/>
              </w:rPr>
            </w:pPr>
            <w:r>
              <w:rPr>
                <w:rFonts w:ascii="宋体" w:hAnsi="宋体" w:cs="宋体"/>
                <w:sz w:val="21"/>
                <w:szCs w:val="21"/>
              </w:rPr>
              <w:t>项目生产车间各操作间能保证人员操作的安全、方便及舒适。</w:t>
            </w:r>
          </w:p>
        </w:tc>
        <w:tc>
          <w:tcPr>
            <w:tcW w:w="383" w:type="pct"/>
            <w:tcBorders>
              <w:tl2br w:val="nil"/>
              <w:tr2bl w:val="nil"/>
            </w:tcBorders>
            <w:vAlign w:val="center"/>
          </w:tcPr>
          <w:p>
            <w:pPr>
              <w:spacing w:line="300" w:lineRule="exact"/>
              <w:ind w:firstLine="0" w:firstLineChars="0"/>
              <w:jc w:val="center"/>
              <w:rPr>
                <w:rFonts w:cs="Times New Roman"/>
                <w:sz w:val="20"/>
                <w:szCs w:val="20"/>
              </w:rPr>
            </w:pPr>
            <w:r>
              <w:rPr>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49" w:hRule="atLeast"/>
          <w:jc w:val="center"/>
        </w:trPr>
        <w:tc>
          <w:tcPr>
            <w:tcW w:w="398" w:type="pct"/>
            <w:tcBorders>
              <w:tl2br w:val="nil"/>
              <w:tr2bl w:val="nil"/>
            </w:tcBorders>
            <w:vAlign w:val="center"/>
          </w:tcPr>
          <w:p>
            <w:pPr>
              <w:numPr>
                <w:ilvl w:val="0"/>
                <w:numId w:val="64"/>
              </w:numPr>
              <w:spacing w:line="240" w:lineRule="auto"/>
              <w:ind w:firstLine="0" w:firstLineChars="0"/>
              <w:jc w:val="center"/>
              <w:rPr>
                <w:rFonts w:ascii="宋体" w:hAnsi="宋体" w:cs="宋体"/>
                <w:b/>
                <w:bCs/>
                <w:sz w:val="21"/>
                <w:szCs w:val="21"/>
              </w:rPr>
            </w:pPr>
          </w:p>
        </w:tc>
        <w:tc>
          <w:tcPr>
            <w:tcW w:w="1796" w:type="pct"/>
            <w:tcBorders>
              <w:tl2br w:val="nil"/>
              <w:tr2bl w:val="nil"/>
            </w:tcBorders>
            <w:vAlign w:val="center"/>
          </w:tcPr>
          <w:p>
            <w:pPr>
              <w:spacing w:line="240" w:lineRule="auto"/>
              <w:ind w:firstLine="0" w:firstLineChars="0"/>
              <w:jc w:val="both"/>
              <w:rPr>
                <w:rFonts w:ascii="宋体" w:hAnsi="宋体" w:cs="宋体"/>
                <w:sz w:val="21"/>
                <w:szCs w:val="21"/>
              </w:rPr>
            </w:pPr>
            <w:r>
              <w:rPr>
                <w:rFonts w:ascii="宋体" w:hAnsi="宋体" w:cs="宋体"/>
                <w:sz w:val="21"/>
                <w:szCs w:val="21"/>
              </w:rPr>
              <w:t>生产设备必须保证操作点和操作区域有足够的照度，但要避免各种频闪效应和眩光现象。</w:t>
            </w:r>
          </w:p>
        </w:tc>
        <w:tc>
          <w:tcPr>
            <w:tcW w:w="1209" w:type="pct"/>
            <w:tcBorders>
              <w:tl2br w:val="nil"/>
              <w:tr2bl w:val="nil"/>
            </w:tcBorders>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《生产设备安全卫生设计总则》（GB5083-1999）5.8.1</w:t>
            </w:r>
          </w:p>
        </w:tc>
        <w:tc>
          <w:tcPr>
            <w:tcW w:w="1213" w:type="pct"/>
            <w:tcBorders>
              <w:tl2br w:val="nil"/>
              <w:tr2bl w:val="nil"/>
            </w:tcBorders>
            <w:vAlign w:val="center"/>
          </w:tcPr>
          <w:p>
            <w:pPr>
              <w:spacing w:line="240" w:lineRule="auto"/>
              <w:ind w:firstLine="0" w:firstLineChars="0"/>
              <w:jc w:val="both"/>
              <w:rPr>
                <w:rFonts w:ascii="宋体" w:hAnsi="宋体" w:cs="宋体"/>
                <w:sz w:val="21"/>
                <w:szCs w:val="21"/>
              </w:rPr>
            </w:pPr>
            <w:r>
              <w:rPr>
                <w:rFonts w:ascii="宋体" w:hAnsi="宋体" w:cs="宋体"/>
                <w:sz w:val="21"/>
                <w:szCs w:val="21"/>
              </w:rPr>
              <w:t>项目各作业场所均设置了照明设施，能保证操作的</w:t>
            </w:r>
            <w:r>
              <w:rPr>
                <w:rFonts w:hint="eastAsia" w:ascii="宋体" w:hAnsi="宋体" w:cs="宋体"/>
                <w:sz w:val="21"/>
                <w:szCs w:val="21"/>
              </w:rPr>
              <w:t>必需</w:t>
            </w:r>
            <w:r>
              <w:rPr>
                <w:rFonts w:ascii="宋体" w:hAnsi="宋体" w:cs="宋体"/>
                <w:sz w:val="21"/>
                <w:szCs w:val="21"/>
              </w:rPr>
              <w:t>照度。</w:t>
            </w:r>
          </w:p>
        </w:tc>
        <w:tc>
          <w:tcPr>
            <w:tcW w:w="383" w:type="pct"/>
            <w:tcBorders>
              <w:tl2br w:val="nil"/>
              <w:tr2bl w:val="nil"/>
            </w:tcBorders>
            <w:vAlign w:val="center"/>
          </w:tcPr>
          <w:p>
            <w:pPr>
              <w:spacing w:line="300" w:lineRule="exact"/>
              <w:ind w:firstLine="0" w:firstLineChars="0"/>
              <w:jc w:val="center"/>
              <w:rPr>
                <w:rFonts w:cs="Times New Roman"/>
                <w:sz w:val="20"/>
                <w:szCs w:val="20"/>
              </w:rPr>
            </w:pPr>
            <w:r>
              <w:rPr>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683" w:hRule="atLeast"/>
          <w:jc w:val="center"/>
        </w:trPr>
        <w:tc>
          <w:tcPr>
            <w:tcW w:w="398" w:type="pct"/>
            <w:tcBorders>
              <w:tl2br w:val="nil"/>
              <w:tr2bl w:val="nil"/>
            </w:tcBorders>
            <w:vAlign w:val="center"/>
          </w:tcPr>
          <w:p>
            <w:pPr>
              <w:numPr>
                <w:ilvl w:val="0"/>
                <w:numId w:val="64"/>
              </w:numPr>
              <w:spacing w:line="240" w:lineRule="auto"/>
              <w:ind w:firstLine="0" w:firstLineChars="0"/>
              <w:jc w:val="center"/>
              <w:rPr>
                <w:rFonts w:ascii="宋体" w:hAnsi="宋体" w:cs="宋体"/>
                <w:b/>
                <w:bCs/>
                <w:sz w:val="21"/>
                <w:szCs w:val="21"/>
              </w:rPr>
            </w:pPr>
          </w:p>
        </w:tc>
        <w:tc>
          <w:tcPr>
            <w:tcW w:w="1796" w:type="pct"/>
            <w:tcBorders>
              <w:tl2br w:val="nil"/>
              <w:tr2bl w:val="nil"/>
            </w:tcBorders>
            <w:vAlign w:val="center"/>
          </w:tcPr>
          <w:p>
            <w:pPr>
              <w:spacing w:line="240" w:lineRule="auto"/>
              <w:ind w:firstLine="0" w:firstLineChars="0"/>
              <w:jc w:val="both"/>
              <w:rPr>
                <w:rFonts w:ascii="宋体" w:hAnsi="宋体" w:cs="宋体"/>
                <w:sz w:val="21"/>
                <w:szCs w:val="21"/>
              </w:rPr>
            </w:pPr>
            <w:r>
              <w:rPr>
                <w:rFonts w:ascii="宋体" w:hAnsi="宋体" w:cs="宋体"/>
                <w:sz w:val="21"/>
                <w:szCs w:val="21"/>
              </w:rPr>
              <w:t>设计生产设备，必须考虑检查和维修的安全性、方便性。必要时，应随设备配备专用检查、维修工具或装置。</w:t>
            </w:r>
          </w:p>
        </w:tc>
        <w:tc>
          <w:tcPr>
            <w:tcW w:w="1209" w:type="pct"/>
            <w:tcBorders>
              <w:tl2br w:val="nil"/>
              <w:tr2bl w:val="nil"/>
            </w:tcBorders>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《生产设备安全卫生设计总则》（GB5083-1999）5.10.1</w:t>
            </w:r>
          </w:p>
        </w:tc>
        <w:tc>
          <w:tcPr>
            <w:tcW w:w="1213" w:type="pct"/>
            <w:tcBorders>
              <w:tl2br w:val="nil"/>
              <w:tr2bl w:val="nil"/>
            </w:tcBorders>
            <w:vAlign w:val="center"/>
          </w:tcPr>
          <w:p>
            <w:pPr>
              <w:spacing w:line="240" w:lineRule="auto"/>
              <w:ind w:firstLine="0" w:firstLineChars="0"/>
              <w:jc w:val="both"/>
              <w:rPr>
                <w:rFonts w:ascii="宋体" w:hAnsi="宋体" w:cs="宋体"/>
                <w:sz w:val="21"/>
                <w:szCs w:val="21"/>
              </w:rPr>
            </w:pPr>
            <w:r>
              <w:rPr>
                <w:rFonts w:ascii="宋体" w:hAnsi="宋体" w:cs="宋体"/>
                <w:sz w:val="21"/>
                <w:szCs w:val="21"/>
              </w:rPr>
              <w:t>项目设备的设计及安装均考虑了检查和维修的安全性、方便性，配备了专用的检查、维修工具。</w:t>
            </w:r>
          </w:p>
        </w:tc>
        <w:tc>
          <w:tcPr>
            <w:tcW w:w="383" w:type="pct"/>
            <w:tcBorders>
              <w:tl2br w:val="nil"/>
              <w:tr2bl w:val="nil"/>
            </w:tcBorders>
            <w:vAlign w:val="center"/>
          </w:tcPr>
          <w:p>
            <w:pPr>
              <w:spacing w:line="300" w:lineRule="exact"/>
              <w:ind w:firstLine="0" w:firstLineChars="0"/>
              <w:jc w:val="center"/>
              <w:rPr>
                <w:rFonts w:cs="Times New Roman"/>
                <w:sz w:val="20"/>
                <w:szCs w:val="20"/>
              </w:rPr>
            </w:pPr>
            <w:r>
              <w:rPr>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49" w:hRule="atLeast"/>
          <w:jc w:val="center"/>
        </w:trPr>
        <w:tc>
          <w:tcPr>
            <w:tcW w:w="0" w:type="auto"/>
            <w:vAlign w:val="center"/>
          </w:tcPr>
          <w:p>
            <w:pPr>
              <w:numPr>
                <w:ilvl w:val="0"/>
                <w:numId w:val="64"/>
              </w:numPr>
              <w:spacing w:line="240" w:lineRule="auto"/>
              <w:ind w:firstLine="0" w:firstLineChars="0"/>
              <w:jc w:val="center"/>
              <w:rPr>
                <w:rFonts w:ascii="宋体" w:hAnsi="宋体" w:cs="宋体"/>
                <w:b/>
                <w:bCs/>
                <w:sz w:val="21"/>
                <w:szCs w:val="21"/>
              </w:rPr>
            </w:pPr>
          </w:p>
        </w:tc>
        <w:tc>
          <w:tcPr>
            <w:tcW w:w="0" w:type="auto"/>
            <w:vAlign w:val="center"/>
          </w:tcPr>
          <w:p>
            <w:pPr>
              <w:spacing w:line="240" w:lineRule="auto"/>
              <w:ind w:firstLine="0" w:firstLineChars="0"/>
              <w:jc w:val="both"/>
              <w:rPr>
                <w:rFonts w:ascii="宋体" w:hAnsi="宋体" w:cs="宋体"/>
                <w:sz w:val="21"/>
                <w:szCs w:val="21"/>
              </w:rPr>
            </w:pPr>
            <w:r>
              <w:rPr>
                <w:rFonts w:ascii="宋体" w:hAnsi="宋体" w:cs="宋体"/>
                <w:sz w:val="21"/>
                <w:szCs w:val="21"/>
              </w:rPr>
              <w:t>对操作人员在设备运行时可能触及的可动零部件，必须配置必要的安全防护装置。</w:t>
            </w:r>
          </w:p>
        </w:tc>
        <w:tc>
          <w:tcPr>
            <w:tcW w:w="0" w:type="auto"/>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《生产设备安全卫生设计总则》（GB5083-1999）6.1.2</w:t>
            </w:r>
          </w:p>
        </w:tc>
        <w:tc>
          <w:tcPr>
            <w:tcW w:w="0" w:type="auto"/>
            <w:vAlign w:val="center"/>
          </w:tcPr>
          <w:p>
            <w:pPr>
              <w:spacing w:line="240" w:lineRule="auto"/>
              <w:ind w:firstLine="0" w:firstLineChars="0"/>
              <w:jc w:val="both"/>
              <w:rPr>
                <w:rFonts w:ascii="宋体" w:hAnsi="宋体" w:cs="宋体"/>
                <w:sz w:val="21"/>
                <w:szCs w:val="21"/>
              </w:rPr>
            </w:pPr>
            <w:r>
              <w:rPr>
                <w:rFonts w:ascii="宋体" w:hAnsi="宋体" w:cs="宋体"/>
                <w:sz w:val="21"/>
                <w:szCs w:val="21"/>
              </w:rPr>
              <w:t>机械设备传动部位设置了机械防护罩。</w:t>
            </w:r>
          </w:p>
        </w:tc>
        <w:tc>
          <w:tcPr>
            <w:tcW w:w="0" w:type="auto"/>
            <w:vAlign w:val="center"/>
          </w:tcPr>
          <w:p>
            <w:pPr>
              <w:spacing w:line="300" w:lineRule="exact"/>
              <w:ind w:firstLine="0" w:firstLineChars="0"/>
              <w:jc w:val="center"/>
              <w:rPr>
                <w:rFonts w:cs="Times New Roman"/>
                <w:sz w:val="20"/>
                <w:szCs w:val="20"/>
              </w:rPr>
            </w:pPr>
            <w:r>
              <w:rPr>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52" w:hRule="atLeast"/>
          <w:jc w:val="center"/>
        </w:trPr>
        <w:tc>
          <w:tcPr>
            <w:tcW w:w="0" w:type="auto"/>
            <w:vAlign w:val="center"/>
          </w:tcPr>
          <w:p>
            <w:pPr>
              <w:numPr>
                <w:ilvl w:val="0"/>
                <w:numId w:val="64"/>
              </w:numPr>
              <w:spacing w:line="240" w:lineRule="auto"/>
              <w:ind w:firstLine="0" w:firstLineChars="0"/>
              <w:jc w:val="center"/>
              <w:rPr>
                <w:rFonts w:ascii="宋体" w:hAnsi="宋体" w:cs="宋体"/>
                <w:b/>
                <w:bCs/>
                <w:sz w:val="21"/>
                <w:szCs w:val="21"/>
              </w:rPr>
            </w:pPr>
          </w:p>
        </w:tc>
        <w:tc>
          <w:tcPr>
            <w:tcW w:w="0" w:type="auto"/>
            <w:vAlign w:val="center"/>
          </w:tcPr>
          <w:p>
            <w:pPr>
              <w:spacing w:line="240" w:lineRule="auto"/>
              <w:ind w:firstLine="0" w:firstLineChars="0"/>
              <w:jc w:val="both"/>
              <w:rPr>
                <w:rFonts w:ascii="宋体" w:hAnsi="宋体" w:cs="宋体"/>
                <w:sz w:val="21"/>
                <w:szCs w:val="21"/>
              </w:rPr>
            </w:pPr>
            <w:r>
              <w:rPr>
                <w:rFonts w:ascii="宋体" w:hAnsi="宋体" w:cs="宋体"/>
                <w:sz w:val="21"/>
                <w:szCs w:val="21"/>
              </w:rPr>
              <w:t>以操作人员的操作位置所在平面为基准，凡高度在2m之内的所有传动带、转轴、传动链、联轴节、带轮、齿轮、飞轮、链轮、电锯等外露危险零部件及危险部位，都必须设置安全防护装置。</w:t>
            </w:r>
          </w:p>
        </w:tc>
        <w:tc>
          <w:tcPr>
            <w:tcW w:w="0" w:type="auto"/>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《生产设备安全卫生设计总则》（GB5083-1999）6.1.6</w:t>
            </w:r>
          </w:p>
        </w:tc>
        <w:tc>
          <w:tcPr>
            <w:tcW w:w="0" w:type="auto"/>
            <w:vAlign w:val="center"/>
          </w:tcPr>
          <w:p>
            <w:pPr>
              <w:spacing w:line="240" w:lineRule="auto"/>
              <w:ind w:firstLine="0" w:firstLineChars="0"/>
              <w:jc w:val="both"/>
              <w:rPr>
                <w:rFonts w:ascii="宋体" w:hAnsi="宋体" w:cs="宋体"/>
                <w:sz w:val="21"/>
                <w:szCs w:val="21"/>
              </w:rPr>
            </w:pPr>
            <w:r>
              <w:rPr>
                <w:rFonts w:ascii="宋体" w:hAnsi="宋体" w:cs="宋体"/>
                <w:sz w:val="21"/>
                <w:szCs w:val="21"/>
              </w:rPr>
              <w:t>机械设备传动部位设置了机械防护罩。</w:t>
            </w:r>
          </w:p>
        </w:tc>
        <w:tc>
          <w:tcPr>
            <w:tcW w:w="0" w:type="auto"/>
            <w:vAlign w:val="center"/>
          </w:tcPr>
          <w:p>
            <w:pPr>
              <w:spacing w:line="300" w:lineRule="exact"/>
              <w:ind w:firstLine="0" w:firstLineChars="0"/>
              <w:jc w:val="center"/>
              <w:rPr>
                <w:rFonts w:cs="Times New Roman"/>
                <w:sz w:val="20"/>
                <w:szCs w:val="20"/>
              </w:rPr>
            </w:pPr>
            <w:r>
              <w:rPr>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49" w:hRule="atLeast"/>
          <w:jc w:val="center"/>
        </w:trPr>
        <w:tc>
          <w:tcPr>
            <w:tcW w:w="0" w:type="auto"/>
            <w:vAlign w:val="center"/>
          </w:tcPr>
          <w:p>
            <w:pPr>
              <w:numPr>
                <w:ilvl w:val="0"/>
                <w:numId w:val="64"/>
              </w:numPr>
              <w:spacing w:line="240" w:lineRule="auto"/>
              <w:ind w:firstLine="0" w:firstLineChars="0"/>
              <w:jc w:val="center"/>
              <w:rPr>
                <w:rFonts w:ascii="宋体" w:hAnsi="宋体" w:cs="宋体"/>
                <w:b/>
                <w:bCs/>
                <w:sz w:val="21"/>
                <w:szCs w:val="21"/>
              </w:rPr>
            </w:pPr>
          </w:p>
        </w:tc>
        <w:tc>
          <w:tcPr>
            <w:tcW w:w="0" w:type="auto"/>
            <w:vAlign w:val="center"/>
          </w:tcPr>
          <w:p>
            <w:pPr>
              <w:spacing w:line="240" w:lineRule="auto"/>
              <w:ind w:firstLine="0" w:firstLineChars="0"/>
              <w:jc w:val="both"/>
              <w:rPr>
                <w:rFonts w:ascii="宋体" w:hAnsi="宋体" w:cs="宋体"/>
                <w:sz w:val="21"/>
                <w:szCs w:val="21"/>
              </w:rPr>
            </w:pPr>
            <w:r>
              <w:rPr>
                <w:rFonts w:ascii="宋体" w:hAnsi="宋体" w:cs="宋体"/>
                <w:sz w:val="21"/>
                <w:szCs w:val="21"/>
              </w:rPr>
              <w:t>危险性作业场所，应设置安全通道；应设应急照明、安全标志和疏散指示标志；门窗应向外开启；通道和出口应保持畅通；出入口的设置应符合有关规定。</w:t>
            </w:r>
          </w:p>
        </w:tc>
        <w:tc>
          <w:tcPr>
            <w:tcW w:w="0" w:type="auto"/>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《生产过程安全卫生要求总则》</w:t>
            </w:r>
          </w:p>
          <w:p>
            <w:pPr>
              <w:spacing w:line="240" w:lineRule="auto"/>
              <w:ind w:firstLine="0" w:firstLineChars="0"/>
              <w:jc w:val="center"/>
              <w:rPr>
                <w:rFonts w:ascii="宋体" w:hAnsi="宋体" w:cs="宋体"/>
                <w:sz w:val="21"/>
                <w:szCs w:val="21"/>
              </w:rPr>
            </w:pPr>
            <w:r>
              <w:rPr>
                <w:rFonts w:hint="eastAsia" w:ascii="宋体" w:hAnsi="宋体" w:cs="宋体"/>
                <w:sz w:val="21"/>
                <w:szCs w:val="21"/>
              </w:rPr>
              <w:t>（GB/T 12801-2008）5.4.6</w:t>
            </w:r>
          </w:p>
        </w:tc>
        <w:tc>
          <w:tcPr>
            <w:tcW w:w="0" w:type="auto"/>
            <w:vAlign w:val="center"/>
          </w:tcPr>
          <w:p>
            <w:pPr>
              <w:spacing w:line="240" w:lineRule="auto"/>
              <w:ind w:firstLine="0" w:firstLineChars="0"/>
              <w:jc w:val="both"/>
              <w:rPr>
                <w:rFonts w:ascii="宋体" w:hAnsi="宋体" w:cs="宋体"/>
                <w:sz w:val="21"/>
                <w:szCs w:val="21"/>
              </w:rPr>
            </w:pPr>
            <w:r>
              <w:rPr>
                <w:rFonts w:ascii="宋体" w:hAnsi="宋体" w:cs="宋体"/>
                <w:sz w:val="21"/>
                <w:szCs w:val="21"/>
              </w:rPr>
              <w:t>项目各场所根据要求设置了安全通道、应急照明灯、安全标志和疏散指示标志，门窗均向外开，现场无阻碍通道的现象，出入口按相关规定设置。</w:t>
            </w:r>
          </w:p>
        </w:tc>
        <w:tc>
          <w:tcPr>
            <w:tcW w:w="0" w:type="auto"/>
            <w:vAlign w:val="center"/>
          </w:tcPr>
          <w:p>
            <w:pPr>
              <w:spacing w:line="300" w:lineRule="exact"/>
              <w:ind w:firstLine="0" w:firstLineChars="0"/>
              <w:jc w:val="center"/>
              <w:rPr>
                <w:rFonts w:cs="Times New Roman"/>
                <w:sz w:val="20"/>
                <w:szCs w:val="20"/>
              </w:rPr>
            </w:pPr>
            <w:r>
              <w:rPr>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396" w:hRule="atLeast"/>
          <w:jc w:val="center"/>
        </w:trPr>
        <w:tc>
          <w:tcPr>
            <w:tcW w:w="0" w:type="auto"/>
            <w:vAlign w:val="center"/>
          </w:tcPr>
          <w:p>
            <w:pPr>
              <w:numPr>
                <w:ilvl w:val="0"/>
                <w:numId w:val="64"/>
              </w:numPr>
              <w:spacing w:line="240" w:lineRule="auto"/>
              <w:ind w:firstLine="0" w:firstLineChars="0"/>
              <w:jc w:val="center"/>
              <w:rPr>
                <w:rFonts w:ascii="宋体" w:hAnsi="宋体" w:cs="宋体"/>
                <w:b/>
                <w:bCs/>
                <w:sz w:val="21"/>
                <w:szCs w:val="21"/>
              </w:rPr>
            </w:pPr>
          </w:p>
        </w:tc>
        <w:tc>
          <w:tcPr>
            <w:tcW w:w="0" w:type="auto"/>
            <w:vAlign w:val="center"/>
          </w:tcPr>
          <w:p>
            <w:pPr>
              <w:spacing w:line="240" w:lineRule="auto"/>
              <w:ind w:firstLine="0" w:firstLineChars="0"/>
              <w:jc w:val="both"/>
              <w:rPr>
                <w:rFonts w:ascii="宋体" w:hAnsi="宋体" w:cs="宋体"/>
                <w:sz w:val="21"/>
                <w:szCs w:val="21"/>
              </w:rPr>
            </w:pPr>
            <w:r>
              <w:rPr>
                <w:rFonts w:ascii="宋体" w:hAnsi="宋体" w:cs="宋体"/>
                <w:sz w:val="21"/>
                <w:szCs w:val="21"/>
              </w:rPr>
              <w:t>设备布置的原则：</w:t>
            </w:r>
          </w:p>
          <w:p>
            <w:pPr>
              <w:spacing w:line="240" w:lineRule="auto"/>
              <w:ind w:firstLine="0" w:firstLineChars="0"/>
              <w:jc w:val="both"/>
              <w:rPr>
                <w:rFonts w:ascii="宋体" w:hAnsi="宋体" w:cs="宋体"/>
                <w:sz w:val="21"/>
                <w:szCs w:val="21"/>
              </w:rPr>
            </w:pPr>
            <w:r>
              <w:rPr>
                <w:rFonts w:ascii="宋体" w:hAnsi="宋体" w:cs="宋体"/>
                <w:sz w:val="21"/>
                <w:szCs w:val="21"/>
              </w:rPr>
              <w:t>a. 便于操作和维护；</w:t>
            </w:r>
          </w:p>
          <w:p>
            <w:pPr>
              <w:spacing w:line="240" w:lineRule="auto"/>
              <w:ind w:firstLine="0" w:firstLineChars="0"/>
              <w:jc w:val="both"/>
              <w:rPr>
                <w:rFonts w:ascii="宋体" w:hAnsi="宋体" w:cs="宋体"/>
                <w:sz w:val="21"/>
                <w:szCs w:val="21"/>
              </w:rPr>
            </w:pPr>
            <w:r>
              <w:rPr>
                <w:rFonts w:ascii="宋体" w:hAnsi="宋体" w:cs="宋体"/>
                <w:sz w:val="21"/>
                <w:szCs w:val="21"/>
              </w:rPr>
              <w:t>b. 发生火灾或出现紧急情况时，便于人员撤离；</w:t>
            </w:r>
          </w:p>
          <w:p>
            <w:pPr>
              <w:spacing w:line="240" w:lineRule="auto"/>
              <w:ind w:firstLine="0" w:firstLineChars="0"/>
              <w:jc w:val="both"/>
              <w:rPr>
                <w:rFonts w:ascii="宋体" w:hAnsi="宋体" w:cs="宋体"/>
                <w:sz w:val="21"/>
                <w:szCs w:val="21"/>
              </w:rPr>
            </w:pPr>
            <w:r>
              <w:rPr>
                <w:rFonts w:ascii="宋体" w:hAnsi="宋体" w:cs="宋体"/>
                <w:sz w:val="21"/>
                <w:szCs w:val="21"/>
              </w:rPr>
              <w:t>c. 尽量避免生产装置之间危害因素的相互影响，减小对人员的综合作用；</w:t>
            </w:r>
          </w:p>
          <w:p>
            <w:pPr>
              <w:spacing w:line="240" w:lineRule="auto"/>
              <w:ind w:firstLine="0" w:firstLineChars="0"/>
              <w:jc w:val="both"/>
              <w:rPr>
                <w:rFonts w:ascii="宋体" w:hAnsi="宋体" w:cs="宋体"/>
                <w:sz w:val="21"/>
                <w:szCs w:val="21"/>
              </w:rPr>
            </w:pPr>
            <w:r>
              <w:rPr>
                <w:rFonts w:ascii="宋体" w:hAnsi="宋体" w:cs="宋体"/>
                <w:sz w:val="21"/>
                <w:szCs w:val="21"/>
              </w:rPr>
              <w:t>d. 布置具有潜在危险的设备时，应根据有关规定进行分散和隔离，并设置必要的提示、标志和警告信号；</w:t>
            </w:r>
          </w:p>
          <w:p>
            <w:pPr>
              <w:spacing w:line="240" w:lineRule="auto"/>
              <w:ind w:firstLine="0" w:firstLineChars="0"/>
              <w:jc w:val="both"/>
              <w:rPr>
                <w:rFonts w:ascii="宋体" w:hAnsi="宋体" w:cs="宋体"/>
                <w:sz w:val="21"/>
                <w:szCs w:val="21"/>
              </w:rPr>
            </w:pPr>
            <w:r>
              <w:rPr>
                <w:rFonts w:ascii="宋体" w:hAnsi="宋体" w:cs="宋体"/>
                <w:sz w:val="21"/>
                <w:szCs w:val="21"/>
              </w:rPr>
              <w:t>e. 对振动、爆炸敏感的设备，应进行隔离或设置屏蔽、防护墙、减振设施等；</w:t>
            </w:r>
          </w:p>
          <w:p>
            <w:pPr>
              <w:spacing w:line="240" w:lineRule="auto"/>
              <w:ind w:firstLine="0" w:firstLineChars="0"/>
              <w:jc w:val="both"/>
              <w:rPr>
                <w:rFonts w:ascii="宋体" w:hAnsi="宋体" w:cs="宋体"/>
                <w:sz w:val="21"/>
                <w:szCs w:val="21"/>
              </w:rPr>
            </w:pPr>
            <w:r>
              <w:rPr>
                <w:rFonts w:ascii="宋体" w:hAnsi="宋体" w:cs="宋体"/>
                <w:sz w:val="21"/>
                <w:szCs w:val="21"/>
              </w:rPr>
              <w:t>f. 设备的噪声超过有关标准规定时，应予以隔离；</w:t>
            </w:r>
          </w:p>
        </w:tc>
        <w:tc>
          <w:tcPr>
            <w:tcW w:w="0" w:type="auto"/>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《生产过程安全卫生要求总则》</w:t>
            </w:r>
          </w:p>
          <w:p>
            <w:pPr>
              <w:spacing w:line="240" w:lineRule="auto"/>
              <w:ind w:firstLine="0" w:firstLineChars="0"/>
              <w:jc w:val="center"/>
              <w:rPr>
                <w:rFonts w:ascii="宋体" w:hAnsi="宋体" w:cs="宋体"/>
                <w:sz w:val="21"/>
                <w:szCs w:val="21"/>
              </w:rPr>
            </w:pPr>
            <w:r>
              <w:rPr>
                <w:rFonts w:hint="eastAsia" w:ascii="宋体" w:hAnsi="宋体" w:cs="宋体"/>
                <w:sz w:val="21"/>
                <w:szCs w:val="21"/>
              </w:rPr>
              <w:t>（GB/T 12801-2008）5.7.2</w:t>
            </w:r>
          </w:p>
        </w:tc>
        <w:tc>
          <w:tcPr>
            <w:tcW w:w="0" w:type="auto"/>
            <w:vAlign w:val="center"/>
          </w:tcPr>
          <w:p>
            <w:pPr>
              <w:spacing w:line="240" w:lineRule="auto"/>
              <w:ind w:firstLine="0" w:firstLineChars="0"/>
              <w:jc w:val="both"/>
              <w:rPr>
                <w:rFonts w:ascii="宋体" w:hAnsi="宋体" w:cs="宋体"/>
                <w:sz w:val="21"/>
                <w:szCs w:val="21"/>
              </w:rPr>
            </w:pPr>
            <w:r>
              <w:rPr>
                <w:rFonts w:ascii="宋体" w:hAnsi="宋体" w:cs="宋体"/>
                <w:sz w:val="21"/>
                <w:szCs w:val="21"/>
              </w:rPr>
              <w:t>项目均选用低噪声设备，周围没有对振动要求高的设备，均按相关要求规定进行布置，有足够的操作和检维修空间，便于操作和维护；该项目各生产厂房设有紧急出入口，发生火灾或出现紧急情况时人员能迅速撤离。</w:t>
            </w:r>
          </w:p>
        </w:tc>
        <w:tc>
          <w:tcPr>
            <w:tcW w:w="0" w:type="auto"/>
            <w:vAlign w:val="center"/>
          </w:tcPr>
          <w:p>
            <w:pPr>
              <w:spacing w:line="300" w:lineRule="exact"/>
              <w:ind w:firstLine="0" w:firstLineChars="0"/>
              <w:jc w:val="center"/>
              <w:rPr>
                <w:rFonts w:cs="Times New Roman"/>
                <w:sz w:val="20"/>
                <w:szCs w:val="20"/>
              </w:rPr>
            </w:pPr>
            <w:r>
              <w:rPr>
                <w:sz w:val="20"/>
                <w:szCs w:val="20"/>
              </w:rPr>
              <w:t>符合</w:t>
            </w:r>
          </w:p>
        </w:tc>
      </w:tr>
    </w:tbl>
    <w:p>
      <w:pPr>
        <w:ind w:firstLine="560"/>
        <w:rPr>
          <w:rFonts w:ascii="宋体" w:hAnsi="宋体" w:cs="宋体"/>
        </w:rPr>
      </w:pPr>
      <w:bookmarkStart w:id="304" w:name="_Toc498299367"/>
      <w:bookmarkStart w:id="305" w:name="_Toc498519836"/>
      <w:bookmarkStart w:id="306" w:name="_Toc500007174"/>
      <w:r>
        <w:rPr>
          <w:rFonts w:hint="eastAsia" w:ascii="宋体" w:hAnsi="宋体" w:cs="宋体"/>
        </w:rPr>
        <w:t>依据检查结果可知，该项目机械设备符合《生产过程安全卫生要求总则》（GB/T 12801-2008）、《生产设备安全卫生设计总则》（GB5083-1999）、《机械安全 防护装置 固定式和活动式防护装置的设计与制造一般要求》（GB/T 8196-2018）、《带式输送机安全规范》（GB14784-2013）等标准规范的要求。</w:t>
      </w:r>
    </w:p>
    <w:p>
      <w:pPr>
        <w:pStyle w:val="6"/>
        <w:spacing w:before="156" w:after="156"/>
      </w:pPr>
      <w:bookmarkStart w:id="307" w:name="_Toc31557"/>
      <w:bookmarkStart w:id="308" w:name="_Toc8343"/>
      <w:r>
        <w:t>自动控制设施安全措施</w:t>
      </w:r>
      <w:bookmarkEnd w:id="307"/>
    </w:p>
    <w:p>
      <w:pPr>
        <w:ind w:firstLine="560"/>
        <w:rPr>
          <w:snapToGrid w:val="0"/>
          <w:kern w:val="0"/>
          <w:szCs w:val="28"/>
        </w:rPr>
      </w:pPr>
      <w:r>
        <w:rPr>
          <w:snapToGrid w:val="0"/>
          <w:kern w:val="0"/>
          <w:szCs w:val="28"/>
        </w:rPr>
        <w:t>依据</w:t>
      </w:r>
      <w:r>
        <w:rPr>
          <w:rFonts w:hint="eastAsia" w:ascii="宋体" w:hAnsi="宋体" w:cs="宋体"/>
        </w:rPr>
        <w:t>《</w:t>
      </w:r>
      <w:r>
        <w:rPr>
          <w:rFonts w:ascii="宋体" w:hAnsi="宋体" w:cs="宋体"/>
        </w:rPr>
        <w:t>生产过程安全卫生要求总则</w:t>
      </w:r>
      <w:r>
        <w:rPr>
          <w:rFonts w:hint="eastAsia" w:ascii="宋体" w:hAnsi="宋体" w:cs="宋体"/>
        </w:rPr>
        <w:t>》（GB/T12801-2008）、</w:t>
      </w:r>
      <w:r>
        <w:rPr>
          <w:snapToGrid w:val="0"/>
          <w:kern w:val="0"/>
          <w:szCs w:val="28"/>
        </w:rPr>
        <w:t>《生产设备安全卫生设计总则》（GB5083-1999）等标准规范的规定，对该项目的自动控制及通信设施采用安全检查表法进行分析评价。</w:t>
      </w:r>
    </w:p>
    <w:p>
      <w:pPr>
        <w:pStyle w:val="14"/>
        <w:spacing w:before="156" w:after="156"/>
      </w:pPr>
      <w:r>
        <w:t xml:space="preserve">表 </w:t>
      </w:r>
      <w:r>
        <w:fldChar w:fldCharType="begin"/>
      </w:r>
      <w:r>
        <w:instrText xml:space="preserve"> STYLEREF 2 \s </w:instrText>
      </w:r>
      <w:r>
        <w:fldChar w:fldCharType="separate"/>
      </w:r>
      <w:r>
        <w:t>5.6</w:t>
      </w:r>
      <w:r>
        <w:fldChar w:fldCharType="end"/>
      </w:r>
      <w:r>
        <w:rPr>
          <w:rFonts w:hint="eastAsia"/>
        </w:rPr>
        <w:t>-4</w:t>
      </w:r>
      <w:r>
        <w:t>自动控制设施符合性</w:t>
      </w:r>
      <w:r>
        <w:rPr>
          <w:rFonts w:hint="eastAsia"/>
        </w:rPr>
        <w:t>安全检查表</w:t>
      </w:r>
    </w:p>
    <w:tbl>
      <w:tblPr>
        <w:tblStyle w:val="29"/>
        <w:tblW w:w="5096"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690"/>
        <w:gridCol w:w="3119"/>
        <w:gridCol w:w="2106"/>
        <w:gridCol w:w="2106"/>
        <w:gridCol w:w="66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63" w:hRule="atLeast"/>
          <w:tblHeader/>
          <w:jc w:val="center"/>
        </w:trPr>
        <w:tc>
          <w:tcPr>
            <w:tcW w:w="397" w:type="pct"/>
            <w:tcBorders>
              <w:tl2br w:val="nil"/>
              <w:tr2bl w:val="nil"/>
            </w:tcBorders>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序号</w:t>
            </w:r>
          </w:p>
        </w:tc>
        <w:tc>
          <w:tcPr>
            <w:tcW w:w="1795" w:type="pct"/>
            <w:tcBorders>
              <w:tl2br w:val="nil"/>
              <w:tr2bl w:val="nil"/>
            </w:tcBorders>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检查内容</w:t>
            </w:r>
          </w:p>
        </w:tc>
        <w:tc>
          <w:tcPr>
            <w:tcW w:w="1212" w:type="pct"/>
            <w:tcBorders>
              <w:tl2br w:val="nil"/>
              <w:tr2bl w:val="nil"/>
            </w:tcBorders>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依据标准</w:t>
            </w:r>
          </w:p>
        </w:tc>
        <w:tc>
          <w:tcPr>
            <w:tcW w:w="1212" w:type="pct"/>
            <w:tcBorders>
              <w:tl2br w:val="nil"/>
              <w:tr2bl w:val="nil"/>
            </w:tcBorders>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检查情况</w:t>
            </w:r>
          </w:p>
        </w:tc>
        <w:tc>
          <w:tcPr>
            <w:tcW w:w="382" w:type="pct"/>
            <w:tcBorders>
              <w:tl2br w:val="nil"/>
              <w:tr2bl w:val="nil"/>
            </w:tcBorders>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结论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7" w:type="pct"/>
            <w:tcBorders>
              <w:tl2br w:val="nil"/>
              <w:tr2bl w:val="nil"/>
            </w:tcBorders>
            <w:vAlign w:val="center"/>
          </w:tcPr>
          <w:p>
            <w:pPr>
              <w:numPr>
                <w:ilvl w:val="0"/>
                <w:numId w:val="65"/>
              </w:numPr>
              <w:spacing w:line="240" w:lineRule="auto"/>
              <w:ind w:firstLine="0" w:firstLineChars="0"/>
              <w:jc w:val="center"/>
              <w:rPr>
                <w:rFonts w:ascii="宋体" w:hAnsi="宋体" w:cs="宋体"/>
                <w:b/>
                <w:bCs/>
                <w:sz w:val="21"/>
                <w:szCs w:val="21"/>
              </w:rPr>
            </w:pPr>
          </w:p>
        </w:tc>
        <w:tc>
          <w:tcPr>
            <w:tcW w:w="1795" w:type="pct"/>
            <w:tcBorders>
              <w:tl2br w:val="nil"/>
              <w:tr2bl w:val="nil"/>
            </w:tcBorders>
            <w:vAlign w:val="center"/>
          </w:tcPr>
          <w:p>
            <w:pPr>
              <w:spacing w:line="240" w:lineRule="auto"/>
              <w:ind w:firstLine="0" w:firstLineChars="0"/>
              <w:jc w:val="both"/>
              <w:rPr>
                <w:rFonts w:ascii="宋体" w:hAnsi="宋体" w:cs="宋体"/>
                <w:sz w:val="21"/>
                <w:szCs w:val="21"/>
              </w:rPr>
            </w:pPr>
            <w:r>
              <w:rPr>
                <w:rFonts w:hint="eastAsia" w:ascii="宋体" w:hAnsi="宋体" w:cs="宋体"/>
                <w:sz w:val="21"/>
                <w:szCs w:val="21"/>
              </w:rPr>
              <w:t>应尽量选用自动化程度高的设备。危险性较大的、重要的关键性生产设备，应由具备有效资质的单位进行设计、制造和检验。</w:t>
            </w:r>
          </w:p>
        </w:tc>
        <w:tc>
          <w:tcPr>
            <w:tcW w:w="1212" w:type="pct"/>
            <w:tcBorders>
              <w:tl2br w:val="nil"/>
              <w:tr2bl w:val="nil"/>
            </w:tcBorders>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w:t>
            </w:r>
            <w:r>
              <w:rPr>
                <w:rFonts w:ascii="宋体" w:hAnsi="宋体" w:cs="宋体"/>
                <w:sz w:val="21"/>
                <w:szCs w:val="21"/>
              </w:rPr>
              <w:t>生产过程安全卫生要求总则</w:t>
            </w:r>
            <w:r>
              <w:rPr>
                <w:rFonts w:hint="eastAsia" w:ascii="宋体" w:hAnsi="宋体" w:cs="宋体"/>
                <w:sz w:val="21"/>
                <w:szCs w:val="21"/>
              </w:rPr>
              <w:t>》（GB/T12801-2008）5.6.1</w:t>
            </w:r>
          </w:p>
        </w:tc>
        <w:tc>
          <w:tcPr>
            <w:tcW w:w="1212" w:type="pct"/>
            <w:tcBorders>
              <w:tl2br w:val="nil"/>
              <w:tr2bl w:val="nil"/>
            </w:tcBorders>
            <w:vAlign w:val="center"/>
          </w:tcPr>
          <w:p>
            <w:pPr>
              <w:spacing w:line="240" w:lineRule="auto"/>
              <w:ind w:firstLine="0" w:firstLineChars="0"/>
              <w:jc w:val="both"/>
              <w:rPr>
                <w:rFonts w:ascii="宋体" w:hAnsi="宋体" w:cs="宋体"/>
                <w:sz w:val="21"/>
                <w:szCs w:val="21"/>
              </w:rPr>
            </w:pPr>
            <w:r>
              <w:rPr>
                <w:rFonts w:hint="eastAsia" w:ascii="宋体" w:hAnsi="宋体" w:cs="宋体"/>
                <w:sz w:val="21"/>
                <w:szCs w:val="21"/>
              </w:rPr>
              <w:t>项目选用了自动化程度高的设备。危险性较大的、重要的关键性生产设备，由具备有效资质的单位进行设计、制造和检验。</w:t>
            </w:r>
          </w:p>
        </w:tc>
        <w:tc>
          <w:tcPr>
            <w:tcW w:w="382" w:type="pct"/>
            <w:tcBorders>
              <w:tl2br w:val="nil"/>
              <w:tr2bl w:val="nil"/>
            </w:tcBorders>
            <w:vAlign w:val="center"/>
          </w:tcPr>
          <w:p>
            <w:pPr>
              <w:spacing w:line="300" w:lineRule="exact"/>
              <w:ind w:firstLine="0" w:firstLineChars="0"/>
              <w:jc w:val="center"/>
              <w:rPr>
                <w:rFonts w:cs="Times New Roman"/>
                <w:sz w:val="20"/>
                <w:szCs w:val="20"/>
              </w:rPr>
            </w:pPr>
            <w:r>
              <w:rPr>
                <w:rFonts w:hint="eastAsia" w:cs="Times New Roman"/>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7" w:type="pct"/>
            <w:tcBorders>
              <w:tl2br w:val="nil"/>
              <w:tr2bl w:val="nil"/>
            </w:tcBorders>
            <w:vAlign w:val="center"/>
          </w:tcPr>
          <w:p>
            <w:pPr>
              <w:numPr>
                <w:ilvl w:val="0"/>
                <w:numId w:val="65"/>
              </w:numPr>
              <w:spacing w:line="240" w:lineRule="auto"/>
              <w:ind w:firstLine="0" w:firstLineChars="0"/>
              <w:jc w:val="center"/>
              <w:rPr>
                <w:rFonts w:ascii="宋体" w:hAnsi="宋体" w:cs="宋体"/>
                <w:b/>
                <w:bCs/>
                <w:sz w:val="21"/>
                <w:szCs w:val="21"/>
              </w:rPr>
            </w:pPr>
          </w:p>
        </w:tc>
        <w:tc>
          <w:tcPr>
            <w:tcW w:w="1795" w:type="pct"/>
            <w:tcBorders>
              <w:tl2br w:val="nil"/>
              <w:tr2bl w:val="nil"/>
            </w:tcBorders>
            <w:vAlign w:val="center"/>
          </w:tcPr>
          <w:p>
            <w:pPr>
              <w:spacing w:line="240" w:lineRule="auto"/>
              <w:ind w:firstLine="0" w:firstLineChars="0"/>
              <w:jc w:val="both"/>
              <w:rPr>
                <w:rFonts w:ascii="宋体" w:hAnsi="宋体" w:cs="宋体"/>
                <w:sz w:val="21"/>
                <w:szCs w:val="21"/>
              </w:rPr>
            </w:pPr>
            <w:r>
              <w:rPr>
                <w:rFonts w:hint="eastAsia" w:ascii="宋体" w:hAnsi="宋体" w:cs="宋体"/>
                <w:sz w:val="21"/>
                <w:szCs w:val="21"/>
              </w:rPr>
              <w:t>设备本身应具备必要的防护、净化、减振、消音、保险、联锁、信号、监测等可靠的安全、卫生装置。对有突然超压或瞬间爆炸危险的设备，还应设置符合标准要求的泄压、防爆等安全装置。</w:t>
            </w:r>
          </w:p>
        </w:tc>
        <w:tc>
          <w:tcPr>
            <w:tcW w:w="1212" w:type="pct"/>
            <w:tcBorders>
              <w:tl2br w:val="nil"/>
              <w:tr2bl w:val="nil"/>
            </w:tcBorders>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w:t>
            </w:r>
            <w:r>
              <w:rPr>
                <w:rFonts w:ascii="宋体" w:hAnsi="宋体" w:cs="宋体"/>
                <w:sz w:val="21"/>
                <w:szCs w:val="21"/>
              </w:rPr>
              <w:t>生产过程安全卫生要求总则</w:t>
            </w:r>
            <w:r>
              <w:rPr>
                <w:rFonts w:hint="eastAsia" w:ascii="宋体" w:hAnsi="宋体" w:cs="宋体"/>
                <w:sz w:val="21"/>
                <w:szCs w:val="21"/>
              </w:rPr>
              <w:t>》（GB/T12801-2008）5.6.5</w:t>
            </w:r>
          </w:p>
        </w:tc>
        <w:tc>
          <w:tcPr>
            <w:tcW w:w="1212" w:type="pct"/>
            <w:tcBorders>
              <w:tl2br w:val="nil"/>
              <w:tr2bl w:val="nil"/>
            </w:tcBorders>
            <w:vAlign w:val="center"/>
          </w:tcPr>
          <w:p>
            <w:pPr>
              <w:spacing w:line="240" w:lineRule="auto"/>
              <w:ind w:firstLine="0" w:firstLineChars="0"/>
              <w:jc w:val="both"/>
              <w:rPr>
                <w:rFonts w:ascii="宋体" w:hAnsi="宋体" w:cs="宋体"/>
                <w:sz w:val="21"/>
                <w:szCs w:val="21"/>
              </w:rPr>
            </w:pPr>
            <w:r>
              <w:rPr>
                <w:rFonts w:hint="eastAsia" w:ascii="宋体" w:hAnsi="宋体" w:cs="宋体"/>
                <w:sz w:val="21"/>
                <w:szCs w:val="21"/>
              </w:rPr>
              <w:t>项目选用的设备本身具备必要的防护、净化、减振、消音、保险、联锁、信号、监测等可靠的安全、卫生装置。</w:t>
            </w:r>
          </w:p>
        </w:tc>
        <w:tc>
          <w:tcPr>
            <w:tcW w:w="382" w:type="pct"/>
            <w:tcBorders>
              <w:tl2br w:val="nil"/>
              <w:tr2bl w:val="nil"/>
            </w:tcBorders>
            <w:vAlign w:val="center"/>
          </w:tcPr>
          <w:p>
            <w:pPr>
              <w:spacing w:line="240" w:lineRule="auto"/>
              <w:ind w:firstLine="0" w:firstLineChars="0"/>
              <w:jc w:val="center"/>
              <w:rPr>
                <w:rFonts w:ascii="宋体" w:hAnsi="宋体" w:cs="宋体"/>
                <w:b/>
                <w:bCs/>
                <w:sz w:val="21"/>
                <w:szCs w:val="21"/>
              </w:rPr>
            </w:pPr>
            <w:r>
              <w:rPr>
                <w:rFonts w:hint="eastAsia" w:cs="Times New Roman"/>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7" w:type="pct"/>
            <w:tcBorders>
              <w:tl2br w:val="nil"/>
              <w:tr2bl w:val="nil"/>
            </w:tcBorders>
            <w:vAlign w:val="center"/>
          </w:tcPr>
          <w:p>
            <w:pPr>
              <w:numPr>
                <w:ilvl w:val="0"/>
                <w:numId w:val="65"/>
              </w:numPr>
              <w:spacing w:line="240" w:lineRule="auto"/>
              <w:ind w:firstLine="0" w:firstLineChars="0"/>
              <w:jc w:val="center"/>
              <w:rPr>
                <w:rFonts w:ascii="宋体" w:hAnsi="宋体" w:cs="宋体"/>
                <w:b/>
                <w:bCs/>
                <w:sz w:val="21"/>
                <w:szCs w:val="21"/>
              </w:rPr>
            </w:pPr>
          </w:p>
        </w:tc>
        <w:tc>
          <w:tcPr>
            <w:tcW w:w="1795" w:type="pct"/>
            <w:tcBorders>
              <w:tl2br w:val="nil"/>
              <w:tr2bl w:val="nil"/>
            </w:tcBorders>
            <w:vAlign w:val="center"/>
          </w:tcPr>
          <w:p>
            <w:pPr>
              <w:spacing w:line="240" w:lineRule="auto"/>
              <w:ind w:firstLine="0" w:firstLineChars="0"/>
              <w:jc w:val="both"/>
              <w:rPr>
                <w:rFonts w:ascii="宋体" w:hAnsi="宋体" w:cs="宋体"/>
                <w:sz w:val="21"/>
                <w:szCs w:val="21"/>
              </w:rPr>
            </w:pPr>
            <w:r>
              <w:rPr>
                <w:rFonts w:ascii="宋体" w:hAnsi="宋体" w:cs="宋体"/>
                <w:sz w:val="21"/>
                <w:szCs w:val="21"/>
              </w:rPr>
              <w:t>生产设备的各种受力零、部件及其</w:t>
            </w:r>
            <w:r>
              <w:rPr>
                <w:rFonts w:hint="eastAsia" w:ascii="宋体" w:hAnsi="宋体" w:cs="宋体"/>
                <w:sz w:val="21"/>
                <w:szCs w:val="21"/>
              </w:rPr>
              <w:t>连接</w:t>
            </w:r>
            <w:r>
              <w:rPr>
                <w:rFonts w:ascii="宋体" w:hAnsi="宋体" w:cs="宋体"/>
                <w:sz w:val="21"/>
                <w:szCs w:val="21"/>
              </w:rPr>
              <w:t>，必须合理选择结构、材料、工艺和安全系数，在规定使用寿命内按规定使用时，不得产生断裂和破碎。</w:t>
            </w:r>
          </w:p>
        </w:tc>
        <w:tc>
          <w:tcPr>
            <w:tcW w:w="1212" w:type="pct"/>
            <w:tcBorders>
              <w:tl2br w:val="nil"/>
              <w:tr2bl w:val="nil"/>
            </w:tcBorders>
            <w:vAlign w:val="center"/>
          </w:tcPr>
          <w:p>
            <w:pPr>
              <w:spacing w:line="300" w:lineRule="exact"/>
              <w:ind w:firstLine="0" w:firstLineChars="0"/>
              <w:jc w:val="center"/>
              <w:rPr>
                <w:sz w:val="20"/>
                <w:szCs w:val="20"/>
              </w:rPr>
            </w:pPr>
            <w:r>
              <w:rPr>
                <w:sz w:val="20"/>
                <w:szCs w:val="20"/>
              </w:rPr>
              <w:t>《生产设备安全卫生设计总则》（GB5083-1999）</w:t>
            </w:r>
          </w:p>
          <w:p>
            <w:pPr>
              <w:spacing w:line="300" w:lineRule="exact"/>
              <w:ind w:firstLine="0" w:firstLineChars="0"/>
              <w:jc w:val="center"/>
              <w:rPr>
                <w:rFonts w:cs="Times New Roman"/>
                <w:sz w:val="20"/>
                <w:szCs w:val="20"/>
              </w:rPr>
            </w:pPr>
            <w:r>
              <w:rPr>
                <w:sz w:val="20"/>
                <w:szCs w:val="20"/>
              </w:rPr>
              <w:t>2.2</w:t>
            </w:r>
          </w:p>
        </w:tc>
        <w:tc>
          <w:tcPr>
            <w:tcW w:w="1212" w:type="pct"/>
            <w:tcBorders>
              <w:tl2br w:val="nil"/>
              <w:tr2bl w:val="nil"/>
            </w:tcBorders>
            <w:vAlign w:val="center"/>
          </w:tcPr>
          <w:p>
            <w:pPr>
              <w:spacing w:line="240" w:lineRule="auto"/>
              <w:ind w:firstLine="0" w:firstLineChars="0"/>
              <w:jc w:val="both"/>
              <w:rPr>
                <w:rFonts w:ascii="宋体" w:hAnsi="宋体" w:cs="宋体"/>
                <w:sz w:val="21"/>
                <w:szCs w:val="21"/>
              </w:rPr>
            </w:pPr>
            <w:r>
              <w:rPr>
                <w:rFonts w:ascii="宋体" w:hAnsi="宋体" w:cs="宋体"/>
                <w:sz w:val="21"/>
                <w:szCs w:val="21"/>
              </w:rPr>
              <w:t>该项目内生产设备各种受力零、部件及其</w:t>
            </w:r>
            <w:r>
              <w:rPr>
                <w:rFonts w:hint="eastAsia" w:ascii="宋体" w:hAnsi="宋体" w:cs="宋体"/>
                <w:sz w:val="21"/>
                <w:szCs w:val="21"/>
              </w:rPr>
              <w:t>连接</w:t>
            </w:r>
            <w:r>
              <w:rPr>
                <w:rFonts w:ascii="宋体" w:hAnsi="宋体" w:cs="宋体"/>
                <w:sz w:val="21"/>
                <w:szCs w:val="21"/>
              </w:rPr>
              <w:t>均在使用寿命内使用。</w:t>
            </w:r>
          </w:p>
        </w:tc>
        <w:tc>
          <w:tcPr>
            <w:tcW w:w="382" w:type="pct"/>
            <w:tcBorders>
              <w:tl2br w:val="nil"/>
              <w:tr2bl w:val="nil"/>
            </w:tcBorders>
            <w:vAlign w:val="center"/>
          </w:tcPr>
          <w:p>
            <w:pPr>
              <w:spacing w:line="300" w:lineRule="exact"/>
              <w:ind w:firstLine="0" w:firstLineChars="0"/>
              <w:jc w:val="center"/>
              <w:rPr>
                <w:rFonts w:cs="Times New Roman"/>
                <w:sz w:val="20"/>
                <w:szCs w:val="20"/>
              </w:rPr>
            </w:pPr>
            <w:r>
              <w:rPr>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7" w:type="pct"/>
            <w:tcBorders>
              <w:tl2br w:val="nil"/>
              <w:tr2bl w:val="nil"/>
            </w:tcBorders>
            <w:vAlign w:val="center"/>
          </w:tcPr>
          <w:p>
            <w:pPr>
              <w:numPr>
                <w:ilvl w:val="0"/>
                <w:numId w:val="65"/>
              </w:numPr>
              <w:spacing w:line="240" w:lineRule="auto"/>
              <w:ind w:firstLine="0" w:firstLineChars="0"/>
              <w:jc w:val="center"/>
              <w:rPr>
                <w:rFonts w:ascii="宋体" w:hAnsi="宋体" w:cs="宋体"/>
                <w:b/>
                <w:bCs/>
                <w:sz w:val="21"/>
                <w:szCs w:val="21"/>
              </w:rPr>
            </w:pPr>
          </w:p>
        </w:tc>
        <w:tc>
          <w:tcPr>
            <w:tcW w:w="1795" w:type="pct"/>
            <w:tcBorders>
              <w:tl2br w:val="nil"/>
              <w:tr2bl w:val="nil"/>
            </w:tcBorders>
            <w:vAlign w:val="center"/>
          </w:tcPr>
          <w:p>
            <w:pPr>
              <w:spacing w:line="240" w:lineRule="auto"/>
              <w:ind w:firstLine="0" w:firstLineChars="0"/>
              <w:jc w:val="both"/>
              <w:rPr>
                <w:rFonts w:ascii="宋体" w:hAnsi="宋体" w:cs="宋体"/>
                <w:sz w:val="21"/>
                <w:szCs w:val="21"/>
              </w:rPr>
            </w:pPr>
            <w:r>
              <w:rPr>
                <w:rFonts w:hint="eastAsia" w:ascii="宋体" w:hAnsi="宋体" w:cs="宋体"/>
                <w:sz w:val="21"/>
                <w:szCs w:val="21"/>
              </w:rPr>
              <w:t>控制装置应保证，当动力源发生异常（偶然或人为地切断或变化）时，也不会造成危险。必要</w:t>
            </w:r>
          </w:p>
          <w:p>
            <w:pPr>
              <w:spacing w:line="240" w:lineRule="auto"/>
              <w:ind w:firstLine="0" w:firstLineChars="0"/>
              <w:jc w:val="both"/>
              <w:rPr>
                <w:rFonts w:ascii="宋体" w:hAnsi="宋体" w:cs="宋体"/>
                <w:sz w:val="21"/>
                <w:szCs w:val="21"/>
              </w:rPr>
            </w:pPr>
            <w:r>
              <w:rPr>
                <w:rFonts w:hint="eastAsia" w:ascii="宋体" w:hAnsi="宋体" w:cs="宋体"/>
                <w:sz w:val="21"/>
                <w:szCs w:val="21"/>
              </w:rPr>
              <w:t>时，控制装置应能自动切换到备用动力源和备用设备系统。</w:t>
            </w:r>
          </w:p>
        </w:tc>
        <w:tc>
          <w:tcPr>
            <w:tcW w:w="1212" w:type="pct"/>
            <w:tcBorders>
              <w:tl2br w:val="nil"/>
              <w:tr2bl w:val="nil"/>
            </w:tcBorders>
            <w:vAlign w:val="center"/>
          </w:tcPr>
          <w:p>
            <w:pPr>
              <w:spacing w:line="300" w:lineRule="exact"/>
              <w:ind w:firstLine="0" w:firstLineChars="0"/>
              <w:jc w:val="center"/>
              <w:rPr>
                <w:sz w:val="20"/>
                <w:szCs w:val="20"/>
              </w:rPr>
            </w:pPr>
            <w:r>
              <w:rPr>
                <w:sz w:val="20"/>
                <w:szCs w:val="20"/>
              </w:rPr>
              <w:t>《生产设备安全卫生设计总则》（GB5083-1999）</w:t>
            </w:r>
          </w:p>
          <w:p>
            <w:pPr>
              <w:spacing w:line="300" w:lineRule="exact"/>
              <w:ind w:firstLine="0" w:firstLineChars="0"/>
              <w:jc w:val="center"/>
              <w:rPr>
                <w:rFonts w:cs="Times New Roman"/>
                <w:sz w:val="20"/>
                <w:szCs w:val="20"/>
              </w:rPr>
            </w:pPr>
            <w:r>
              <w:rPr>
                <w:rFonts w:hint="eastAsia"/>
                <w:sz w:val="20"/>
                <w:szCs w:val="20"/>
              </w:rPr>
              <w:t>5.6.1.1</w:t>
            </w:r>
          </w:p>
        </w:tc>
        <w:tc>
          <w:tcPr>
            <w:tcW w:w="1212" w:type="pct"/>
            <w:tcBorders>
              <w:tl2br w:val="nil"/>
              <w:tr2bl w:val="nil"/>
            </w:tcBorders>
            <w:vAlign w:val="center"/>
          </w:tcPr>
          <w:p>
            <w:pPr>
              <w:spacing w:line="240" w:lineRule="auto"/>
              <w:ind w:firstLine="0" w:firstLineChars="0"/>
              <w:jc w:val="both"/>
              <w:rPr>
                <w:rFonts w:ascii="宋体" w:hAnsi="宋体" w:cs="宋体"/>
                <w:sz w:val="21"/>
                <w:szCs w:val="21"/>
              </w:rPr>
            </w:pPr>
            <w:r>
              <w:rPr>
                <w:rFonts w:ascii="宋体" w:hAnsi="宋体" w:cs="宋体"/>
                <w:sz w:val="21"/>
                <w:szCs w:val="21"/>
              </w:rPr>
              <w:t>该项目</w:t>
            </w:r>
            <w:r>
              <w:rPr>
                <w:rFonts w:hint="eastAsia" w:ascii="宋体" w:hAnsi="宋体" w:cs="宋体"/>
                <w:sz w:val="21"/>
                <w:szCs w:val="21"/>
              </w:rPr>
              <w:t>控制装置能自动切换到备用动力源和备用设备系统。</w:t>
            </w:r>
          </w:p>
        </w:tc>
        <w:tc>
          <w:tcPr>
            <w:tcW w:w="382" w:type="pct"/>
            <w:tcBorders>
              <w:tl2br w:val="nil"/>
              <w:tr2bl w:val="nil"/>
            </w:tcBorders>
            <w:vAlign w:val="center"/>
          </w:tcPr>
          <w:p>
            <w:pPr>
              <w:spacing w:line="300" w:lineRule="exact"/>
              <w:ind w:firstLine="0" w:firstLineChars="0"/>
              <w:jc w:val="center"/>
              <w:rPr>
                <w:rFonts w:cs="Times New Roman"/>
                <w:sz w:val="20"/>
                <w:szCs w:val="20"/>
              </w:rPr>
            </w:pPr>
            <w:r>
              <w:rPr>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7" w:type="pct"/>
            <w:tcBorders>
              <w:tl2br w:val="nil"/>
              <w:tr2bl w:val="nil"/>
            </w:tcBorders>
            <w:vAlign w:val="center"/>
          </w:tcPr>
          <w:p>
            <w:pPr>
              <w:numPr>
                <w:ilvl w:val="0"/>
                <w:numId w:val="65"/>
              </w:numPr>
              <w:spacing w:line="240" w:lineRule="auto"/>
              <w:ind w:firstLine="0" w:firstLineChars="0"/>
              <w:jc w:val="center"/>
              <w:rPr>
                <w:rFonts w:ascii="宋体" w:hAnsi="宋体" w:cs="宋体"/>
                <w:b/>
                <w:bCs/>
                <w:sz w:val="21"/>
                <w:szCs w:val="21"/>
              </w:rPr>
            </w:pPr>
          </w:p>
        </w:tc>
        <w:tc>
          <w:tcPr>
            <w:tcW w:w="1795" w:type="pct"/>
            <w:tcBorders>
              <w:tl2br w:val="nil"/>
              <w:tr2bl w:val="nil"/>
            </w:tcBorders>
            <w:vAlign w:val="center"/>
          </w:tcPr>
          <w:p>
            <w:pPr>
              <w:spacing w:line="240" w:lineRule="auto"/>
              <w:ind w:firstLine="0" w:firstLineChars="0"/>
              <w:jc w:val="both"/>
              <w:rPr>
                <w:rFonts w:ascii="宋体" w:hAnsi="宋体" w:cs="宋体"/>
                <w:sz w:val="21"/>
                <w:szCs w:val="21"/>
              </w:rPr>
            </w:pPr>
            <w:r>
              <w:rPr>
                <w:rFonts w:hint="eastAsia" w:ascii="宋体" w:hAnsi="宋体" w:cs="宋体"/>
                <w:sz w:val="21"/>
                <w:szCs w:val="21"/>
              </w:rPr>
              <w:t>自动或半自动控制系统应设有必要的保护装置，以防止控制指令紊乱。同时，在每台设备上还</w:t>
            </w:r>
          </w:p>
          <w:p>
            <w:pPr>
              <w:spacing w:line="240" w:lineRule="auto"/>
              <w:ind w:firstLine="0" w:firstLineChars="0"/>
              <w:jc w:val="both"/>
              <w:rPr>
                <w:rFonts w:ascii="宋体" w:hAnsi="宋体" w:cs="宋体"/>
                <w:sz w:val="21"/>
                <w:szCs w:val="21"/>
              </w:rPr>
            </w:pPr>
            <w:r>
              <w:rPr>
                <w:rFonts w:hint="eastAsia" w:ascii="宋体" w:hAnsi="宋体" w:cs="宋体"/>
                <w:sz w:val="21"/>
                <w:szCs w:val="21"/>
              </w:rPr>
              <w:t>应辅以能单独操纵的手动控制装置。</w:t>
            </w:r>
          </w:p>
        </w:tc>
        <w:tc>
          <w:tcPr>
            <w:tcW w:w="1212" w:type="pct"/>
            <w:tcBorders>
              <w:tl2br w:val="nil"/>
              <w:tr2bl w:val="nil"/>
            </w:tcBorders>
            <w:vAlign w:val="center"/>
          </w:tcPr>
          <w:p>
            <w:pPr>
              <w:spacing w:line="300" w:lineRule="exact"/>
              <w:ind w:firstLine="0" w:firstLineChars="0"/>
              <w:jc w:val="center"/>
              <w:rPr>
                <w:sz w:val="20"/>
                <w:szCs w:val="20"/>
              </w:rPr>
            </w:pPr>
            <w:r>
              <w:rPr>
                <w:sz w:val="20"/>
                <w:szCs w:val="20"/>
              </w:rPr>
              <w:t>《生产设备安全卫生设计总则》</w:t>
            </w:r>
          </w:p>
          <w:p>
            <w:pPr>
              <w:spacing w:line="300" w:lineRule="exact"/>
              <w:ind w:firstLine="0" w:firstLineChars="0"/>
              <w:jc w:val="center"/>
              <w:rPr>
                <w:sz w:val="20"/>
                <w:szCs w:val="20"/>
              </w:rPr>
            </w:pPr>
            <w:r>
              <w:rPr>
                <w:sz w:val="20"/>
                <w:szCs w:val="20"/>
              </w:rPr>
              <w:t>（GB5083-1999）</w:t>
            </w:r>
          </w:p>
          <w:p>
            <w:pPr>
              <w:spacing w:line="300" w:lineRule="exact"/>
              <w:ind w:firstLine="0" w:firstLineChars="0"/>
              <w:jc w:val="center"/>
              <w:rPr>
                <w:rFonts w:cs="Times New Roman"/>
                <w:sz w:val="20"/>
                <w:szCs w:val="20"/>
              </w:rPr>
            </w:pPr>
            <w:r>
              <w:rPr>
                <w:rFonts w:hint="eastAsia"/>
                <w:sz w:val="20"/>
                <w:szCs w:val="20"/>
              </w:rPr>
              <w:t>5.6.1.2</w:t>
            </w:r>
          </w:p>
        </w:tc>
        <w:tc>
          <w:tcPr>
            <w:tcW w:w="1212" w:type="pct"/>
            <w:tcBorders>
              <w:tl2br w:val="nil"/>
              <w:tr2bl w:val="nil"/>
            </w:tcBorders>
            <w:vAlign w:val="center"/>
          </w:tcPr>
          <w:p>
            <w:pPr>
              <w:spacing w:line="240" w:lineRule="auto"/>
              <w:ind w:firstLine="0" w:firstLineChars="0"/>
              <w:jc w:val="both"/>
              <w:rPr>
                <w:rFonts w:ascii="宋体" w:hAnsi="宋体" w:cs="宋体"/>
                <w:sz w:val="21"/>
                <w:szCs w:val="21"/>
              </w:rPr>
            </w:pPr>
            <w:r>
              <w:rPr>
                <w:rFonts w:ascii="宋体" w:hAnsi="宋体" w:cs="宋体"/>
                <w:sz w:val="21"/>
                <w:szCs w:val="21"/>
              </w:rPr>
              <w:t>该项目</w:t>
            </w:r>
            <w:r>
              <w:rPr>
                <w:rFonts w:hint="eastAsia" w:ascii="宋体" w:hAnsi="宋体" w:cs="宋体"/>
                <w:sz w:val="21"/>
                <w:szCs w:val="21"/>
              </w:rPr>
              <w:t>自动或半自动控制系统设有必要的保护装置，以防止控制指令紊乱。同时，在每台设备上还</w:t>
            </w:r>
          </w:p>
          <w:p>
            <w:pPr>
              <w:spacing w:line="240" w:lineRule="auto"/>
              <w:ind w:firstLine="0" w:firstLineChars="0"/>
              <w:jc w:val="both"/>
              <w:rPr>
                <w:rFonts w:ascii="宋体" w:hAnsi="宋体" w:cs="宋体"/>
                <w:sz w:val="21"/>
                <w:szCs w:val="21"/>
              </w:rPr>
            </w:pPr>
            <w:r>
              <w:rPr>
                <w:rFonts w:hint="eastAsia" w:ascii="宋体" w:hAnsi="宋体" w:cs="宋体"/>
                <w:sz w:val="21"/>
                <w:szCs w:val="21"/>
              </w:rPr>
              <w:t>辅以能单独操纵的手动控制装置。</w:t>
            </w:r>
          </w:p>
        </w:tc>
        <w:tc>
          <w:tcPr>
            <w:tcW w:w="382" w:type="pct"/>
            <w:tcBorders>
              <w:tl2br w:val="nil"/>
              <w:tr2bl w:val="nil"/>
            </w:tcBorders>
            <w:vAlign w:val="center"/>
          </w:tcPr>
          <w:p>
            <w:pPr>
              <w:spacing w:line="300" w:lineRule="exact"/>
              <w:ind w:firstLine="0" w:firstLineChars="0"/>
              <w:jc w:val="center"/>
              <w:rPr>
                <w:rFonts w:cs="Times New Roman"/>
                <w:sz w:val="20"/>
                <w:szCs w:val="20"/>
              </w:rPr>
            </w:pPr>
            <w:r>
              <w:rPr>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7" w:type="pct"/>
            <w:tcBorders>
              <w:tl2br w:val="nil"/>
              <w:tr2bl w:val="nil"/>
            </w:tcBorders>
            <w:vAlign w:val="center"/>
          </w:tcPr>
          <w:p>
            <w:pPr>
              <w:numPr>
                <w:ilvl w:val="0"/>
                <w:numId w:val="65"/>
              </w:numPr>
              <w:spacing w:line="240" w:lineRule="auto"/>
              <w:ind w:firstLine="0" w:firstLineChars="0"/>
              <w:jc w:val="center"/>
              <w:rPr>
                <w:rFonts w:ascii="宋体" w:hAnsi="宋体" w:cs="宋体"/>
                <w:b/>
                <w:bCs/>
                <w:sz w:val="21"/>
                <w:szCs w:val="21"/>
              </w:rPr>
            </w:pPr>
          </w:p>
        </w:tc>
        <w:tc>
          <w:tcPr>
            <w:tcW w:w="1795" w:type="pct"/>
            <w:tcBorders>
              <w:tl2br w:val="nil"/>
              <w:tr2bl w:val="nil"/>
            </w:tcBorders>
            <w:vAlign w:val="center"/>
          </w:tcPr>
          <w:p>
            <w:pPr>
              <w:spacing w:line="240" w:lineRule="auto"/>
              <w:ind w:firstLine="0" w:firstLineChars="0"/>
              <w:jc w:val="both"/>
              <w:rPr>
                <w:rFonts w:ascii="宋体" w:hAnsi="宋体" w:cs="宋体"/>
                <w:sz w:val="21"/>
                <w:szCs w:val="21"/>
              </w:rPr>
            </w:pPr>
            <w:r>
              <w:rPr>
                <w:rFonts w:hint="eastAsia" w:ascii="宋体" w:hAnsi="宋体" w:cs="宋体"/>
                <w:sz w:val="21"/>
                <w:szCs w:val="21"/>
              </w:rPr>
              <w:t>对复杂的生产设备和重要的安全系统，应配置自动监控装置。</w:t>
            </w:r>
          </w:p>
        </w:tc>
        <w:tc>
          <w:tcPr>
            <w:tcW w:w="1212" w:type="pct"/>
            <w:tcBorders>
              <w:tl2br w:val="nil"/>
              <w:tr2bl w:val="nil"/>
            </w:tcBorders>
            <w:vAlign w:val="center"/>
          </w:tcPr>
          <w:p>
            <w:pPr>
              <w:spacing w:line="300" w:lineRule="exact"/>
              <w:ind w:firstLine="0" w:firstLineChars="0"/>
              <w:jc w:val="center"/>
              <w:rPr>
                <w:sz w:val="20"/>
                <w:szCs w:val="20"/>
              </w:rPr>
            </w:pPr>
            <w:r>
              <w:rPr>
                <w:sz w:val="20"/>
                <w:szCs w:val="20"/>
              </w:rPr>
              <w:t>《生产设备安全卫生设计总则》</w:t>
            </w:r>
          </w:p>
          <w:p>
            <w:pPr>
              <w:spacing w:line="300" w:lineRule="exact"/>
              <w:ind w:firstLine="0" w:firstLineChars="0"/>
              <w:jc w:val="center"/>
              <w:rPr>
                <w:sz w:val="20"/>
                <w:szCs w:val="20"/>
              </w:rPr>
            </w:pPr>
            <w:r>
              <w:rPr>
                <w:sz w:val="20"/>
                <w:szCs w:val="20"/>
              </w:rPr>
              <w:t>（GB5083-1999）</w:t>
            </w:r>
          </w:p>
          <w:p>
            <w:pPr>
              <w:spacing w:line="300" w:lineRule="exact"/>
              <w:ind w:firstLine="0" w:firstLineChars="0"/>
              <w:jc w:val="center"/>
              <w:rPr>
                <w:rFonts w:cs="Times New Roman"/>
                <w:sz w:val="20"/>
                <w:szCs w:val="20"/>
              </w:rPr>
            </w:pPr>
            <w:r>
              <w:rPr>
                <w:rFonts w:hint="eastAsia"/>
                <w:sz w:val="20"/>
                <w:szCs w:val="20"/>
              </w:rPr>
              <w:t>5.6.1.3</w:t>
            </w:r>
          </w:p>
        </w:tc>
        <w:tc>
          <w:tcPr>
            <w:tcW w:w="1212" w:type="pct"/>
            <w:tcBorders>
              <w:tl2br w:val="nil"/>
              <w:tr2bl w:val="nil"/>
            </w:tcBorders>
            <w:vAlign w:val="center"/>
          </w:tcPr>
          <w:p>
            <w:pPr>
              <w:spacing w:line="240" w:lineRule="auto"/>
              <w:ind w:firstLine="0" w:firstLineChars="0"/>
              <w:jc w:val="both"/>
              <w:rPr>
                <w:rFonts w:ascii="宋体" w:hAnsi="宋体" w:cs="宋体"/>
                <w:sz w:val="21"/>
                <w:szCs w:val="21"/>
              </w:rPr>
            </w:pPr>
            <w:r>
              <w:rPr>
                <w:rFonts w:hint="eastAsia" w:ascii="宋体" w:hAnsi="宋体" w:cs="宋体"/>
                <w:sz w:val="21"/>
                <w:szCs w:val="21"/>
              </w:rPr>
              <w:t>中频炉、造型机、除尘系统等复杂的生产设备和重要的安全系统，配置自动监控装置。</w:t>
            </w:r>
          </w:p>
        </w:tc>
        <w:tc>
          <w:tcPr>
            <w:tcW w:w="382" w:type="pct"/>
            <w:tcBorders>
              <w:tl2br w:val="nil"/>
              <w:tr2bl w:val="nil"/>
            </w:tcBorders>
            <w:vAlign w:val="center"/>
          </w:tcPr>
          <w:p>
            <w:pPr>
              <w:spacing w:line="300" w:lineRule="exact"/>
              <w:ind w:firstLine="0" w:firstLineChars="0"/>
              <w:jc w:val="center"/>
              <w:rPr>
                <w:rFonts w:cs="Times New Roman"/>
                <w:sz w:val="20"/>
                <w:szCs w:val="20"/>
              </w:rPr>
            </w:pPr>
            <w:r>
              <w:rPr>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7" w:type="pct"/>
            <w:tcBorders>
              <w:tl2br w:val="nil"/>
              <w:tr2bl w:val="nil"/>
            </w:tcBorders>
            <w:vAlign w:val="center"/>
          </w:tcPr>
          <w:p>
            <w:pPr>
              <w:numPr>
                <w:ilvl w:val="0"/>
                <w:numId w:val="65"/>
              </w:numPr>
              <w:spacing w:line="240" w:lineRule="auto"/>
              <w:ind w:firstLine="0" w:firstLineChars="0"/>
              <w:jc w:val="center"/>
              <w:rPr>
                <w:rFonts w:ascii="宋体" w:hAnsi="宋体" w:cs="宋体"/>
                <w:b/>
                <w:bCs/>
                <w:sz w:val="21"/>
                <w:szCs w:val="21"/>
              </w:rPr>
            </w:pPr>
          </w:p>
        </w:tc>
        <w:tc>
          <w:tcPr>
            <w:tcW w:w="1795" w:type="pct"/>
            <w:tcBorders>
              <w:tl2br w:val="nil"/>
              <w:tr2bl w:val="nil"/>
            </w:tcBorders>
            <w:vAlign w:val="center"/>
          </w:tcPr>
          <w:p>
            <w:pPr>
              <w:spacing w:line="240" w:lineRule="auto"/>
              <w:ind w:firstLine="0" w:firstLineChars="0"/>
              <w:jc w:val="both"/>
              <w:rPr>
                <w:rFonts w:ascii="宋体" w:hAnsi="宋体" w:cs="宋体"/>
                <w:sz w:val="21"/>
                <w:szCs w:val="21"/>
              </w:rPr>
            </w:pPr>
            <w:r>
              <w:rPr>
                <w:rFonts w:hint="eastAsia" w:ascii="宋体" w:hAnsi="宋体" w:cs="宋体"/>
                <w:sz w:val="21"/>
                <w:szCs w:val="21"/>
              </w:rPr>
              <w:t>重要生产设备的控制装置应安装在使操作人员能看到整个设备动作的位置上。对于某些在起</w:t>
            </w:r>
          </w:p>
          <w:p>
            <w:pPr>
              <w:spacing w:line="240" w:lineRule="auto"/>
              <w:ind w:firstLine="0" w:firstLineChars="0"/>
              <w:jc w:val="both"/>
              <w:rPr>
                <w:rFonts w:ascii="宋体" w:hAnsi="宋体" w:cs="宋体"/>
                <w:sz w:val="21"/>
                <w:szCs w:val="21"/>
              </w:rPr>
            </w:pPr>
            <w:r>
              <w:rPr>
                <w:rFonts w:hint="eastAsia" w:ascii="宋体" w:hAnsi="宋体" w:cs="宋体"/>
                <w:sz w:val="21"/>
                <w:szCs w:val="21"/>
              </w:rPr>
              <w:t>动设备时看不见全貌的生产设备，应配置开车预警信号装置。预警信号装置应有足够的报警时间。</w:t>
            </w:r>
          </w:p>
        </w:tc>
        <w:tc>
          <w:tcPr>
            <w:tcW w:w="1212" w:type="pct"/>
            <w:tcBorders>
              <w:tl2br w:val="nil"/>
              <w:tr2bl w:val="nil"/>
            </w:tcBorders>
            <w:vAlign w:val="center"/>
          </w:tcPr>
          <w:p>
            <w:pPr>
              <w:spacing w:line="300" w:lineRule="exact"/>
              <w:ind w:firstLine="0" w:firstLineChars="0"/>
              <w:jc w:val="center"/>
              <w:rPr>
                <w:sz w:val="20"/>
                <w:szCs w:val="20"/>
              </w:rPr>
            </w:pPr>
            <w:r>
              <w:rPr>
                <w:sz w:val="20"/>
                <w:szCs w:val="20"/>
              </w:rPr>
              <w:t>《生产设备安全卫生设计总则》</w:t>
            </w:r>
          </w:p>
          <w:p>
            <w:pPr>
              <w:spacing w:line="300" w:lineRule="exact"/>
              <w:ind w:firstLine="0" w:firstLineChars="0"/>
              <w:jc w:val="center"/>
              <w:rPr>
                <w:sz w:val="20"/>
                <w:szCs w:val="20"/>
              </w:rPr>
            </w:pPr>
            <w:r>
              <w:rPr>
                <w:sz w:val="20"/>
                <w:szCs w:val="20"/>
              </w:rPr>
              <w:t>（GB5083-1999）</w:t>
            </w:r>
          </w:p>
          <w:p>
            <w:pPr>
              <w:spacing w:line="300" w:lineRule="exact"/>
              <w:ind w:firstLine="0" w:firstLineChars="0"/>
              <w:jc w:val="center"/>
              <w:rPr>
                <w:sz w:val="20"/>
                <w:szCs w:val="20"/>
              </w:rPr>
            </w:pPr>
            <w:r>
              <w:rPr>
                <w:rFonts w:hint="eastAsia"/>
                <w:sz w:val="20"/>
                <w:szCs w:val="20"/>
              </w:rPr>
              <w:t>5.6.1.4</w:t>
            </w:r>
          </w:p>
        </w:tc>
        <w:tc>
          <w:tcPr>
            <w:tcW w:w="1212" w:type="pct"/>
            <w:tcBorders>
              <w:tl2br w:val="nil"/>
              <w:tr2bl w:val="nil"/>
            </w:tcBorders>
            <w:vAlign w:val="center"/>
          </w:tcPr>
          <w:p>
            <w:pPr>
              <w:spacing w:line="240" w:lineRule="auto"/>
              <w:ind w:firstLine="0" w:firstLineChars="0"/>
              <w:jc w:val="both"/>
              <w:rPr>
                <w:rFonts w:ascii="宋体" w:hAnsi="宋体" w:cs="宋体"/>
                <w:sz w:val="21"/>
                <w:szCs w:val="21"/>
              </w:rPr>
            </w:pPr>
            <w:r>
              <w:rPr>
                <w:sz w:val="20"/>
                <w:szCs w:val="20"/>
              </w:rPr>
              <w:t>该项目内的设备控制装置按要求进行了设置。</w:t>
            </w:r>
          </w:p>
        </w:tc>
        <w:tc>
          <w:tcPr>
            <w:tcW w:w="382" w:type="pct"/>
            <w:tcBorders>
              <w:tl2br w:val="nil"/>
              <w:tr2bl w:val="nil"/>
            </w:tcBorders>
            <w:vAlign w:val="center"/>
          </w:tcPr>
          <w:p>
            <w:pPr>
              <w:spacing w:line="300" w:lineRule="exact"/>
              <w:ind w:firstLine="0" w:firstLineChars="0"/>
              <w:jc w:val="center"/>
              <w:rPr>
                <w:sz w:val="20"/>
                <w:szCs w:val="20"/>
              </w:rPr>
            </w:pPr>
            <w:r>
              <w:rPr>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7" w:type="pct"/>
            <w:tcBorders>
              <w:tl2br w:val="nil"/>
              <w:tr2bl w:val="nil"/>
            </w:tcBorders>
            <w:vAlign w:val="center"/>
          </w:tcPr>
          <w:p>
            <w:pPr>
              <w:numPr>
                <w:ilvl w:val="0"/>
                <w:numId w:val="65"/>
              </w:numPr>
              <w:spacing w:line="240" w:lineRule="auto"/>
              <w:ind w:firstLine="0" w:firstLineChars="0"/>
              <w:jc w:val="center"/>
              <w:rPr>
                <w:rFonts w:ascii="宋体" w:hAnsi="宋体" w:cs="宋体"/>
                <w:b/>
                <w:bCs/>
                <w:sz w:val="21"/>
                <w:szCs w:val="21"/>
              </w:rPr>
            </w:pPr>
          </w:p>
        </w:tc>
        <w:tc>
          <w:tcPr>
            <w:tcW w:w="1795" w:type="pct"/>
            <w:tcBorders>
              <w:tl2br w:val="nil"/>
              <w:tr2bl w:val="nil"/>
            </w:tcBorders>
            <w:vAlign w:val="center"/>
          </w:tcPr>
          <w:p>
            <w:pPr>
              <w:spacing w:line="240" w:lineRule="auto"/>
              <w:ind w:firstLine="0" w:firstLineChars="0"/>
              <w:jc w:val="both"/>
              <w:rPr>
                <w:rFonts w:ascii="宋体" w:hAnsi="宋体" w:cs="宋体"/>
                <w:sz w:val="21"/>
                <w:szCs w:val="21"/>
              </w:rPr>
            </w:pPr>
            <w:r>
              <w:rPr>
                <w:rFonts w:hint="eastAsia" w:ascii="宋体" w:hAnsi="宋体" w:cs="宋体"/>
                <w:sz w:val="21"/>
                <w:szCs w:val="21"/>
              </w:rPr>
              <w:t>控制系统应保证，即使系统发生故障或损坏时也不致造成危害。系统内关键的元器件、控制阀</w:t>
            </w:r>
          </w:p>
          <w:p>
            <w:pPr>
              <w:spacing w:line="240" w:lineRule="auto"/>
              <w:ind w:firstLine="0" w:firstLineChars="0"/>
              <w:jc w:val="both"/>
              <w:rPr>
                <w:rFonts w:ascii="宋体" w:hAnsi="宋体" w:cs="宋体"/>
                <w:sz w:val="21"/>
                <w:szCs w:val="21"/>
              </w:rPr>
            </w:pPr>
            <w:r>
              <w:rPr>
                <w:rFonts w:hint="eastAsia" w:ascii="宋体" w:hAnsi="宋体" w:cs="宋体"/>
                <w:sz w:val="21"/>
                <w:szCs w:val="21"/>
              </w:rPr>
              <w:t>等均应符合可靠性指标要求。</w:t>
            </w:r>
          </w:p>
        </w:tc>
        <w:tc>
          <w:tcPr>
            <w:tcW w:w="1212" w:type="pct"/>
            <w:tcBorders>
              <w:tl2br w:val="nil"/>
              <w:tr2bl w:val="nil"/>
            </w:tcBorders>
            <w:vAlign w:val="center"/>
          </w:tcPr>
          <w:p>
            <w:pPr>
              <w:spacing w:line="300" w:lineRule="exact"/>
              <w:ind w:firstLine="0" w:firstLineChars="0"/>
              <w:jc w:val="center"/>
              <w:rPr>
                <w:sz w:val="20"/>
                <w:szCs w:val="20"/>
              </w:rPr>
            </w:pPr>
            <w:r>
              <w:rPr>
                <w:sz w:val="20"/>
                <w:szCs w:val="20"/>
              </w:rPr>
              <w:t>《生产设备安全卫生设计总则》</w:t>
            </w:r>
          </w:p>
          <w:p>
            <w:pPr>
              <w:spacing w:line="300" w:lineRule="exact"/>
              <w:ind w:firstLine="0" w:firstLineChars="0"/>
              <w:jc w:val="center"/>
              <w:rPr>
                <w:sz w:val="20"/>
                <w:szCs w:val="20"/>
              </w:rPr>
            </w:pPr>
            <w:r>
              <w:rPr>
                <w:sz w:val="20"/>
                <w:szCs w:val="20"/>
              </w:rPr>
              <w:t>（GB5083-1999）</w:t>
            </w:r>
          </w:p>
          <w:p>
            <w:pPr>
              <w:spacing w:line="300" w:lineRule="exact"/>
              <w:ind w:firstLine="0" w:firstLineChars="0"/>
              <w:jc w:val="center"/>
              <w:rPr>
                <w:sz w:val="20"/>
                <w:szCs w:val="20"/>
              </w:rPr>
            </w:pPr>
            <w:r>
              <w:rPr>
                <w:rFonts w:hint="eastAsia"/>
                <w:sz w:val="20"/>
                <w:szCs w:val="20"/>
              </w:rPr>
              <w:t>5.6.1.5</w:t>
            </w:r>
          </w:p>
        </w:tc>
        <w:tc>
          <w:tcPr>
            <w:tcW w:w="1212" w:type="pct"/>
            <w:tcBorders>
              <w:tl2br w:val="nil"/>
              <w:tr2bl w:val="nil"/>
            </w:tcBorders>
            <w:vAlign w:val="center"/>
          </w:tcPr>
          <w:p>
            <w:pPr>
              <w:spacing w:line="240" w:lineRule="auto"/>
              <w:ind w:firstLine="0" w:firstLineChars="0"/>
              <w:jc w:val="both"/>
              <w:rPr>
                <w:rFonts w:ascii="宋体" w:hAnsi="宋体" w:cs="宋体"/>
                <w:sz w:val="21"/>
                <w:szCs w:val="21"/>
              </w:rPr>
            </w:pPr>
            <w:r>
              <w:rPr>
                <w:rFonts w:hint="eastAsia" w:ascii="宋体" w:hAnsi="宋体" w:cs="宋体"/>
                <w:sz w:val="21"/>
                <w:szCs w:val="21"/>
              </w:rPr>
              <w:t>系统内关键的元器件、控制阀等均符合可靠性指标要求。</w:t>
            </w:r>
          </w:p>
        </w:tc>
        <w:tc>
          <w:tcPr>
            <w:tcW w:w="382" w:type="pct"/>
            <w:tcBorders>
              <w:tl2br w:val="nil"/>
              <w:tr2bl w:val="nil"/>
            </w:tcBorders>
            <w:vAlign w:val="center"/>
          </w:tcPr>
          <w:p>
            <w:pPr>
              <w:spacing w:line="300" w:lineRule="exact"/>
              <w:ind w:firstLine="0" w:firstLineChars="0"/>
              <w:jc w:val="center"/>
              <w:rPr>
                <w:sz w:val="20"/>
                <w:szCs w:val="20"/>
              </w:rPr>
            </w:pPr>
            <w:r>
              <w:rPr>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7" w:type="pct"/>
            <w:tcBorders>
              <w:tl2br w:val="nil"/>
              <w:tr2bl w:val="nil"/>
            </w:tcBorders>
            <w:vAlign w:val="center"/>
          </w:tcPr>
          <w:p>
            <w:pPr>
              <w:numPr>
                <w:ilvl w:val="0"/>
                <w:numId w:val="65"/>
              </w:numPr>
              <w:spacing w:line="240" w:lineRule="auto"/>
              <w:ind w:firstLine="0" w:firstLineChars="0"/>
              <w:jc w:val="center"/>
              <w:rPr>
                <w:rFonts w:ascii="宋体" w:hAnsi="宋体" w:cs="宋体"/>
                <w:b/>
                <w:bCs/>
                <w:sz w:val="21"/>
                <w:szCs w:val="21"/>
              </w:rPr>
            </w:pPr>
          </w:p>
        </w:tc>
        <w:tc>
          <w:tcPr>
            <w:tcW w:w="1795" w:type="pct"/>
            <w:tcBorders>
              <w:tl2br w:val="nil"/>
              <w:tr2bl w:val="nil"/>
            </w:tcBorders>
            <w:vAlign w:val="center"/>
          </w:tcPr>
          <w:p>
            <w:pPr>
              <w:spacing w:line="240" w:lineRule="auto"/>
              <w:ind w:firstLine="0" w:firstLineChars="0"/>
              <w:jc w:val="both"/>
              <w:rPr>
                <w:rFonts w:ascii="宋体" w:hAnsi="宋体" w:cs="宋体"/>
                <w:sz w:val="21"/>
                <w:szCs w:val="21"/>
              </w:rPr>
            </w:pPr>
            <w:r>
              <w:rPr>
                <w:rFonts w:hint="eastAsia" w:ascii="宋体" w:hAnsi="宋体" w:cs="宋体"/>
                <w:sz w:val="21"/>
                <w:szCs w:val="21"/>
              </w:rPr>
              <w:t>控制装置和作为安全技术措施的离合器、制动装置和联锁装置，应具有良好的可靠性并符合</w:t>
            </w:r>
          </w:p>
          <w:p>
            <w:pPr>
              <w:spacing w:line="240" w:lineRule="auto"/>
              <w:ind w:firstLine="0" w:firstLineChars="0"/>
              <w:jc w:val="both"/>
              <w:rPr>
                <w:rFonts w:ascii="宋体" w:hAnsi="宋体" w:cs="宋体"/>
                <w:sz w:val="21"/>
                <w:szCs w:val="21"/>
              </w:rPr>
            </w:pPr>
            <w:r>
              <w:rPr>
                <w:rFonts w:hint="eastAsia" w:ascii="宋体" w:hAnsi="宋体" w:cs="宋体"/>
                <w:sz w:val="21"/>
                <w:szCs w:val="21"/>
              </w:rPr>
              <w:t>其产品标准规定的可靠性指标要求。</w:t>
            </w:r>
          </w:p>
        </w:tc>
        <w:tc>
          <w:tcPr>
            <w:tcW w:w="1212" w:type="pct"/>
            <w:tcBorders>
              <w:tl2br w:val="nil"/>
              <w:tr2bl w:val="nil"/>
            </w:tcBorders>
            <w:vAlign w:val="center"/>
          </w:tcPr>
          <w:p>
            <w:pPr>
              <w:spacing w:line="300" w:lineRule="exact"/>
              <w:ind w:firstLine="0" w:firstLineChars="0"/>
              <w:jc w:val="center"/>
              <w:rPr>
                <w:sz w:val="20"/>
                <w:szCs w:val="20"/>
              </w:rPr>
            </w:pPr>
            <w:r>
              <w:rPr>
                <w:sz w:val="20"/>
                <w:szCs w:val="20"/>
              </w:rPr>
              <w:t>《生产设备安全卫生设计总则》</w:t>
            </w:r>
          </w:p>
          <w:p>
            <w:pPr>
              <w:spacing w:line="300" w:lineRule="exact"/>
              <w:ind w:firstLine="0" w:firstLineChars="0"/>
              <w:jc w:val="center"/>
              <w:rPr>
                <w:sz w:val="20"/>
                <w:szCs w:val="20"/>
              </w:rPr>
            </w:pPr>
            <w:r>
              <w:rPr>
                <w:sz w:val="20"/>
                <w:szCs w:val="20"/>
              </w:rPr>
              <w:t>（GB5083-1999）</w:t>
            </w:r>
          </w:p>
          <w:p>
            <w:pPr>
              <w:spacing w:line="300" w:lineRule="exact"/>
              <w:ind w:firstLine="0" w:firstLineChars="0"/>
              <w:jc w:val="center"/>
              <w:rPr>
                <w:sz w:val="20"/>
                <w:szCs w:val="20"/>
              </w:rPr>
            </w:pPr>
            <w:r>
              <w:rPr>
                <w:rFonts w:hint="eastAsia"/>
                <w:sz w:val="20"/>
                <w:szCs w:val="20"/>
              </w:rPr>
              <w:t>5.6.1.6</w:t>
            </w:r>
          </w:p>
        </w:tc>
        <w:tc>
          <w:tcPr>
            <w:tcW w:w="1212" w:type="pct"/>
            <w:tcBorders>
              <w:tl2br w:val="nil"/>
              <w:tr2bl w:val="nil"/>
            </w:tcBorders>
            <w:vAlign w:val="center"/>
          </w:tcPr>
          <w:p>
            <w:pPr>
              <w:spacing w:line="240" w:lineRule="auto"/>
              <w:ind w:firstLine="0" w:firstLineChars="0"/>
              <w:jc w:val="both"/>
              <w:rPr>
                <w:rFonts w:ascii="宋体" w:hAnsi="宋体" w:cs="宋体"/>
                <w:sz w:val="21"/>
                <w:szCs w:val="21"/>
              </w:rPr>
            </w:pPr>
            <w:r>
              <w:rPr>
                <w:rFonts w:hint="eastAsia" w:ascii="宋体" w:hAnsi="宋体" w:cs="宋体"/>
                <w:sz w:val="21"/>
                <w:szCs w:val="21"/>
              </w:rPr>
              <w:t>控制装置和作为安全技术措施的离合器、制动装置和联锁装置，具有良好的可靠性并</w:t>
            </w:r>
            <w:r>
              <w:rPr>
                <w:rFonts w:hint="eastAsia" w:ascii="宋体" w:hAnsi="宋体" w:cs="宋体"/>
                <w:sz w:val="21"/>
                <w:szCs w:val="21"/>
                <w:lang w:eastAsia="zh-CN"/>
              </w:rPr>
              <w:t>符合</w:t>
            </w:r>
            <w:r>
              <w:rPr>
                <w:rFonts w:hint="eastAsia" w:ascii="宋体" w:hAnsi="宋体" w:cs="宋体"/>
                <w:sz w:val="21"/>
                <w:szCs w:val="21"/>
              </w:rPr>
              <w:t>产品标准规定的可靠性指标要求。</w:t>
            </w:r>
          </w:p>
        </w:tc>
        <w:tc>
          <w:tcPr>
            <w:tcW w:w="382" w:type="pct"/>
            <w:tcBorders>
              <w:tl2br w:val="nil"/>
              <w:tr2bl w:val="nil"/>
            </w:tcBorders>
            <w:vAlign w:val="center"/>
          </w:tcPr>
          <w:p>
            <w:pPr>
              <w:spacing w:line="300" w:lineRule="exact"/>
              <w:ind w:firstLine="0" w:firstLineChars="0"/>
              <w:jc w:val="center"/>
              <w:rPr>
                <w:sz w:val="20"/>
                <w:szCs w:val="20"/>
              </w:rPr>
            </w:pPr>
            <w:r>
              <w:rPr>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7" w:type="pct"/>
            <w:tcBorders>
              <w:tl2br w:val="nil"/>
              <w:tr2bl w:val="nil"/>
            </w:tcBorders>
            <w:vAlign w:val="center"/>
          </w:tcPr>
          <w:p>
            <w:pPr>
              <w:numPr>
                <w:ilvl w:val="0"/>
                <w:numId w:val="65"/>
              </w:numPr>
              <w:spacing w:line="240" w:lineRule="auto"/>
              <w:ind w:firstLine="0" w:firstLineChars="0"/>
              <w:jc w:val="center"/>
              <w:rPr>
                <w:rFonts w:ascii="宋体" w:hAnsi="宋体" w:cs="宋体"/>
                <w:b/>
                <w:bCs/>
                <w:sz w:val="21"/>
                <w:szCs w:val="21"/>
              </w:rPr>
            </w:pPr>
          </w:p>
        </w:tc>
        <w:tc>
          <w:tcPr>
            <w:tcW w:w="1795" w:type="pct"/>
            <w:tcBorders>
              <w:tl2br w:val="nil"/>
              <w:tr2bl w:val="nil"/>
            </w:tcBorders>
            <w:vAlign w:val="center"/>
          </w:tcPr>
          <w:p>
            <w:pPr>
              <w:spacing w:line="240" w:lineRule="auto"/>
              <w:ind w:firstLine="0" w:firstLineChars="0"/>
              <w:jc w:val="both"/>
              <w:rPr>
                <w:rFonts w:ascii="宋体" w:hAnsi="宋体" w:cs="宋体"/>
                <w:sz w:val="21"/>
                <w:szCs w:val="21"/>
              </w:rPr>
            </w:pPr>
            <w:r>
              <w:rPr>
                <w:rFonts w:hint="eastAsia" w:ascii="宋体" w:hAnsi="宋体" w:cs="宋体"/>
                <w:sz w:val="21"/>
                <w:szCs w:val="21"/>
              </w:rPr>
              <w:t>调节装置应采用自动联锁装置，以防止误操作和自动调节、自动操纵线〈管）路等的误通断。</w:t>
            </w:r>
          </w:p>
        </w:tc>
        <w:tc>
          <w:tcPr>
            <w:tcW w:w="1212" w:type="pct"/>
            <w:tcBorders>
              <w:tl2br w:val="nil"/>
              <w:tr2bl w:val="nil"/>
            </w:tcBorders>
            <w:vAlign w:val="center"/>
          </w:tcPr>
          <w:p>
            <w:pPr>
              <w:spacing w:line="300" w:lineRule="exact"/>
              <w:ind w:firstLine="0" w:firstLineChars="0"/>
              <w:jc w:val="center"/>
              <w:rPr>
                <w:rFonts w:cs="Times New Roman"/>
                <w:sz w:val="20"/>
                <w:szCs w:val="20"/>
              </w:rPr>
            </w:pPr>
            <w:r>
              <w:rPr>
                <w:rFonts w:cs="Times New Roman"/>
                <w:sz w:val="20"/>
                <w:szCs w:val="20"/>
              </w:rPr>
              <w:t>《生产设备安全卫生设计总则》</w:t>
            </w:r>
          </w:p>
          <w:p>
            <w:pPr>
              <w:spacing w:line="300" w:lineRule="exact"/>
              <w:ind w:firstLine="0" w:firstLineChars="0"/>
              <w:jc w:val="center"/>
              <w:rPr>
                <w:rFonts w:cs="Times New Roman"/>
                <w:sz w:val="20"/>
                <w:szCs w:val="20"/>
              </w:rPr>
            </w:pPr>
            <w:r>
              <w:rPr>
                <w:rFonts w:cs="Times New Roman"/>
                <w:sz w:val="20"/>
                <w:szCs w:val="20"/>
              </w:rPr>
              <w:t>（GB5083-1999）</w:t>
            </w:r>
          </w:p>
          <w:p>
            <w:pPr>
              <w:spacing w:line="300" w:lineRule="exact"/>
              <w:ind w:firstLine="0" w:firstLineChars="0"/>
              <w:jc w:val="center"/>
              <w:rPr>
                <w:rFonts w:cs="Times New Roman"/>
                <w:sz w:val="20"/>
                <w:szCs w:val="20"/>
              </w:rPr>
            </w:pPr>
            <w:r>
              <w:rPr>
                <w:rFonts w:hint="eastAsia" w:cs="Times New Roman"/>
                <w:sz w:val="20"/>
                <w:szCs w:val="20"/>
              </w:rPr>
              <w:t>5.6.1.7</w:t>
            </w:r>
          </w:p>
        </w:tc>
        <w:tc>
          <w:tcPr>
            <w:tcW w:w="1212" w:type="pct"/>
            <w:tcBorders>
              <w:tl2br w:val="nil"/>
              <w:tr2bl w:val="nil"/>
            </w:tcBorders>
            <w:vAlign w:val="center"/>
          </w:tcPr>
          <w:p>
            <w:pPr>
              <w:spacing w:line="240" w:lineRule="auto"/>
              <w:ind w:firstLine="0" w:firstLineChars="0"/>
              <w:jc w:val="both"/>
              <w:rPr>
                <w:rFonts w:ascii="宋体" w:hAnsi="宋体" w:cs="宋体"/>
                <w:sz w:val="21"/>
                <w:szCs w:val="21"/>
              </w:rPr>
            </w:pPr>
            <w:r>
              <w:rPr>
                <w:rFonts w:hint="eastAsia" w:ascii="宋体" w:hAnsi="宋体" w:cs="宋体"/>
                <w:sz w:val="21"/>
                <w:szCs w:val="21"/>
              </w:rPr>
              <w:t>调节装置采用自动联锁装置，以防止误操作和自动调节、自动操纵线〈管）路等的误通断。</w:t>
            </w:r>
          </w:p>
        </w:tc>
        <w:tc>
          <w:tcPr>
            <w:tcW w:w="382" w:type="pct"/>
            <w:tcBorders>
              <w:tl2br w:val="nil"/>
              <w:tr2bl w:val="nil"/>
            </w:tcBorders>
            <w:vAlign w:val="center"/>
          </w:tcPr>
          <w:p>
            <w:pPr>
              <w:spacing w:line="300" w:lineRule="exact"/>
              <w:ind w:firstLine="0" w:firstLineChars="0"/>
              <w:jc w:val="center"/>
              <w:rPr>
                <w:rFonts w:cs="Times New Roman"/>
                <w:sz w:val="20"/>
                <w:szCs w:val="20"/>
              </w:rPr>
            </w:pPr>
            <w:r>
              <w:rPr>
                <w:sz w:val="20"/>
                <w:szCs w:val="20"/>
              </w:rPr>
              <w:t>符合</w:t>
            </w:r>
          </w:p>
        </w:tc>
      </w:tr>
    </w:tbl>
    <w:p>
      <w:pPr>
        <w:ind w:firstLine="560"/>
        <w:rPr>
          <w:rFonts w:ascii="宋体" w:hAnsi="宋体" w:cs="宋体"/>
        </w:rPr>
      </w:pPr>
      <w:bookmarkStart w:id="309" w:name="_Toc498299369"/>
      <w:bookmarkStart w:id="310" w:name="_Toc500007176"/>
      <w:bookmarkStart w:id="311" w:name="_Toc498519838"/>
      <w:r>
        <w:rPr>
          <w:rFonts w:hint="eastAsia" w:ascii="宋体" w:hAnsi="宋体" w:cs="宋体"/>
        </w:rPr>
        <w:t>依据检查结果可知，该项目自动控制及通信设施安全措施符合《生产过程安全卫生要求总则》（GB/T12801-2008）、《生产设备安全卫生设计总则》（GB5083-1999）等标准规范的要求。</w:t>
      </w:r>
    </w:p>
    <w:bookmarkEnd w:id="309"/>
    <w:bookmarkEnd w:id="310"/>
    <w:bookmarkEnd w:id="311"/>
    <w:p>
      <w:pPr>
        <w:pStyle w:val="6"/>
        <w:tabs>
          <w:tab w:val="left" w:pos="420"/>
          <w:tab w:val="clear" w:pos="2101"/>
        </w:tabs>
        <w:spacing w:before="156" w:after="156"/>
      </w:pPr>
      <w:bookmarkStart w:id="312" w:name="_Toc3614"/>
      <w:r>
        <w:t>能源介质及动力安全措施</w:t>
      </w:r>
      <w:bookmarkEnd w:id="308"/>
      <w:bookmarkEnd w:id="312"/>
    </w:p>
    <w:p>
      <w:pPr>
        <w:ind w:firstLine="560"/>
        <w:rPr>
          <w:rFonts w:cs="Times New Roman"/>
          <w:snapToGrid w:val="0"/>
          <w:kern w:val="0"/>
          <w:szCs w:val="28"/>
        </w:rPr>
      </w:pPr>
      <w:r>
        <w:rPr>
          <w:rFonts w:hint="eastAsia" w:cs="Times New Roman"/>
          <w:snapToGrid w:val="0"/>
          <w:kern w:val="0"/>
          <w:szCs w:val="28"/>
        </w:rPr>
        <w:t>根据《工业企业总平面设计规范》（GB50187-2012）、《固定式压力容器安全技术监察规程》（TSG 21-2016/XG1-2020）、《压缩空气站设计规范》（GB50029-2014）等相关法律法规、标准规范的要求，对该项目涉及的压缩空气等能源介质及动力进行安全检查。</w:t>
      </w:r>
    </w:p>
    <w:p>
      <w:pPr>
        <w:pStyle w:val="14"/>
        <w:spacing w:before="156" w:after="156"/>
      </w:pPr>
      <w:r>
        <w:t xml:space="preserve">表 </w:t>
      </w:r>
      <w:r>
        <w:fldChar w:fldCharType="begin"/>
      </w:r>
      <w:r>
        <w:instrText xml:space="preserve"> STYLEREF 1 \s </w:instrText>
      </w:r>
      <w:r>
        <w:fldChar w:fldCharType="separate"/>
      </w:r>
      <w:r>
        <w:t>5</w:t>
      </w:r>
      <w:r>
        <w:fldChar w:fldCharType="end"/>
      </w:r>
      <w:r>
        <w:rPr>
          <w:rFonts w:hint="eastAsia"/>
        </w:rPr>
        <w:t>.6-5能源介质及动力安全检查表</w:t>
      </w:r>
    </w:p>
    <w:tbl>
      <w:tblPr>
        <w:tblStyle w:val="29"/>
        <w:tblW w:w="5096"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697"/>
        <w:gridCol w:w="2956"/>
        <w:gridCol w:w="2028"/>
        <w:gridCol w:w="2028"/>
        <w:gridCol w:w="97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401" w:type="pct"/>
            <w:tcBorders>
              <w:tl2br w:val="nil"/>
              <w:tr2bl w:val="nil"/>
            </w:tcBorders>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序号</w:t>
            </w:r>
          </w:p>
        </w:tc>
        <w:tc>
          <w:tcPr>
            <w:tcW w:w="1701" w:type="pct"/>
            <w:tcBorders>
              <w:tl2br w:val="nil"/>
              <w:tr2bl w:val="nil"/>
            </w:tcBorders>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检查内容</w:t>
            </w:r>
          </w:p>
        </w:tc>
        <w:tc>
          <w:tcPr>
            <w:tcW w:w="1167" w:type="pct"/>
            <w:tcBorders>
              <w:tl2br w:val="nil"/>
              <w:tr2bl w:val="nil"/>
            </w:tcBorders>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依据标准</w:t>
            </w:r>
          </w:p>
        </w:tc>
        <w:tc>
          <w:tcPr>
            <w:tcW w:w="1167" w:type="pct"/>
            <w:tcBorders>
              <w:tl2br w:val="nil"/>
              <w:tr2bl w:val="nil"/>
            </w:tcBorders>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检查情况</w:t>
            </w:r>
          </w:p>
        </w:tc>
        <w:tc>
          <w:tcPr>
            <w:tcW w:w="562" w:type="pct"/>
            <w:tcBorders>
              <w:tl2br w:val="nil"/>
              <w:tr2bl w:val="nil"/>
            </w:tcBorders>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结论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1" w:type="pct"/>
            <w:tcBorders>
              <w:tl2br w:val="nil"/>
              <w:tr2bl w:val="nil"/>
            </w:tcBorders>
            <w:vAlign w:val="center"/>
          </w:tcPr>
          <w:p>
            <w:pPr>
              <w:numPr>
                <w:ilvl w:val="0"/>
                <w:numId w:val="66"/>
              </w:numPr>
              <w:spacing w:line="240" w:lineRule="auto"/>
              <w:ind w:firstLine="0" w:firstLineChars="0"/>
              <w:jc w:val="center"/>
              <w:rPr>
                <w:rFonts w:ascii="宋体" w:hAnsi="宋体" w:cs="宋体"/>
                <w:b/>
                <w:bCs/>
                <w:sz w:val="21"/>
                <w:szCs w:val="21"/>
              </w:rPr>
            </w:pPr>
          </w:p>
        </w:tc>
        <w:tc>
          <w:tcPr>
            <w:tcW w:w="1701" w:type="pct"/>
            <w:tcBorders>
              <w:tl2br w:val="nil"/>
              <w:tr2bl w:val="nil"/>
            </w:tcBorders>
            <w:vAlign w:val="center"/>
          </w:tcPr>
          <w:p>
            <w:pPr>
              <w:spacing w:line="240" w:lineRule="auto"/>
              <w:ind w:firstLine="0" w:firstLineChars="0"/>
              <w:jc w:val="both"/>
              <w:rPr>
                <w:rFonts w:ascii="宋体" w:hAnsi="宋体" w:cs="宋体"/>
                <w:sz w:val="21"/>
                <w:szCs w:val="21"/>
              </w:rPr>
            </w:pPr>
            <w:r>
              <w:rPr>
                <w:rFonts w:hint="eastAsia" w:ascii="宋体" w:hAnsi="宋体" w:cs="宋体"/>
                <w:sz w:val="21"/>
                <w:szCs w:val="21"/>
              </w:rPr>
              <w:t xml:space="preserve">储气罐上必须装设安全阀。储气罐与供气总管之间，应装设切断阀。 </w:t>
            </w:r>
          </w:p>
        </w:tc>
        <w:tc>
          <w:tcPr>
            <w:tcW w:w="1167" w:type="pct"/>
            <w:tcBorders>
              <w:tl2br w:val="nil"/>
              <w:tr2bl w:val="nil"/>
            </w:tcBorders>
            <w:vAlign w:val="center"/>
          </w:tcPr>
          <w:p>
            <w:pPr>
              <w:spacing w:line="300" w:lineRule="exact"/>
              <w:ind w:firstLine="0" w:firstLineChars="0"/>
              <w:jc w:val="center"/>
              <w:rPr>
                <w:rFonts w:cs="Times New Roman"/>
                <w:sz w:val="20"/>
                <w:szCs w:val="20"/>
              </w:rPr>
            </w:pPr>
            <w:r>
              <w:rPr>
                <w:rFonts w:hint="eastAsia" w:cs="Times New Roman"/>
                <w:sz w:val="20"/>
                <w:szCs w:val="20"/>
              </w:rPr>
              <w:t>《压缩空气站设计规范》（GB50029-2014）</w:t>
            </w:r>
          </w:p>
          <w:p>
            <w:pPr>
              <w:spacing w:line="300" w:lineRule="exact"/>
              <w:ind w:firstLine="0" w:firstLineChars="0"/>
              <w:jc w:val="center"/>
              <w:rPr>
                <w:rFonts w:cs="Times New Roman"/>
                <w:sz w:val="20"/>
                <w:szCs w:val="20"/>
              </w:rPr>
            </w:pPr>
            <w:r>
              <w:rPr>
                <w:rFonts w:hint="eastAsia" w:cs="Times New Roman"/>
                <w:sz w:val="20"/>
                <w:szCs w:val="20"/>
              </w:rPr>
              <w:t>3.0.18</w:t>
            </w:r>
          </w:p>
        </w:tc>
        <w:tc>
          <w:tcPr>
            <w:tcW w:w="1167" w:type="pct"/>
            <w:tcBorders>
              <w:tl2br w:val="nil"/>
              <w:tr2bl w:val="nil"/>
            </w:tcBorders>
            <w:vAlign w:val="center"/>
          </w:tcPr>
          <w:p>
            <w:pPr>
              <w:spacing w:line="240" w:lineRule="auto"/>
              <w:ind w:firstLine="0" w:firstLineChars="0"/>
              <w:jc w:val="both"/>
              <w:rPr>
                <w:rFonts w:ascii="宋体" w:hAnsi="宋体" w:cs="宋体"/>
                <w:sz w:val="21"/>
                <w:szCs w:val="21"/>
              </w:rPr>
            </w:pPr>
            <w:r>
              <w:rPr>
                <w:rFonts w:hint="eastAsia" w:ascii="宋体" w:hAnsi="宋体" w:cs="宋体"/>
                <w:sz w:val="21"/>
                <w:szCs w:val="21"/>
              </w:rPr>
              <w:t>储气罐上装设有安全阀。储气罐与供气总管之间装设了切断阀。</w:t>
            </w:r>
          </w:p>
        </w:tc>
        <w:tc>
          <w:tcPr>
            <w:tcW w:w="562" w:type="pct"/>
            <w:tcBorders>
              <w:tl2br w:val="nil"/>
              <w:tr2bl w:val="nil"/>
            </w:tcBorders>
            <w:vAlign w:val="center"/>
          </w:tcPr>
          <w:p>
            <w:pPr>
              <w:spacing w:line="240" w:lineRule="auto"/>
              <w:ind w:firstLine="0" w:firstLineChars="0"/>
              <w:jc w:val="center"/>
              <w:rPr>
                <w:rFonts w:cs="Times New Roman"/>
                <w:sz w:val="20"/>
                <w:szCs w:val="20"/>
              </w:rPr>
            </w:pPr>
            <w:r>
              <w:rPr>
                <w:rFonts w:cs="Times New Roman"/>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1" w:type="pct"/>
            <w:tcBorders>
              <w:tl2br w:val="nil"/>
              <w:tr2bl w:val="nil"/>
            </w:tcBorders>
            <w:vAlign w:val="center"/>
          </w:tcPr>
          <w:p>
            <w:pPr>
              <w:numPr>
                <w:ilvl w:val="0"/>
                <w:numId w:val="66"/>
              </w:numPr>
              <w:spacing w:line="240" w:lineRule="auto"/>
              <w:ind w:firstLine="0" w:firstLineChars="0"/>
              <w:jc w:val="center"/>
              <w:rPr>
                <w:rFonts w:ascii="宋体" w:hAnsi="宋体" w:cs="宋体"/>
                <w:b/>
                <w:bCs/>
                <w:sz w:val="21"/>
                <w:szCs w:val="21"/>
              </w:rPr>
            </w:pPr>
          </w:p>
        </w:tc>
        <w:tc>
          <w:tcPr>
            <w:tcW w:w="1701" w:type="pct"/>
            <w:tcBorders>
              <w:tl2br w:val="nil"/>
              <w:tr2bl w:val="nil"/>
            </w:tcBorders>
            <w:vAlign w:val="center"/>
          </w:tcPr>
          <w:p>
            <w:pPr>
              <w:spacing w:line="240" w:lineRule="auto"/>
              <w:ind w:firstLine="0" w:firstLineChars="0"/>
              <w:jc w:val="both"/>
              <w:rPr>
                <w:rFonts w:ascii="宋体" w:hAnsi="宋体" w:cs="宋体"/>
                <w:sz w:val="21"/>
                <w:szCs w:val="21"/>
              </w:rPr>
            </w:pPr>
            <w:r>
              <w:rPr>
                <w:rFonts w:hint="eastAsia" w:ascii="宋体" w:hAnsi="宋体" w:cs="宋体"/>
                <w:sz w:val="21"/>
                <w:szCs w:val="21"/>
              </w:rPr>
              <w:t>输送管道、带式输送机及架空索道等线路的布置，应符合下列要求：1 应充分利用地形，线路应短捷，应减少中间转角；2 沿线宜布置供维修和检查所必需的道路；3 厂内敷设的输送管道和带式输送机等的布置，应有利于厂容，并宜沿道路或平行于主要建筑物、构筑物轴线布置；架空敷设时，不应妨碍建筑物自然采光及通风；沿地面敷设时，不应影响交通。</w:t>
            </w:r>
          </w:p>
        </w:tc>
        <w:tc>
          <w:tcPr>
            <w:tcW w:w="1167" w:type="pct"/>
            <w:tcBorders>
              <w:tl2br w:val="nil"/>
              <w:tr2bl w:val="nil"/>
            </w:tcBorders>
            <w:vAlign w:val="center"/>
          </w:tcPr>
          <w:p>
            <w:pPr>
              <w:spacing w:line="300" w:lineRule="exact"/>
              <w:ind w:firstLine="0" w:firstLineChars="0"/>
              <w:jc w:val="center"/>
              <w:rPr>
                <w:rFonts w:cs="Times New Roman"/>
                <w:sz w:val="20"/>
                <w:szCs w:val="20"/>
              </w:rPr>
            </w:pPr>
            <w:r>
              <w:rPr>
                <w:rFonts w:hint="eastAsia" w:cs="Times New Roman"/>
                <w:sz w:val="20"/>
                <w:szCs w:val="20"/>
              </w:rPr>
              <w:t>《工业企业总平面设计规范》（GB50187-2012）6.6.1</w:t>
            </w:r>
          </w:p>
        </w:tc>
        <w:tc>
          <w:tcPr>
            <w:tcW w:w="1167" w:type="pct"/>
            <w:tcBorders>
              <w:tl2br w:val="nil"/>
              <w:tr2bl w:val="nil"/>
            </w:tcBorders>
            <w:vAlign w:val="center"/>
          </w:tcPr>
          <w:p>
            <w:pPr>
              <w:spacing w:line="240" w:lineRule="auto"/>
              <w:ind w:firstLine="0" w:firstLineChars="0"/>
              <w:jc w:val="both"/>
              <w:rPr>
                <w:rFonts w:ascii="宋体" w:hAnsi="宋体" w:cs="宋体"/>
                <w:sz w:val="21"/>
                <w:szCs w:val="21"/>
              </w:rPr>
            </w:pPr>
            <w:r>
              <w:rPr>
                <w:rFonts w:hint="eastAsia" w:ascii="宋体" w:hAnsi="宋体" w:cs="宋体"/>
                <w:sz w:val="21"/>
                <w:szCs w:val="21"/>
              </w:rPr>
              <w:t>带式输送机的布置充分利用地形，且不妨碍建筑物自然采光及通风。</w:t>
            </w:r>
          </w:p>
        </w:tc>
        <w:tc>
          <w:tcPr>
            <w:tcW w:w="562" w:type="pct"/>
            <w:tcBorders>
              <w:tl2br w:val="nil"/>
              <w:tr2bl w:val="nil"/>
            </w:tcBorders>
            <w:vAlign w:val="center"/>
          </w:tcPr>
          <w:p>
            <w:pPr>
              <w:spacing w:line="240" w:lineRule="auto"/>
              <w:ind w:firstLine="0" w:firstLineChars="0"/>
              <w:jc w:val="center"/>
              <w:rPr>
                <w:rFonts w:ascii="宋体" w:hAnsi="宋体" w:cs="宋体"/>
                <w:b/>
                <w:bCs/>
                <w:sz w:val="21"/>
                <w:szCs w:val="21"/>
              </w:rPr>
            </w:pPr>
            <w:r>
              <w:rPr>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1" w:type="pct"/>
            <w:tcBorders>
              <w:tl2br w:val="nil"/>
              <w:tr2bl w:val="nil"/>
            </w:tcBorders>
            <w:vAlign w:val="center"/>
          </w:tcPr>
          <w:p>
            <w:pPr>
              <w:numPr>
                <w:ilvl w:val="0"/>
                <w:numId w:val="66"/>
              </w:numPr>
              <w:spacing w:line="240" w:lineRule="auto"/>
              <w:ind w:firstLine="0" w:firstLineChars="0"/>
              <w:jc w:val="center"/>
              <w:rPr>
                <w:rFonts w:ascii="宋体" w:hAnsi="宋体" w:cs="宋体"/>
                <w:b/>
                <w:bCs/>
                <w:sz w:val="21"/>
                <w:szCs w:val="21"/>
              </w:rPr>
            </w:pPr>
          </w:p>
        </w:tc>
        <w:tc>
          <w:tcPr>
            <w:tcW w:w="1701" w:type="pct"/>
            <w:tcBorders>
              <w:tl2br w:val="nil"/>
              <w:tr2bl w:val="nil"/>
            </w:tcBorders>
            <w:vAlign w:val="center"/>
          </w:tcPr>
          <w:p>
            <w:pPr>
              <w:spacing w:line="240" w:lineRule="auto"/>
              <w:ind w:firstLine="0" w:firstLineChars="0"/>
              <w:jc w:val="both"/>
              <w:rPr>
                <w:rFonts w:ascii="宋体" w:hAnsi="宋体" w:cs="宋体"/>
                <w:sz w:val="21"/>
                <w:szCs w:val="21"/>
              </w:rPr>
            </w:pPr>
            <w:r>
              <w:rPr>
                <w:rFonts w:hint="eastAsia" w:ascii="宋体" w:hAnsi="宋体" w:cs="宋体"/>
                <w:sz w:val="21"/>
                <w:szCs w:val="21"/>
              </w:rPr>
              <w:t>管线敷设方式，应根据管线内介质的性质、工艺和材质要求、生产安全、交通运输、施工检修和厂区条件等因素，结合工程的具体情况，经技术经济比较后综合确定，并应符合下列规定：1 有可燃性、爆炸危险性、毒性及腐蚀性介质的管道，应采用地上敷设；2 在散发比空气重的可燃、有毒性气体的场所，不应采用管沟敷设；必须采用管沟敷设时，应采取防止可燃气体在管沟内积聚的措施。</w:t>
            </w:r>
          </w:p>
        </w:tc>
        <w:tc>
          <w:tcPr>
            <w:tcW w:w="1167" w:type="pct"/>
            <w:tcBorders>
              <w:tl2br w:val="nil"/>
              <w:tr2bl w:val="nil"/>
            </w:tcBorders>
            <w:vAlign w:val="center"/>
          </w:tcPr>
          <w:p>
            <w:pPr>
              <w:spacing w:line="300" w:lineRule="exact"/>
              <w:ind w:firstLine="0" w:firstLineChars="0"/>
              <w:jc w:val="center"/>
              <w:rPr>
                <w:rFonts w:cs="Times New Roman"/>
                <w:sz w:val="20"/>
                <w:szCs w:val="20"/>
              </w:rPr>
            </w:pPr>
            <w:r>
              <w:rPr>
                <w:rFonts w:hint="eastAsia" w:cs="Times New Roman"/>
                <w:sz w:val="20"/>
                <w:szCs w:val="20"/>
              </w:rPr>
              <w:t>《工业企业总平面设计规范》（GB50187-2012）8.1.2</w:t>
            </w:r>
          </w:p>
        </w:tc>
        <w:tc>
          <w:tcPr>
            <w:tcW w:w="1167" w:type="pct"/>
            <w:tcBorders>
              <w:tl2br w:val="nil"/>
              <w:tr2bl w:val="nil"/>
            </w:tcBorders>
            <w:vAlign w:val="center"/>
          </w:tcPr>
          <w:p>
            <w:pPr>
              <w:spacing w:line="240" w:lineRule="auto"/>
              <w:ind w:firstLine="0" w:firstLineChars="0"/>
              <w:jc w:val="both"/>
              <w:rPr>
                <w:rFonts w:ascii="宋体" w:hAnsi="宋体" w:cs="宋体"/>
                <w:sz w:val="21"/>
                <w:szCs w:val="21"/>
              </w:rPr>
            </w:pPr>
            <w:r>
              <w:rPr>
                <w:rFonts w:hint="eastAsia" w:ascii="宋体" w:hAnsi="宋体" w:cs="宋体"/>
                <w:sz w:val="21"/>
                <w:szCs w:val="21"/>
              </w:rPr>
              <w:t>厂内工艺管道的敷设满足规定要求。</w:t>
            </w:r>
          </w:p>
        </w:tc>
        <w:tc>
          <w:tcPr>
            <w:tcW w:w="562" w:type="pct"/>
            <w:tcBorders>
              <w:tl2br w:val="nil"/>
              <w:tr2bl w:val="nil"/>
            </w:tcBorders>
            <w:vAlign w:val="center"/>
          </w:tcPr>
          <w:p>
            <w:pPr>
              <w:spacing w:line="240" w:lineRule="auto"/>
              <w:ind w:firstLine="0" w:firstLineChars="0"/>
              <w:jc w:val="center"/>
              <w:rPr>
                <w:rFonts w:cs="Times New Roman"/>
                <w:sz w:val="20"/>
                <w:szCs w:val="20"/>
              </w:rPr>
            </w:pPr>
            <w:r>
              <w:rPr>
                <w:rFonts w:cs="Times New Roman"/>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01" w:type="pct"/>
            <w:tcBorders>
              <w:tl2br w:val="nil"/>
              <w:tr2bl w:val="nil"/>
            </w:tcBorders>
            <w:vAlign w:val="center"/>
          </w:tcPr>
          <w:p>
            <w:pPr>
              <w:numPr>
                <w:ilvl w:val="0"/>
                <w:numId w:val="66"/>
              </w:numPr>
              <w:spacing w:line="240" w:lineRule="auto"/>
              <w:ind w:firstLine="0" w:firstLineChars="0"/>
              <w:jc w:val="center"/>
              <w:rPr>
                <w:rFonts w:ascii="宋体" w:hAnsi="宋体" w:cs="宋体"/>
                <w:b/>
                <w:bCs/>
                <w:sz w:val="21"/>
                <w:szCs w:val="21"/>
              </w:rPr>
            </w:pPr>
          </w:p>
        </w:tc>
        <w:tc>
          <w:tcPr>
            <w:tcW w:w="1701" w:type="pct"/>
            <w:tcBorders>
              <w:tl2br w:val="nil"/>
              <w:tr2bl w:val="nil"/>
            </w:tcBorders>
            <w:vAlign w:val="center"/>
          </w:tcPr>
          <w:p>
            <w:pPr>
              <w:spacing w:line="240" w:lineRule="auto"/>
              <w:ind w:firstLine="0" w:firstLineChars="0"/>
              <w:jc w:val="both"/>
              <w:rPr>
                <w:rFonts w:ascii="宋体" w:hAnsi="宋体" w:cs="宋体"/>
                <w:sz w:val="21"/>
                <w:szCs w:val="21"/>
              </w:rPr>
            </w:pPr>
            <w:r>
              <w:rPr>
                <w:rFonts w:hint="eastAsia" w:ascii="宋体" w:hAnsi="宋体" w:cs="宋体"/>
                <w:sz w:val="21"/>
                <w:szCs w:val="21"/>
              </w:rPr>
              <w:t>压力容器的安全附件，包括直接连接在压力容器上的安全阀、爆破片装置、易熔塞、紧急切断装置、安全联锁装置。</w:t>
            </w:r>
          </w:p>
          <w:p>
            <w:pPr>
              <w:spacing w:line="240" w:lineRule="auto"/>
              <w:ind w:firstLine="0" w:firstLineChars="0"/>
              <w:jc w:val="both"/>
              <w:rPr>
                <w:rFonts w:ascii="宋体" w:hAnsi="宋体" w:cs="宋体"/>
                <w:sz w:val="21"/>
                <w:szCs w:val="21"/>
              </w:rPr>
            </w:pPr>
            <w:r>
              <w:rPr>
                <w:rFonts w:hint="eastAsia" w:ascii="宋体" w:hAnsi="宋体" w:cs="宋体"/>
                <w:sz w:val="21"/>
                <w:szCs w:val="21"/>
              </w:rPr>
              <w:t>压力容器的仪表包括直接连接在压力容器上的压力、温度、液位等测量仪表。</w:t>
            </w:r>
          </w:p>
        </w:tc>
        <w:tc>
          <w:tcPr>
            <w:tcW w:w="1167" w:type="pct"/>
            <w:tcBorders>
              <w:tl2br w:val="nil"/>
              <w:tr2bl w:val="nil"/>
            </w:tcBorders>
            <w:vAlign w:val="center"/>
          </w:tcPr>
          <w:p>
            <w:pPr>
              <w:spacing w:line="300" w:lineRule="exact"/>
              <w:ind w:firstLine="0" w:firstLineChars="0"/>
              <w:jc w:val="center"/>
              <w:rPr>
                <w:rFonts w:cs="Times New Roman"/>
                <w:sz w:val="20"/>
                <w:szCs w:val="20"/>
              </w:rPr>
            </w:pPr>
            <w:r>
              <w:rPr>
                <w:rFonts w:hint="eastAsia" w:cs="Times New Roman"/>
                <w:sz w:val="20"/>
                <w:szCs w:val="20"/>
              </w:rPr>
              <w:t>《固定式压力容器安全技术监察规程》</w:t>
            </w:r>
          </w:p>
          <w:p>
            <w:pPr>
              <w:wordWrap w:val="0"/>
              <w:spacing w:line="300" w:lineRule="exact"/>
              <w:ind w:firstLine="0" w:firstLineChars="0"/>
              <w:jc w:val="center"/>
              <w:rPr>
                <w:rFonts w:cs="Times New Roman"/>
                <w:sz w:val="20"/>
                <w:szCs w:val="20"/>
              </w:rPr>
            </w:pPr>
            <w:r>
              <w:rPr>
                <w:rFonts w:hint="eastAsia" w:cs="Times New Roman"/>
                <w:sz w:val="20"/>
                <w:szCs w:val="20"/>
              </w:rPr>
              <w:t>（TSG 21-2016/XG1-2020）</w:t>
            </w:r>
          </w:p>
          <w:p>
            <w:pPr>
              <w:spacing w:line="300" w:lineRule="exact"/>
              <w:ind w:firstLine="0" w:firstLineChars="0"/>
              <w:jc w:val="center"/>
              <w:rPr>
                <w:rFonts w:cs="Times New Roman"/>
                <w:sz w:val="20"/>
                <w:szCs w:val="20"/>
              </w:rPr>
            </w:pPr>
            <w:r>
              <w:rPr>
                <w:rFonts w:hint="eastAsia" w:cs="Times New Roman"/>
                <w:sz w:val="20"/>
                <w:szCs w:val="20"/>
              </w:rPr>
              <w:t>1.6.2</w:t>
            </w:r>
          </w:p>
        </w:tc>
        <w:tc>
          <w:tcPr>
            <w:tcW w:w="1167" w:type="pct"/>
            <w:tcBorders>
              <w:tl2br w:val="nil"/>
              <w:tr2bl w:val="nil"/>
            </w:tcBorders>
            <w:vAlign w:val="center"/>
          </w:tcPr>
          <w:p>
            <w:pPr>
              <w:spacing w:line="240" w:lineRule="auto"/>
              <w:ind w:firstLine="0" w:firstLineChars="0"/>
              <w:jc w:val="both"/>
              <w:rPr>
                <w:rFonts w:ascii="宋体" w:hAnsi="宋体" w:cs="宋体"/>
                <w:sz w:val="21"/>
                <w:szCs w:val="21"/>
              </w:rPr>
            </w:pPr>
            <w:r>
              <w:rPr>
                <w:rFonts w:hint="eastAsia" w:ascii="宋体" w:hAnsi="宋体" w:cs="宋体"/>
                <w:sz w:val="21"/>
                <w:szCs w:val="21"/>
              </w:rPr>
              <w:t>压缩空气储气罐按要求设置了压力表及安全阀。</w:t>
            </w:r>
          </w:p>
        </w:tc>
        <w:tc>
          <w:tcPr>
            <w:tcW w:w="562" w:type="pct"/>
            <w:tcBorders>
              <w:tl2br w:val="nil"/>
              <w:tr2bl w:val="nil"/>
            </w:tcBorders>
            <w:vAlign w:val="center"/>
          </w:tcPr>
          <w:p>
            <w:pPr>
              <w:spacing w:line="240" w:lineRule="auto"/>
              <w:ind w:firstLine="0" w:firstLineChars="0"/>
              <w:jc w:val="center"/>
              <w:rPr>
                <w:rFonts w:cs="Times New Roman"/>
                <w:sz w:val="20"/>
                <w:szCs w:val="20"/>
              </w:rPr>
            </w:pPr>
            <w:r>
              <w:rPr>
                <w:rFonts w:cs="Times New Roman"/>
                <w:sz w:val="20"/>
                <w:szCs w:val="20"/>
              </w:rPr>
              <w:t>符合</w:t>
            </w:r>
          </w:p>
        </w:tc>
      </w:tr>
    </w:tbl>
    <w:p>
      <w:pPr>
        <w:ind w:firstLine="560"/>
      </w:pPr>
      <w:r>
        <w:rPr>
          <w:rFonts w:hint="eastAsia" w:ascii="宋体" w:hAnsi="宋体" w:cs="宋体"/>
        </w:rPr>
        <w:t>根据以上检查结果可知，该项目能源介质及动力安全设施符合《工业企业总平面设计规范》（GB50187-2012）、《固定式压力容器安全技术监察规程》（TSG 21-2016/XG1-2020）、《压缩空气站设计规范》（GB50029-2014）等相关法律法规、标准规范的要求。</w:t>
      </w:r>
    </w:p>
    <w:p>
      <w:pPr>
        <w:pStyle w:val="6"/>
        <w:spacing w:before="156" w:after="156"/>
      </w:pPr>
      <w:bookmarkStart w:id="313" w:name="_Toc6722"/>
      <w:r>
        <w:rPr>
          <w:rFonts w:hint="eastAsia"/>
        </w:rPr>
        <w:t>辅助</w:t>
      </w:r>
      <w:r>
        <w:t>供水与排水措施</w:t>
      </w:r>
      <w:bookmarkEnd w:id="313"/>
    </w:p>
    <w:p>
      <w:pPr>
        <w:ind w:firstLine="560"/>
        <w:rPr>
          <w:rFonts w:ascii="宋体" w:hAnsi="宋体" w:cs="宋体"/>
        </w:rPr>
      </w:pPr>
      <w:r>
        <w:rPr>
          <w:rFonts w:hint="eastAsia" w:ascii="宋体" w:hAnsi="宋体" w:cs="宋体"/>
        </w:rPr>
        <w:t>根据《建筑给水排水设计标准》（GB 50015-2019）、《工业企业总平面设计规范》（GB50187-2012）等标准规范对该项目给排水进行检查，检查结果见下表。</w:t>
      </w:r>
    </w:p>
    <w:p>
      <w:pPr>
        <w:pStyle w:val="14"/>
        <w:spacing w:before="156" w:after="156"/>
      </w:pPr>
      <w:r>
        <w:t xml:space="preserve">表 </w:t>
      </w:r>
      <w:r>
        <w:fldChar w:fldCharType="begin"/>
      </w:r>
      <w:r>
        <w:instrText xml:space="preserve"> STYLEREF 2 \s </w:instrText>
      </w:r>
      <w:r>
        <w:fldChar w:fldCharType="separate"/>
      </w:r>
      <w:r>
        <w:t>5.6</w:t>
      </w:r>
      <w:r>
        <w:fldChar w:fldCharType="end"/>
      </w:r>
      <w:r>
        <w:rPr>
          <w:rFonts w:hint="eastAsia"/>
        </w:rPr>
        <w:t>-6辅助</w:t>
      </w:r>
      <w:r>
        <w:t>供水与排水措施符合性</w:t>
      </w:r>
      <w:r>
        <w:rPr>
          <w:rFonts w:hint="eastAsia"/>
        </w:rPr>
        <w:t>安全检查表</w:t>
      </w:r>
    </w:p>
    <w:tbl>
      <w:tblPr>
        <w:tblStyle w:val="29"/>
        <w:tblW w:w="5113"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652"/>
        <w:gridCol w:w="3007"/>
        <w:gridCol w:w="2046"/>
        <w:gridCol w:w="2138"/>
        <w:gridCol w:w="87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374" w:type="pct"/>
            <w:tcBorders>
              <w:tl2br w:val="nil"/>
              <w:tr2bl w:val="nil"/>
            </w:tcBorders>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序号</w:t>
            </w:r>
          </w:p>
        </w:tc>
        <w:tc>
          <w:tcPr>
            <w:tcW w:w="1724" w:type="pct"/>
            <w:tcBorders>
              <w:tl2br w:val="nil"/>
              <w:tr2bl w:val="nil"/>
            </w:tcBorders>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检查内容</w:t>
            </w:r>
          </w:p>
        </w:tc>
        <w:tc>
          <w:tcPr>
            <w:tcW w:w="1173" w:type="pct"/>
            <w:tcBorders>
              <w:tl2br w:val="nil"/>
              <w:tr2bl w:val="nil"/>
            </w:tcBorders>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依据标准</w:t>
            </w:r>
          </w:p>
        </w:tc>
        <w:tc>
          <w:tcPr>
            <w:tcW w:w="1226" w:type="pct"/>
            <w:tcBorders>
              <w:tl2br w:val="nil"/>
              <w:tr2bl w:val="nil"/>
            </w:tcBorders>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检查情况</w:t>
            </w:r>
          </w:p>
        </w:tc>
        <w:tc>
          <w:tcPr>
            <w:tcW w:w="500" w:type="pct"/>
            <w:tcBorders>
              <w:tl2br w:val="nil"/>
              <w:tr2bl w:val="nil"/>
            </w:tcBorders>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结论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74" w:type="pct"/>
            <w:tcBorders>
              <w:tl2br w:val="nil"/>
              <w:tr2bl w:val="nil"/>
            </w:tcBorders>
            <w:vAlign w:val="center"/>
          </w:tcPr>
          <w:p>
            <w:pPr>
              <w:numPr>
                <w:ilvl w:val="0"/>
                <w:numId w:val="67"/>
              </w:numPr>
              <w:spacing w:line="240" w:lineRule="auto"/>
              <w:ind w:firstLine="0" w:firstLineChars="0"/>
              <w:jc w:val="center"/>
              <w:rPr>
                <w:rFonts w:ascii="宋体" w:hAnsi="宋体" w:cs="宋体"/>
                <w:b/>
                <w:bCs/>
                <w:sz w:val="21"/>
                <w:szCs w:val="21"/>
              </w:rPr>
            </w:pPr>
          </w:p>
        </w:tc>
        <w:tc>
          <w:tcPr>
            <w:tcW w:w="1724" w:type="pct"/>
            <w:tcBorders>
              <w:tl2br w:val="nil"/>
              <w:tr2bl w:val="nil"/>
            </w:tcBorders>
            <w:vAlign w:val="center"/>
          </w:tcPr>
          <w:p>
            <w:pPr>
              <w:spacing w:line="240" w:lineRule="auto"/>
              <w:ind w:firstLine="0" w:firstLineChars="0"/>
              <w:jc w:val="both"/>
              <w:rPr>
                <w:rFonts w:ascii="宋体" w:hAnsi="宋体" w:cs="宋体"/>
                <w:sz w:val="21"/>
                <w:szCs w:val="21"/>
              </w:rPr>
            </w:pPr>
            <w:r>
              <w:rPr>
                <w:rFonts w:hint="eastAsia" w:ascii="宋体" w:hAnsi="宋体" w:cs="宋体"/>
                <w:sz w:val="21"/>
                <w:szCs w:val="21"/>
              </w:rPr>
              <w:t>生活给水系统的水质，应符合现行的国家标准《生活饮用水卫生标准》的要求。</w:t>
            </w:r>
          </w:p>
        </w:tc>
        <w:tc>
          <w:tcPr>
            <w:tcW w:w="1173" w:type="pct"/>
            <w:tcBorders>
              <w:tl2br w:val="nil"/>
              <w:tr2bl w:val="nil"/>
            </w:tcBorders>
            <w:vAlign w:val="center"/>
          </w:tcPr>
          <w:p>
            <w:pPr>
              <w:spacing w:line="240" w:lineRule="auto"/>
              <w:ind w:firstLine="0" w:firstLineChars="0"/>
              <w:jc w:val="both"/>
              <w:rPr>
                <w:rFonts w:ascii="宋体" w:hAnsi="宋体" w:cs="宋体"/>
                <w:sz w:val="21"/>
                <w:szCs w:val="21"/>
              </w:rPr>
            </w:pPr>
            <w:r>
              <w:rPr>
                <w:rFonts w:hint="eastAsia" w:ascii="宋体" w:hAnsi="宋体" w:cs="宋体"/>
                <w:sz w:val="21"/>
                <w:szCs w:val="21"/>
              </w:rPr>
              <w:t>《建筑给水排水设计标准》</w:t>
            </w:r>
          </w:p>
          <w:p>
            <w:pPr>
              <w:spacing w:line="240" w:lineRule="auto"/>
              <w:ind w:firstLine="0" w:firstLineChars="0"/>
              <w:jc w:val="both"/>
              <w:rPr>
                <w:rFonts w:ascii="宋体" w:hAnsi="宋体" w:cs="宋体"/>
                <w:sz w:val="21"/>
                <w:szCs w:val="21"/>
              </w:rPr>
            </w:pPr>
            <w:r>
              <w:rPr>
                <w:rFonts w:hint="eastAsia" w:ascii="宋体" w:hAnsi="宋体" w:cs="宋体"/>
                <w:sz w:val="21"/>
                <w:szCs w:val="21"/>
              </w:rPr>
              <w:t>（GB 50015-2019）3.3.1</w:t>
            </w:r>
          </w:p>
        </w:tc>
        <w:tc>
          <w:tcPr>
            <w:tcW w:w="1226" w:type="pct"/>
            <w:tcBorders>
              <w:tl2br w:val="nil"/>
              <w:tr2bl w:val="nil"/>
            </w:tcBorders>
            <w:vAlign w:val="center"/>
          </w:tcPr>
          <w:p>
            <w:pPr>
              <w:spacing w:line="240" w:lineRule="auto"/>
              <w:ind w:firstLine="0" w:firstLineChars="0"/>
              <w:jc w:val="both"/>
              <w:rPr>
                <w:rFonts w:ascii="宋体" w:hAnsi="宋体" w:cs="宋体"/>
                <w:sz w:val="21"/>
                <w:szCs w:val="21"/>
              </w:rPr>
            </w:pPr>
            <w:r>
              <w:rPr>
                <w:rFonts w:hint="eastAsia" w:ascii="宋体" w:hAnsi="宋体" w:cs="宋体"/>
                <w:sz w:val="21"/>
                <w:szCs w:val="21"/>
              </w:rPr>
              <w:t>项目生产、生活用水来源于市政供水管网，从市政给水管引入一路DN100的进水管到厂区西北端。在建筑物外部形成环状供水管网，供给本工程生产生活及消防用水。</w:t>
            </w:r>
          </w:p>
        </w:tc>
        <w:tc>
          <w:tcPr>
            <w:tcW w:w="500" w:type="pct"/>
            <w:tcBorders>
              <w:tl2br w:val="nil"/>
              <w:tr2bl w:val="nil"/>
            </w:tcBorders>
            <w:vAlign w:val="center"/>
          </w:tcPr>
          <w:p>
            <w:pPr>
              <w:spacing w:line="240" w:lineRule="auto"/>
              <w:ind w:firstLine="0" w:firstLineChars="0"/>
              <w:jc w:val="both"/>
              <w:rPr>
                <w:rFonts w:ascii="宋体" w:hAnsi="宋体" w:cs="宋体"/>
                <w:sz w:val="21"/>
                <w:szCs w:val="21"/>
              </w:rPr>
            </w:pPr>
            <w:r>
              <w:rPr>
                <w:rFonts w:hint="eastAsia" w:ascii="宋体" w:hAnsi="宋体" w:cs="宋体"/>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74" w:type="pct"/>
            <w:tcBorders>
              <w:tl2br w:val="nil"/>
              <w:tr2bl w:val="nil"/>
            </w:tcBorders>
            <w:vAlign w:val="center"/>
          </w:tcPr>
          <w:p>
            <w:pPr>
              <w:numPr>
                <w:ilvl w:val="0"/>
                <w:numId w:val="67"/>
              </w:numPr>
              <w:spacing w:line="240" w:lineRule="auto"/>
              <w:ind w:firstLine="0" w:firstLineChars="0"/>
              <w:jc w:val="center"/>
              <w:rPr>
                <w:rFonts w:ascii="宋体" w:hAnsi="宋体" w:cs="宋体"/>
                <w:b/>
                <w:bCs/>
                <w:sz w:val="21"/>
                <w:szCs w:val="21"/>
              </w:rPr>
            </w:pPr>
          </w:p>
        </w:tc>
        <w:tc>
          <w:tcPr>
            <w:tcW w:w="1724" w:type="pct"/>
            <w:tcBorders>
              <w:tl2br w:val="nil"/>
              <w:tr2bl w:val="nil"/>
            </w:tcBorders>
            <w:vAlign w:val="center"/>
          </w:tcPr>
          <w:p>
            <w:pPr>
              <w:spacing w:line="240" w:lineRule="auto"/>
              <w:ind w:firstLine="0" w:firstLineChars="0"/>
              <w:jc w:val="both"/>
              <w:rPr>
                <w:rFonts w:ascii="宋体" w:hAnsi="宋体" w:cs="宋体"/>
                <w:sz w:val="21"/>
                <w:szCs w:val="21"/>
              </w:rPr>
            </w:pPr>
            <w:r>
              <w:rPr>
                <w:rFonts w:hint="eastAsia" w:ascii="宋体" w:hAnsi="宋体" w:cs="宋体"/>
                <w:sz w:val="21"/>
                <w:szCs w:val="21"/>
              </w:rPr>
              <w:t>室内给水管道不得布置在遇水会引起燃烧、爆炸的原料、产品和设备的上面。</w:t>
            </w:r>
          </w:p>
        </w:tc>
        <w:tc>
          <w:tcPr>
            <w:tcW w:w="1173" w:type="pct"/>
            <w:tcBorders>
              <w:tl2br w:val="nil"/>
              <w:tr2bl w:val="nil"/>
            </w:tcBorders>
            <w:vAlign w:val="center"/>
          </w:tcPr>
          <w:p>
            <w:pPr>
              <w:spacing w:line="240" w:lineRule="auto"/>
              <w:ind w:firstLine="0" w:firstLineChars="0"/>
              <w:jc w:val="both"/>
              <w:rPr>
                <w:rFonts w:ascii="宋体" w:hAnsi="宋体" w:cs="宋体"/>
                <w:sz w:val="21"/>
                <w:szCs w:val="21"/>
              </w:rPr>
            </w:pPr>
            <w:r>
              <w:rPr>
                <w:rFonts w:hint="eastAsia" w:ascii="宋体" w:hAnsi="宋体" w:cs="宋体"/>
                <w:sz w:val="21"/>
                <w:szCs w:val="21"/>
              </w:rPr>
              <w:t>《建筑给水排水设计标准》</w:t>
            </w:r>
          </w:p>
          <w:p>
            <w:pPr>
              <w:spacing w:line="240" w:lineRule="auto"/>
              <w:ind w:firstLine="0" w:firstLineChars="0"/>
              <w:jc w:val="both"/>
              <w:rPr>
                <w:rFonts w:ascii="宋体" w:hAnsi="宋体" w:cs="宋体"/>
                <w:sz w:val="21"/>
                <w:szCs w:val="21"/>
              </w:rPr>
            </w:pPr>
            <w:r>
              <w:rPr>
                <w:rFonts w:hint="eastAsia" w:ascii="宋体" w:hAnsi="宋体" w:cs="宋体"/>
                <w:sz w:val="21"/>
                <w:szCs w:val="21"/>
              </w:rPr>
              <w:t>（GB 50015-2019）3.6.3</w:t>
            </w:r>
          </w:p>
        </w:tc>
        <w:tc>
          <w:tcPr>
            <w:tcW w:w="1226" w:type="pct"/>
            <w:tcBorders>
              <w:tl2br w:val="nil"/>
              <w:tr2bl w:val="nil"/>
            </w:tcBorders>
            <w:vAlign w:val="center"/>
          </w:tcPr>
          <w:p>
            <w:pPr>
              <w:spacing w:line="240" w:lineRule="auto"/>
              <w:ind w:firstLine="0" w:firstLineChars="0"/>
              <w:jc w:val="both"/>
              <w:rPr>
                <w:rFonts w:ascii="宋体" w:hAnsi="宋体" w:cs="宋体"/>
                <w:sz w:val="21"/>
                <w:szCs w:val="21"/>
              </w:rPr>
            </w:pPr>
            <w:r>
              <w:rPr>
                <w:rFonts w:hint="eastAsia" w:ascii="宋体" w:hAnsi="宋体" w:cs="宋体"/>
                <w:sz w:val="21"/>
                <w:szCs w:val="21"/>
              </w:rPr>
              <w:t>车间室内给水管道未设置在中频炉等高温熔融金属的区域上方。</w:t>
            </w:r>
          </w:p>
        </w:tc>
        <w:tc>
          <w:tcPr>
            <w:tcW w:w="500" w:type="pct"/>
            <w:tcBorders>
              <w:tl2br w:val="nil"/>
              <w:tr2bl w:val="nil"/>
            </w:tcBorders>
            <w:vAlign w:val="center"/>
          </w:tcPr>
          <w:p>
            <w:pPr>
              <w:spacing w:line="240" w:lineRule="auto"/>
              <w:ind w:firstLine="0" w:firstLineChars="0"/>
              <w:jc w:val="both"/>
              <w:rPr>
                <w:rFonts w:ascii="宋体" w:hAnsi="宋体" w:cs="宋体"/>
                <w:sz w:val="21"/>
                <w:szCs w:val="21"/>
              </w:rPr>
            </w:pPr>
            <w:r>
              <w:rPr>
                <w:rFonts w:hint="eastAsia" w:ascii="宋体" w:hAnsi="宋体" w:cs="宋体"/>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74" w:type="pct"/>
            <w:tcBorders>
              <w:tl2br w:val="nil"/>
              <w:tr2bl w:val="nil"/>
            </w:tcBorders>
            <w:vAlign w:val="center"/>
          </w:tcPr>
          <w:p>
            <w:pPr>
              <w:numPr>
                <w:ilvl w:val="0"/>
                <w:numId w:val="67"/>
              </w:numPr>
              <w:spacing w:line="240" w:lineRule="auto"/>
              <w:ind w:firstLine="0" w:firstLineChars="0"/>
              <w:jc w:val="center"/>
              <w:rPr>
                <w:rFonts w:ascii="宋体" w:hAnsi="宋体" w:cs="宋体"/>
                <w:b/>
                <w:bCs/>
                <w:sz w:val="21"/>
                <w:szCs w:val="21"/>
              </w:rPr>
            </w:pPr>
          </w:p>
        </w:tc>
        <w:tc>
          <w:tcPr>
            <w:tcW w:w="1724" w:type="pct"/>
            <w:tcBorders>
              <w:tl2br w:val="nil"/>
              <w:tr2bl w:val="nil"/>
            </w:tcBorders>
            <w:vAlign w:val="center"/>
          </w:tcPr>
          <w:p>
            <w:pPr>
              <w:spacing w:line="240" w:lineRule="auto"/>
              <w:ind w:firstLine="0" w:firstLineChars="0"/>
              <w:jc w:val="both"/>
              <w:rPr>
                <w:rFonts w:ascii="宋体" w:hAnsi="宋体" w:cs="宋体"/>
                <w:sz w:val="21"/>
                <w:szCs w:val="21"/>
              </w:rPr>
            </w:pPr>
            <w:r>
              <w:rPr>
                <w:rFonts w:hint="eastAsia" w:ascii="宋体" w:hAnsi="宋体" w:cs="宋体"/>
                <w:sz w:val="21"/>
                <w:szCs w:val="21"/>
              </w:rPr>
              <w:t>厂址应具有满足生产、生活及发展所必需的水源和电源。水源和电源与厂址之间的管线连接应尽量短捷，且用水、用电量（特别）大的工业企业宜靠近水源及电源地。</w:t>
            </w:r>
          </w:p>
        </w:tc>
        <w:tc>
          <w:tcPr>
            <w:tcW w:w="1173" w:type="pct"/>
            <w:tcBorders>
              <w:tl2br w:val="nil"/>
              <w:tr2bl w:val="nil"/>
            </w:tcBorders>
            <w:vAlign w:val="center"/>
          </w:tcPr>
          <w:p>
            <w:pPr>
              <w:spacing w:line="240" w:lineRule="auto"/>
              <w:ind w:firstLine="0" w:firstLineChars="0"/>
              <w:jc w:val="both"/>
              <w:rPr>
                <w:rFonts w:ascii="宋体" w:hAnsi="宋体" w:cs="宋体"/>
                <w:sz w:val="21"/>
                <w:szCs w:val="21"/>
              </w:rPr>
            </w:pPr>
            <w:r>
              <w:rPr>
                <w:rFonts w:hint="eastAsia" w:ascii="宋体" w:hAnsi="宋体" w:cs="宋体"/>
                <w:sz w:val="21"/>
                <w:szCs w:val="21"/>
              </w:rPr>
              <w:t>《工业企业总平面设计规范》（GB50187-2012）3.0.6</w:t>
            </w:r>
          </w:p>
        </w:tc>
        <w:tc>
          <w:tcPr>
            <w:tcW w:w="1226" w:type="pct"/>
            <w:tcBorders>
              <w:tl2br w:val="nil"/>
              <w:tr2bl w:val="nil"/>
            </w:tcBorders>
            <w:vAlign w:val="center"/>
          </w:tcPr>
          <w:p>
            <w:pPr>
              <w:spacing w:line="240" w:lineRule="auto"/>
              <w:ind w:firstLine="0" w:firstLineChars="0"/>
              <w:jc w:val="both"/>
              <w:rPr>
                <w:rFonts w:ascii="宋体" w:hAnsi="宋体" w:cs="宋体"/>
                <w:sz w:val="21"/>
                <w:szCs w:val="21"/>
              </w:rPr>
            </w:pPr>
            <w:r>
              <w:rPr>
                <w:rFonts w:hint="eastAsia" w:ascii="宋体" w:hAnsi="宋体" w:cs="宋体"/>
                <w:sz w:val="21"/>
                <w:szCs w:val="21"/>
              </w:rPr>
              <w:t>厂址所在地能够满足企业所需水源和电源。</w:t>
            </w:r>
          </w:p>
        </w:tc>
        <w:tc>
          <w:tcPr>
            <w:tcW w:w="500" w:type="pct"/>
            <w:tcBorders>
              <w:tl2br w:val="nil"/>
              <w:tr2bl w:val="nil"/>
            </w:tcBorders>
            <w:vAlign w:val="center"/>
          </w:tcPr>
          <w:p>
            <w:pPr>
              <w:spacing w:line="240" w:lineRule="auto"/>
              <w:ind w:firstLine="0" w:firstLineChars="0"/>
              <w:jc w:val="both"/>
              <w:rPr>
                <w:rFonts w:ascii="宋体" w:hAnsi="宋体" w:cs="宋体"/>
                <w:sz w:val="21"/>
                <w:szCs w:val="21"/>
              </w:rPr>
            </w:pPr>
            <w:r>
              <w:rPr>
                <w:rFonts w:hint="eastAsia" w:ascii="宋体" w:hAnsi="宋体" w:cs="宋体"/>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74" w:type="pct"/>
            <w:tcBorders>
              <w:tl2br w:val="nil"/>
              <w:tr2bl w:val="nil"/>
            </w:tcBorders>
            <w:vAlign w:val="center"/>
          </w:tcPr>
          <w:p>
            <w:pPr>
              <w:numPr>
                <w:ilvl w:val="0"/>
                <w:numId w:val="67"/>
              </w:numPr>
              <w:spacing w:line="240" w:lineRule="auto"/>
              <w:ind w:firstLine="0" w:firstLineChars="0"/>
              <w:jc w:val="center"/>
              <w:rPr>
                <w:rFonts w:ascii="宋体" w:hAnsi="宋体" w:cs="宋体"/>
                <w:b/>
                <w:bCs/>
                <w:sz w:val="21"/>
                <w:szCs w:val="21"/>
              </w:rPr>
            </w:pPr>
          </w:p>
        </w:tc>
        <w:tc>
          <w:tcPr>
            <w:tcW w:w="1724" w:type="pct"/>
            <w:tcBorders>
              <w:tl2br w:val="nil"/>
              <w:tr2bl w:val="nil"/>
            </w:tcBorders>
            <w:vAlign w:val="center"/>
          </w:tcPr>
          <w:p>
            <w:pPr>
              <w:spacing w:line="240" w:lineRule="auto"/>
              <w:ind w:firstLine="0" w:firstLineChars="0"/>
              <w:jc w:val="both"/>
              <w:rPr>
                <w:rFonts w:ascii="宋体" w:hAnsi="宋体" w:cs="宋体"/>
                <w:sz w:val="21"/>
                <w:szCs w:val="21"/>
              </w:rPr>
            </w:pPr>
            <w:r>
              <w:rPr>
                <w:rFonts w:hint="eastAsia" w:ascii="宋体" w:hAnsi="宋体" w:cs="宋体"/>
                <w:sz w:val="21"/>
                <w:szCs w:val="21"/>
              </w:rPr>
              <w:t>场地应有完整、有效的雨水排水系统。场地雨水的排除方式，应结合工业企业所在地区的雨水排除方式、建筑密度、环境卫生要求、地质和气候条件等因素，合理选择暗管、明沟或地面自然排渗等方式并应符合下列要求：</w:t>
            </w:r>
          </w:p>
          <w:p>
            <w:pPr>
              <w:spacing w:line="240" w:lineRule="auto"/>
              <w:ind w:firstLine="0" w:firstLineChars="0"/>
              <w:jc w:val="both"/>
              <w:rPr>
                <w:rFonts w:ascii="宋体" w:hAnsi="宋体" w:cs="宋体"/>
                <w:sz w:val="21"/>
                <w:szCs w:val="21"/>
              </w:rPr>
            </w:pPr>
            <w:r>
              <w:rPr>
                <w:rFonts w:hint="eastAsia" w:ascii="宋体" w:hAnsi="宋体" w:cs="宋体"/>
                <w:sz w:val="21"/>
                <w:szCs w:val="21"/>
              </w:rPr>
              <w:t>1．厂区雨水排水管、沟应与厂外排雨水系统相衔接，场地雨水不得任意排至厂外；</w:t>
            </w:r>
          </w:p>
          <w:p>
            <w:pPr>
              <w:spacing w:line="240" w:lineRule="auto"/>
              <w:ind w:firstLine="0" w:firstLineChars="0"/>
              <w:jc w:val="both"/>
              <w:rPr>
                <w:rFonts w:ascii="宋体" w:hAnsi="宋体" w:cs="宋体"/>
                <w:sz w:val="21"/>
                <w:szCs w:val="21"/>
              </w:rPr>
            </w:pPr>
            <w:r>
              <w:rPr>
                <w:rFonts w:hint="eastAsia" w:ascii="宋体" w:hAnsi="宋体" w:cs="宋体"/>
                <w:sz w:val="21"/>
                <w:szCs w:val="21"/>
              </w:rPr>
              <w:t>2．有条件的工业企业应建立雨水收集系统，应对收集的雨水充分利用；</w:t>
            </w:r>
          </w:p>
          <w:p>
            <w:pPr>
              <w:spacing w:line="240" w:lineRule="auto"/>
              <w:ind w:firstLine="0" w:firstLineChars="0"/>
              <w:jc w:val="both"/>
              <w:rPr>
                <w:rFonts w:ascii="宋体" w:hAnsi="宋体" w:cs="宋体"/>
                <w:sz w:val="21"/>
                <w:szCs w:val="21"/>
              </w:rPr>
            </w:pPr>
            <w:r>
              <w:rPr>
                <w:rFonts w:hint="eastAsia" w:ascii="宋体" w:hAnsi="宋体" w:cs="宋体"/>
                <w:sz w:val="21"/>
                <w:szCs w:val="21"/>
              </w:rPr>
              <w:t>3．厂区雨水宜采用暗管排水。</w:t>
            </w:r>
          </w:p>
        </w:tc>
        <w:tc>
          <w:tcPr>
            <w:tcW w:w="1173" w:type="pct"/>
            <w:tcBorders>
              <w:tl2br w:val="nil"/>
              <w:tr2bl w:val="nil"/>
            </w:tcBorders>
            <w:vAlign w:val="center"/>
          </w:tcPr>
          <w:p>
            <w:pPr>
              <w:spacing w:line="240" w:lineRule="auto"/>
              <w:ind w:firstLine="0" w:firstLineChars="0"/>
              <w:jc w:val="both"/>
              <w:rPr>
                <w:rFonts w:ascii="宋体" w:hAnsi="宋体" w:cs="宋体"/>
                <w:sz w:val="21"/>
                <w:szCs w:val="21"/>
              </w:rPr>
            </w:pPr>
            <w:r>
              <w:rPr>
                <w:rFonts w:hint="eastAsia" w:ascii="宋体" w:hAnsi="宋体" w:cs="宋体"/>
                <w:sz w:val="21"/>
                <w:szCs w:val="21"/>
              </w:rPr>
              <w:t>《工业企业总平面设计规范》（GB50187-2012）7.4.1</w:t>
            </w:r>
          </w:p>
        </w:tc>
        <w:tc>
          <w:tcPr>
            <w:tcW w:w="1226" w:type="pct"/>
            <w:tcBorders>
              <w:tl2br w:val="nil"/>
              <w:tr2bl w:val="nil"/>
            </w:tcBorders>
            <w:vAlign w:val="center"/>
          </w:tcPr>
          <w:p>
            <w:pPr>
              <w:spacing w:line="240" w:lineRule="auto"/>
              <w:ind w:firstLine="0" w:firstLineChars="0"/>
              <w:jc w:val="both"/>
              <w:rPr>
                <w:rFonts w:ascii="宋体" w:hAnsi="宋体" w:cs="宋体"/>
                <w:sz w:val="21"/>
                <w:szCs w:val="21"/>
              </w:rPr>
            </w:pPr>
            <w:r>
              <w:rPr>
                <w:rFonts w:hint="eastAsia" w:ascii="宋体" w:hAnsi="宋体" w:cs="宋体"/>
                <w:sz w:val="21"/>
                <w:szCs w:val="21"/>
              </w:rPr>
              <w:t>排水体制采用雨污分流系统。室外雨水、污水排水管沿道路布置，排水方向按道路坡向。</w:t>
            </w:r>
          </w:p>
          <w:p>
            <w:pPr>
              <w:spacing w:line="240" w:lineRule="auto"/>
              <w:ind w:firstLine="0" w:firstLineChars="0"/>
              <w:jc w:val="both"/>
              <w:rPr>
                <w:rFonts w:ascii="宋体" w:hAnsi="宋体" w:cs="宋体"/>
                <w:sz w:val="21"/>
                <w:szCs w:val="21"/>
              </w:rPr>
            </w:pPr>
          </w:p>
        </w:tc>
        <w:tc>
          <w:tcPr>
            <w:tcW w:w="500" w:type="pct"/>
            <w:tcBorders>
              <w:tl2br w:val="nil"/>
              <w:tr2bl w:val="nil"/>
            </w:tcBorders>
            <w:vAlign w:val="center"/>
          </w:tcPr>
          <w:p>
            <w:pPr>
              <w:spacing w:line="240" w:lineRule="auto"/>
              <w:ind w:firstLine="0" w:firstLineChars="0"/>
              <w:jc w:val="both"/>
              <w:rPr>
                <w:rFonts w:ascii="宋体" w:hAnsi="宋体" w:cs="宋体"/>
                <w:sz w:val="21"/>
                <w:szCs w:val="21"/>
              </w:rPr>
            </w:pPr>
            <w:r>
              <w:rPr>
                <w:rFonts w:hint="eastAsia" w:ascii="宋体" w:hAnsi="宋体" w:cs="宋体"/>
                <w:sz w:val="21"/>
                <w:szCs w:val="21"/>
              </w:rPr>
              <w:t>符合</w:t>
            </w:r>
          </w:p>
        </w:tc>
      </w:tr>
      <w:bookmarkEnd w:id="304"/>
      <w:bookmarkEnd w:id="305"/>
      <w:bookmarkEnd w:id="306"/>
    </w:tbl>
    <w:p>
      <w:pPr>
        <w:ind w:firstLine="560"/>
      </w:pPr>
      <w:bookmarkStart w:id="314" w:name="_Toc498299368"/>
      <w:bookmarkStart w:id="315" w:name="_Toc500007177"/>
      <w:bookmarkStart w:id="316" w:name="_Toc498519839"/>
      <w:r>
        <w:rPr>
          <w:rFonts w:hint="eastAsia" w:ascii="宋体" w:hAnsi="宋体" w:cs="宋体"/>
        </w:rPr>
        <w:t>项目给排水系统符合《建筑给水排水设计标准》（GB 50015-2019）、《工业企业总平面设计规范》（GB50187-2012）等规范的要求。</w:t>
      </w:r>
    </w:p>
    <w:p>
      <w:pPr>
        <w:pStyle w:val="6"/>
        <w:spacing w:before="156" w:after="156"/>
      </w:pPr>
      <w:bookmarkStart w:id="317" w:name="_Toc31870"/>
      <w:r>
        <w:t>消防措施</w:t>
      </w:r>
      <w:bookmarkEnd w:id="314"/>
      <w:bookmarkEnd w:id="315"/>
      <w:bookmarkEnd w:id="316"/>
      <w:bookmarkEnd w:id="317"/>
    </w:p>
    <w:p>
      <w:pPr>
        <w:ind w:firstLine="560"/>
        <w:rPr>
          <w:rFonts w:ascii="宋体" w:hAnsi="宋体" w:cs="宋体"/>
        </w:rPr>
      </w:pPr>
      <w:bookmarkStart w:id="318" w:name="_Toc500007180"/>
      <w:bookmarkStart w:id="319" w:name="_Toc498519842"/>
      <w:bookmarkStart w:id="320" w:name="_Toc498299372"/>
      <w:r>
        <w:rPr>
          <w:rFonts w:hint="eastAsia" w:ascii="宋体" w:hAnsi="宋体" w:cs="宋体"/>
        </w:rPr>
        <w:t>依据</w:t>
      </w:r>
      <w:bookmarkStart w:id="321" w:name="_Hlk530840072"/>
      <w:r>
        <w:rPr>
          <w:rFonts w:hint="eastAsia" w:ascii="宋体" w:hAnsi="宋体" w:cs="宋体"/>
        </w:rPr>
        <w:t>《建筑防火通用规范》（GB55037-2022）、《消防设施通用规范》（GB55036-2022）等相关法律法规、标准规范的要求</w:t>
      </w:r>
      <w:bookmarkEnd w:id="321"/>
      <w:r>
        <w:rPr>
          <w:rFonts w:hint="eastAsia" w:ascii="宋体" w:hAnsi="宋体" w:cs="宋体"/>
        </w:rPr>
        <w:t>，对该项目消防措施进行安全检查。检查结果见下表。</w:t>
      </w:r>
    </w:p>
    <w:p>
      <w:pPr>
        <w:pStyle w:val="14"/>
        <w:spacing w:before="156" w:after="156"/>
      </w:pPr>
      <w:r>
        <w:t xml:space="preserve">表 </w:t>
      </w:r>
      <w:r>
        <w:fldChar w:fldCharType="begin"/>
      </w:r>
      <w:r>
        <w:instrText xml:space="preserve"> STYLEREF 1 \s </w:instrText>
      </w:r>
      <w:r>
        <w:fldChar w:fldCharType="separate"/>
      </w:r>
      <w:r>
        <w:t>5</w:t>
      </w:r>
      <w:r>
        <w:fldChar w:fldCharType="end"/>
      </w:r>
      <w:r>
        <w:rPr>
          <w:rFonts w:hint="eastAsia"/>
        </w:rPr>
        <w:t>.6-7消防安全检查表</w:t>
      </w:r>
    </w:p>
    <w:tbl>
      <w:tblPr>
        <w:tblStyle w:val="29"/>
        <w:tblW w:w="5096"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671"/>
        <w:gridCol w:w="2906"/>
        <w:gridCol w:w="2112"/>
        <w:gridCol w:w="2027"/>
        <w:gridCol w:w="97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386" w:type="pct"/>
            <w:tcBorders>
              <w:tl2br w:val="nil"/>
              <w:tr2bl w:val="nil"/>
            </w:tcBorders>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序号</w:t>
            </w:r>
          </w:p>
        </w:tc>
        <w:tc>
          <w:tcPr>
            <w:tcW w:w="1672" w:type="pct"/>
            <w:tcBorders>
              <w:tl2br w:val="nil"/>
              <w:tr2bl w:val="nil"/>
            </w:tcBorders>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检查内容</w:t>
            </w:r>
          </w:p>
        </w:tc>
        <w:tc>
          <w:tcPr>
            <w:tcW w:w="1215" w:type="pct"/>
            <w:tcBorders>
              <w:tl2br w:val="nil"/>
              <w:tr2bl w:val="nil"/>
            </w:tcBorders>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依据标准</w:t>
            </w:r>
          </w:p>
        </w:tc>
        <w:tc>
          <w:tcPr>
            <w:tcW w:w="1166" w:type="pct"/>
            <w:tcBorders>
              <w:tl2br w:val="nil"/>
              <w:tr2bl w:val="nil"/>
            </w:tcBorders>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检查情况</w:t>
            </w:r>
          </w:p>
        </w:tc>
        <w:tc>
          <w:tcPr>
            <w:tcW w:w="558" w:type="pct"/>
            <w:tcBorders>
              <w:tl2br w:val="nil"/>
              <w:tr2bl w:val="nil"/>
            </w:tcBorders>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结论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6" w:type="pct"/>
            <w:tcBorders>
              <w:tl2br w:val="nil"/>
              <w:tr2bl w:val="nil"/>
            </w:tcBorders>
            <w:vAlign w:val="center"/>
          </w:tcPr>
          <w:p>
            <w:pPr>
              <w:numPr>
                <w:ilvl w:val="0"/>
                <w:numId w:val="68"/>
              </w:numPr>
              <w:spacing w:line="240" w:lineRule="auto"/>
              <w:ind w:firstLine="0" w:firstLineChars="0"/>
              <w:jc w:val="center"/>
              <w:rPr>
                <w:rFonts w:ascii="宋体" w:hAnsi="宋体" w:cs="宋体"/>
                <w:b/>
                <w:bCs/>
                <w:sz w:val="21"/>
                <w:szCs w:val="21"/>
              </w:rPr>
            </w:pPr>
          </w:p>
        </w:tc>
        <w:tc>
          <w:tcPr>
            <w:tcW w:w="1672" w:type="pct"/>
            <w:tcBorders>
              <w:tl2br w:val="nil"/>
              <w:tr2bl w:val="nil"/>
            </w:tcBorders>
            <w:vAlign w:val="center"/>
          </w:tcPr>
          <w:p>
            <w:pPr>
              <w:spacing w:line="240" w:lineRule="auto"/>
              <w:ind w:firstLine="0" w:firstLineChars="0"/>
              <w:jc w:val="both"/>
              <w:rPr>
                <w:rFonts w:ascii="宋体" w:hAnsi="宋体" w:cs="宋体"/>
                <w:sz w:val="21"/>
                <w:szCs w:val="21"/>
              </w:rPr>
            </w:pPr>
            <w:r>
              <w:rPr>
                <w:rFonts w:hint="eastAsia" w:ascii="宋体" w:hAnsi="宋体" w:cs="宋体"/>
                <w:sz w:val="21"/>
                <w:szCs w:val="21"/>
              </w:rPr>
              <w:t>消防设施投入使用后，应定期进行巡查、检查和维护，并应保证其处于正常运行或工作状态，不应擅自关停、拆改或移动。超过有效期的灭火介质、消防设施或经检验不符合继续使用要求的管道、组件和压力容器不应使用。</w:t>
            </w:r>
          </w:p>
        </w:tc>
        <w:tc>
          <w:tcPr>
            <w:tcW w:w="1215" w:type="pct"/>
            <w:tcBorders>
              <w:tl2br w:val="nil"/>
              <w:tr2bl w:val="nil"/>
            </w:tcBorders>
            <w:vAlign w:val="center"/>
          </w:tcPr>
          <w:p>
            <w:pPr>
              <w:spacing w:line="300" w:lineRule="exact"/>
              <w:ind w:firstLine="0" w:firstLineChars="0"/>
              <w:jc w:val="center"/>
              <w:rPr>
                <w:rFonts w:cs="Times New Roman"/>
                <w:sz w:val="20"/>
                <w:szCs w:val="20"/>
              </w:rPr>
            </w:pPr>
            <w:r>
              <w:rPr>
                <w:rFonts w:hint="eastAsia" w:cs="Times New Roman"/>
                <w:sz w:val="20"/>
                <w:szCs w:val="20"/>
              </w:rPr>
              <w:t>《消防设施通用规范》（GB 55036-2022）2.0.9</w:t>
            </w:r>
          </w:p>
        </w:tc>
        <w:tc>
          <w:tcPr>
            <w:tcW w:w="1166" w:type="pct"/>
            <w:tcBorders>
              <w:tl2br w:val="nil"/>
              <w:tr2bl w:val="nil"/>
            </w:tcBorders>
            <w:vAlign w:val="center"/>
          </w:tcPr>
          <w:p>
            <w:pPr>
              <w:spacing w:line="240" w:lineRule="auto"/>
              <w:ind w:firstLine="0" w:firstLineChars="0"/>
              <w:jc w:val="both"/>
              <w:rPr>
                <w:rFonts w:ascii="宋体" w:hAnsi="宋体" w:cs="宋体"/>
                <w:sz w:val="21"/>
                <w:szCs w:val="21"/>
              </w:rPr>
            </w:pPr>
            <w:r>
              <w:rPr>
                <w:rFonts w:hint="eastAsia" w:ascii="宋体" w:hAnsi="宋体" w:cs="宋体"/>
                <w:sz w:val="21"/>
                <w:szCs w:val="21"/>
              </w:rPr>
              <w:t>消防设施投入使用后定期进行巡查、检查和维护。</w:t>
            </w:r>
          </w:p>
        </w:tc>
        <w:tc>
          <w:tcPr>
            <w:tcW w:w="558" w:type="pct"/>
            <w:tcBorders>
              <w:tl2br w:val="nil"/>
              <w:tr2bl w:val="nil"/>
            </w:tcBorders>
            <w:vAlign w:val="center"/>
          </w:tcPr>
          <w:p>
            <w:pPr>
              <w:ind w:firstLine="0" w:firstLineChars="0"/>
              <w:jc w:val="center"/>
              <w:rPr>
                <w:rFonts w:cs="Times New Roman"/>
                <w:bCs/>
                <w:sz w:val="20"/>
                <w:szCs w:val="20"/>
              </w:rPr>
            </w:pPr>
            <w:r>
              <w:rPr>
                <w:rFonts w:hint="eastAsia"/>
                <w:bCs/>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6" w:type="pct"/>
            <w:tcBorders>
              <w:tl2br w:val="nil"/>
              <w:tr2bl w:val="nil"/>
            </w:tcBorders>
            <w:vAlign w:val="center"/>
          </w:tcPr>
          <w:p>
            <w:pPr>
              <w:numPr>
                <w:ilvl w:val="0"/>
                <w:numId w:val="68"/>
              </w:numPr>
              <w:spacing w:line="240" w:lineRule="auto"/>
              <w:ind w:firstLine="0" w:firstLineChars="0"/>
              <w:jc w:val="center"/>
              <w:rPr>
                <w:rFonts w:ascii="宋体" w:hAnsi="宋体" w:cs="宋体"/>
                <w:b/>
                <w:bCs/>
                <w:sz w:val="21"/>
                <w:szCs w:val="21"/>
              </w:rPr>
            </w:pPr>
          </w:p>
        </w:tc>
        <w:tc>
          <w:tcPr>
            <w:tcW w:w="1672" w:type="pct"/>
            <w:tcBorders>
              <w:tl2br w:val="nil"/>
              <w:tr2bl w:val="nil"/>
            </w:tcBorders>
            <w:vAlign w:val="center"/>
          </w:tcPr>
          <w:p>
            <w:pPr>
              <w:spacing w:line="240" w:lineRule="auto"/>
              <w:ind w:firstLine="0" w:firstLineChars="0"/>
              <w:jc w:val="both"/>
              <w:rPr>
                <w:rFonts w:ascii="宋体" w:hAnsi="宋体" w:cs="宋体"/>
                <w:sz w:val="21"/>
                <w:szCs w:val="21"/>
              </w:rPr>
            </w:pPr>
            <w:r>
              <w:rPr>
                <w:rFonts w:hint="eastAsia" w:ascii="宋体" w:hAnsi="宋体" w:cs="宋体"/>
                <w:sz w:val="21"/>
                <w:szCs w:val="21"/>
              </w:rPr>
              <w:t>消防设施上或附近应设置区别于环境的明显标识，说明文字应准确、清楚且易于识别，颜色、符号或标志应规范。手动操作按钮等装置处应采取防止误操作或被损坏的防护措施。</w:t>
            </w:r>
          </w:p>
        </w:tc>
        <w:tc>
          <w:tcPr>
            <w:tcW w:w="1215" w:type="pct"/>
            <w:tcBorders>
              <w:tl2br w:val="nil"/>
              <w:tr2bl w:val="nil"/>
            </w:tcBorders>
            <w:vAlign w:val="center"/>
          </w:tcPr>
          <w:p>
            <w:pPr>
              <w:spacing w:line="300" w:lineRule="exact"/>
              <w:ind w:firstLine="0" w:firstLineChars="0"/>
              <w:jc w:val="center"/>
              <w:rPr>
                <w:rFonts w:cs="Times New Roman"/>
                <w:sz w:val="20"/>
                <w:szCs w:val="20"/>
              </w:rPr>
            </w:pPr>
            <w:r>
              <w:rPr>
                <w:rFonts w:hint="eastAsia" w:cs="Times New Roman"/>
                <w:sz w:val="20"/>
                <w:szCs w:val="20"/>
              </w:rPr>
              <w:t>《消防设施通用规范》（GB 55036-2022）2.0.10</w:t>
            </w:r>
          </w:p>
        </w:tc>
        <w:tc>
          <w:tcPr>
            <w:tcW w:w="1166" w:type="pct"/>
            <w:tcBorders>
              <w:tl2br w:val="nil"/>
              <w:tr2bl w:val="nil"/>
            </w:tcBorders>
            <w:vAlign w:val="center"/>
          </w:tcPr>
          <w:p>
            <w:pPr>
              <w:spacing w:line="240" w:lineRule="auto"/>
              <w:ind w:firstLine="0" w:firstLineChars="0"/>
              <w:jc w:val="both"/>
              <w:rPr>
                <w:rFonts w:ascii="宋体" w:hAnsi="宋体" w:cs="宋体"/>
                <w:sz w:val="21"/>
                <w:szCs w:val="21"/>
              </w:rPr>
            </w:pPr>
            <w:r>
              <w:rPr>
                <w:rFonts w:hint="eastAsia" w:ascii="宋体" w:hAnsi="宋体" w:cs="宋体"/>
                <w:sz w:val="21"/>
                <w:szCs w:val="21"/>
              </w:rPr>
              <w:t>消防设施上或附近设置了区别于环境的明显标识。</w:t>
            </w:r>
          </w:p>
        </w:tc>
        <w:tc>
          <w:tcPr>
            <w:tcW w:w="558" w:type="pct"/>
            <w:tcBorders>
              <w:tl2br w:val="nil"/>
              <w:tr2bl w:val="nil"/>
            </w:tcBorders>
            <w:vAlign w:val="center"/>
          </w:tcPr>
          <w:p>
            <w:pPr>
              <w:ind w:firstLine="0" w:firstLineChars="0"/>
              <w:jc w:val="center"/>
              <w:rPr>
                <w:rFonts w:cs="Times New Roman"/>
                <w:bCs/>
                <w:sz w:val="20"/>
                <w:szCs w:val="20"/>
              </w:rPr>
            </w:pPr>
            <w:r>
              <w:rPr>
                <w:rFonts w:hint="eastAsia"/>
                <w:bCs/>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6" w:type="pct"/>
            <w:tcBorders>
              <w:tl2br w:val="nil"/>
              <w:tr2bl w:val="nil"/>
            </w:tcBorders>
            <w:vAlign w:val="center"/>
          </w:tcPr>
          <w:p>
            <w:pPr>
              <w:numPr>
                <w:ilvl w:val="0"/>
                <w:numId w:val="68"/>
              </w:numPr>
              <w:spacing w:line="240" w:lineRule="auto"/>
              <w:ind w:firstLine="0" w:firstLineChars="0"/>
              <w:jc w:val="center"/>
              <w:rPr>
                <w:rFonts w:ascii="宋体" w:hAnsi="宋体" w:cs="宋体"/>
                <w:b/>
                <w:bCs/>
                <w:sz w:val="21"/>
                <w:szCs w:val="21"/>
              </w:rPr>
            </w:pPr>
          </w:p>
        </w:tc>
        <w:tc>
          <w:tcPr>
            <w:tcW w:w="1672" w:type="pct"/>
            <w:tcBorders>
              <w:tl2br w:val="nil"/>
              <w:tr2bl w:val="nil"/>
            </w:tcBorders>
            <w:vAlign w:val="center"/>
          </w:tcPr>
          <w:p>
            <w:pPr>
              <w:spacing w:line="240" w:lineRule="auto"/>
              <w:ind w:firstLine="0" w:firstLineChars="0"/>
              <w:jc w:val="both"/>
              <w:rPr>
                <w:rFonts w:ascii="宋体" w:hAnsi="宋体" w:cs="宋体"/>
                <w:sz w:val="21"/>
                <w:szCs w:val="21"/>
              </w:rPr>
            </w:pPr>
            <w:r>
              <w:rPr>
                <w:rFonts w:hint="eastAsia" w:ascii="宋体" w:hAnsi="宋体" w:cs="宋体"/>
                <w:sz w:val="21"/>
                <w:szCs w:val="21"/>
              </w:rPr>
              <w:t>建筑的疏散出口数量、位置和宽度，疏散楼梯（间）的形式</w:t>
            </w:r>
          </w:p>
          <w:p>
            <w:pPr>
              <w:spacing w:line="240" w:lineRule="auto"/>
              <w:ind w:firstLine="0" w:firstLineChars="0"/>
              <w:jc w:val="both"/>
              <w:rPr>
                <w:rFonts w:ascii="宋体" w:hAnsi="宋体" w:cs="宋体"/>
                <w:sz w:val="21"/>
                <w:szCs w:val="21"/>
              </w:rPr>
            </w:pPr>
            <w:r>
              <w:rPr>
                <w:rFonts w:hint="eastAsia" w:ascii="宋体" w:hAnsi="宋体" w:cs="宋体"/>
                <w:sz w:val="21"/>
                <w:szCs w:val="21"/>
              </w:rPr>
              <w:t>和宽度，避难设施的位置和面积等，应与建筑的使用功能、火灾危险性、耐火等级、建筑高度或层数、埋深、建筑面积、人员密度、人员特性等相适应。</w:t>
            </w:r>
          </w:p>
        </w:tc>
        <w:tc>
          <w:tcPr>
            <w:tcW w:w="1215" w:type="pct"/>
            <w:tcBorders>
              <w:tl2br w:val="nil"/>
              <w:tr2bl w:val="nil"/>
            </w:tcBorders>
            <w:vAlign w:val="center"/>
          </w:tcPr>
          <w:p>
            <w:pPr>
              <w:spacing w:line="300" w:lineRule="exact"/>
              <w:ind w:firstLine="0" w:firstLineChars="0"/>
              <w:jc w:val="center"/>
              <w:rPr>
                <w:rFonts w:cs="Times New Roman"/>
                <w:sz w:val="20"/>
                <w:szCs w:val="20"/>
              </w:rPr>
            </w:pPr>
            <w:r>
              <w:rPr>
                <w:rFonts w:hint="eastAsia" w:cs="Times New Roman"/>
                <w:sz w:val="20"/>
                <w:szCs w:val="20"/>
              </w:rPr>
              <w:t>《建筑防火通用规范》（GB55037-2022）7.1.1</w:t>
            </w:r>
          </w:p>
        </w:tc>
        <w:tc>
          <w:tcPr>
            <w:tcW w:w="1166" w:type="pct"/>
            <w:tcBorders>
              <w:tl2br w:val="nil"/>
              <w:tr2bl w:val="nil"/>
            </w:tcBorders>
            <w:vAlign w:val="center"/>
          </w:tcPr>
          <w:p>
            <w:pPr>
              <w:spacing w:line="240" w:lineRule="auto"/>
              <w:ind w:firstLine="0" w:firstLineChars="0"/>
              <w:jc w:val="both"/>
              <w:rPr>
                <w:rFonts w:ascii="宋体" w:hAnsi="宋体" w:cs="宋体"/>
                <w:sz w:val="21"/>
                <w:szCs w:val="21"/>
              </w:rPr>
            </w:pPr>
            <w:r>
              <w:rPr>
                <w:rFonts w:hint="eastAsia" w:ascii="宋体" w:hAnsi="宋体" w:cs="宋体"/>
                <w:sz w:val="21"/>
                <w:szCs w:val="21"/>
              </w:rPr>
              <w:t>项目建（构）筑物的安全疏散和避难设施与建筑的使用功能、火灾危险性、耐火等级、建筑高度或层数、埋深、建筑面积、人员密度、人员特性等相适应。</w:t>
            </w:r>
          </w:p>
        </w:tc>
        <w:tc>
          <w:tcPr>
            <w:tcW w:w="558" w:type="pct"/>
            <w:tcBorders>
              <w:tl2br w:val="nil"/>
              <w:tr2bl w:val="nil"/>
            </w:tcBorders>
            <w:vAlign w:val="center"/>
          </w:tcPr>
          <w:p>
            <w:pPr>
              <w:spacing w:line="240" w:lineRule="auto"/>
              <w:ind w:firstLine="0" w:firstLineChars="0"/>
              <w:jc w:val="center"/>
              <w:rPr>
                <w:bCs/>
                <w:sz w:val="20"/>
                <w:szCs w:val="20"/>
              </w:rPr>
            </w:pPr>
            <w:r>
              <w:rPr>
                <w:rFonts w:hint="eastAsia"/>
                <w:bCs/>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6" w:type="pct"/>
            <w:tcBorders>
              <w:tl2br w:val="nil"/>
              <w:tr2bl w:val="nil"/>
            </w:tcBorders>
            <w:vAlign w:val="center"/>
          </w:tcPr>
          <w:p>
            <w:pPr>
              <w:numPr>
                <w:ilvl w:val="0"/>
                <w:numId w:val="68"/>
              </w:numPr>
              <w:spacing w:line="240" w:lineRule="auto"/>
              <w:ind w:firstLine="0" w:firstLineChars="0"/>
              <w:jc w:val="center"/>
              <w:rPr>
                <w:rFonts w:ascii="宋体" w:hAnsi="宋体" w:cs="宋体"/>
                <w:b/>
                <w:bCs/>
                <w:sz w:val="21"/>
                <w:szCs w:val="21"/>
              </w:rPr>
            </w:pPr>
          </w:p>
        </w:tc>
        <w:tc>
          <w:tcPr>
            <w:tcW w:w="1672" w:type="pct"/>
            <w:tcBorders>
              <w:tl2br w:val="nil"/>
              <w:tr2bl w:val="nil"/>
            </w:tcBorders>
            <w:vAlign w:val="center"/>
          </w:tcPr>
          <w:p>
            <w:pPr>
              <w:spacing w:line="240" w:lineRule="auto"/>
              <w:ind w:firstLine="0" w:firstLineChars="0"/>
              <w:jc w:val="both"/>
              <w:rPr>
                <w:rFonts w:ascii="宋体" w:hAnsi="宋体" w:cs="宋体"/>
                <w:sz w:val="21"/>
                <w:szCs w:val="21"/>
              </w:rPr>
            </w:pPr>
            <w:r>
              <w:rPr>
                <w:rFonts w:hint="eastAsia" w:ascii="宋体" w:hAnsi="宋体" w:cs="宋体"/>
                <w:sz w:val="21"/>
                <w:szCs w:val="21"/>
              </w:rPr>
              <w:t>厂房中符合下列条件的每个防火分区或一个防火分区的</w:t>
            </w:r>
          </w:p>
          <w:p>
            <w:pPr>
              <w:spacing w:line="240" w:lineRule="auto"/>
              <w:ind w:firstLine="0" w:firstLineChars="0"/>
              <w:jc w:val="both"/>
              <w:rPr>
                <w:rFonts w:ascii="宋体" w:hAnsi="宋体" w:cs="宋体"/>
                <w:sz w:val="21"/>
                <w:szCs w:val="21"/>
              </w:rPr>
            </w:pPr>
            <w:r>
              <w:rPr>
                <w:rFonts w:hint="eastAsia" w:ascii="宋体" w:hAnsi="宋体" w:cs="宋体"/>
                <w:sz w:val="21"/>
                <w:szCs w:val="21"/>
              </w:rPr>
              <w:t>每个楼层，安全出口不应少于2个：</w:t>
            </w:r>
          </w:p>
          <w:p>
            <w:pPr>
              <w:spacing w:line="240" w:lineRule="auto"/>
              <w:ind w:firstLine="0" w:firstLineChars="0"/>
              <w:jc w:val="both"/>
              <w:rPr>
                <w:rFonts w:ascii="宋体" w:hAnsi="宋体" w:cs="宋体"/>
                <w:sz w:val="21"/>
                <w:szCs w:val="21"/>
              </w:rPr>
            </w:pPr>
            <w:r>
              <w:rPr>
                <w:rFonts w:hint="eastAsia" w:ascii="宋体" w:hAnsi="宋体" w:cs="宋体"/>
                <w:sz w:val="21"/>
                <w:szCs w:val="21"/>
              </w:rPr>
              <w:t>4丁、戊类地上生产场所，一个防火分区或楼层的建筑面积大于400m或同一时间的使用人数大于30人；</w:t>
            </w:r>
          </w:p>
        </w:tc>
        <w:tc>
          <w:tcPr>
            <w:tcW w:w="1215" w:type="pct"/>
            <w:tcBorders>
              <w:tl2br w:val="nil"/>
              <w:tr2bl w:val="nil"/>
            </w:tcBorders>
            <w:vAlign w:val="center"/>
          </w:tcPr>
          <w:p>
            <w:pPr>
              <w:spacing w:line="300" w:lineRule="exact"/>
              <w:ind w:firstLine="0" w:firstLineChars="0"/>
              <w:jc w:val="center"/>
              <w:rPr>
                <w:rFonts w:cs="Times New Roman"/>
                <w:sz w:val="20"/>
                <w:szCs w:val="20"/>
              </w:rPr>
            </w:pPr>
            <w:r>
              <w:rPr>
                <w:rFonts w:hint="eastAsia" w:cs="Times New Roman"/>
                <w:sz w:val="20"/>
                <w:szCs w:val="20"/>
              </w:rPr>
              <w:t>《建筑防火通用规范》（GB55037-2022）7.2.1</w:t>
            </w:r>
          </w:p>
        </w:tc>
        <w:tc>
          <w:tcPr>
            <w:tcW w:w="1166" w:type="pct"/>
            <w:tcBorders>
              <w:tl2br w:val="nil"/>
              <w:tr2bl w:val="nil"/>
            </w:tcBorders>
            <w:vAlign w:val="center"/>
          </w:tcPr>
          <w:p>
            <w:pPr>
              <w:spacing w:line="240" w:lineRule="auto"/>
              <w:ind w:firstLine="0" w:firstLineChars="0"/>
              <w:jc w:val="both"/>
              <w:rPr>
                <w:rFonts w:ascii="宋体" w:hAnsi="宋体" w:cs="宋体"/>
                <w:sz w:val="21"/>
                <w:szCs w:val="21"/>
              </w:rPr>
            </w:pPr>
            <w:r>
              <w:rPr>
                <w:rFonts w:hint="eastAsia" w:ascii="宋体" w:hAnsi="宋体" w:cs="宋体"/>
                <w:sz w:val="21"/>
                <w:szCs w:val="21"/>
              </w:rPr>
              <w:t>厂房安全出口均不少于2个。</w:t>
            </w:r>
          </w:p>
        </w:tc>
        <w:tc>
          <w:tcPr>
            <w:tcW w:w="558" w:type="pct"/>
            <w:tcBorders>
              <w:tl2br w:val="nil"/>
              <w:tr2bl w:val="nil"/>
            </w:tcBorders>
            <w:vAlign w:val="center"/>
          </w:tcPr>
          <w:p>
            <w:pPr>
              <w:spacing w:line="240" w:lineRule="auto"/>
              <w:ind w:firstLine="0" w:firstLineChars="0"/>
              <w:jc w:val="center"/>
              <w:rPr>
                <w:bCs/>
                <w:sz w:val="20"/>
                <w:szCs w:val="20"/>
              </w:rPr>
            </w:pPr>
            <w:r>
              <w:rPr>
                <w:rFonts w:hint="eastAsia"/>
                <w:bCs/>
                <w:sz w:val="20"/>
                <w:szCs w:val="20"/>
              </w:rPr>
              <w:t>符合</w:t>
            </w:r>
          </w:p>
        </w:tc>
      </w:tr>
    </w:tbl>
    <w:p>
      <w:pPr>
        <w:ind w:firstLine="560"/>
      </w:pPr>
      <w:r>
        <w:rPr>
          <w:rFonts w:hint="eastAsia" w:ascii="宋体" w:hAnsi="宋体" w:cs="宋体"/>
        </w:rPr>
        <w:t>由上表的检查结果可知，该项目消防系统符合《建筑防火通用规范》（GB55037-2022）、《消防设施通用规范》（GB55036-2022）等相关法律法规、标准规范的要求。</w:t>
      </w:r>
    </w:p>
    <w:p>
      <w:pPr>
        <w:pStyle w:val="6"/>
        <w:tabs>
          <w:tab w:val="left" w:pos="420"/>
          <w:tab w:val="clear" w:pos="2101"/>
        </w:tabs>
        <w:spacing w:before="156" w:after="156"/>
      </w:pPr>
      <w:bookmarkStart w:id="322" w:name="_Toc292"/>
      <w:bookmarkStart w:id="323" w:name="_Toc961"/>
      <w:r>
        <w:t>采暖通风及空气调节措施</w:t>
      </w:r>
      <w:bookmarkEnd w:id="322"/>
      <w:bookmarkEnd w:id="323"/>
    </w:p>
    <w:p>
      <w:pPr>
        <w:ind w:firstLine="560"/>
        <w:rPr>
          <w:rFonts w:ascii="宋体" w:hAnsi="宋体" w:cs="宋体"/>
        </w:rPr>
      </w:pPr>
      <w:r>
        <w:rPr>
          <w:rFonts w:hint="eastAsia" w:ascii="宋体" w:hAnsi="宋体" w:cs="宋体"/>
        </w:rPr>
        <w:t>根据《工业企业设计卫生标准》（GBZ1-2010）等相关法规、标准的要求，编制检查表，对采暖通风及空气调节设施进行符合性评价。</w:t>
      </w:r>
    </w:p>
    <w:p>
      <w:pPr>
        <w:pStyle w:val="14"/>
        <w:spacing w:before="156" w:after="156"/>
      </w:pPr>
      <w:r>
        <w:t xml:space="preserve">表 </w:t>
      </w:r>
      <w:r>
        <w:fldChar w:fldCharType="begin"/>
      </w:r>
      <w:r>
        <w:instrText xml:space="preserve"> STYLEREF 1 \s </w:instrText>
      </w:r>
      <w:r>
        <w:fldChar w:fldCharType="separate"/>
      </w:r>
      <w:r>
        <w:t>5</w:t>
      </w:r>
      <w:r>
        <w:fldChar w:fldCharType="end"/>
      </w:r>
      <w:r>
        <w:rPr>
          <w:rFonts w:hint="eastAsia"/>
        </w:rPr>
        <w:t>.6-8采暖通风及空气调节检查表</w:t>
      </w:r>
    </w:p>
    <w:tbl>
      <w:tblPr>
        <w:tblStyle w:val="29"/>
        <w:tblW w:w="5096"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671"/>
        <w:gridCol w:w="2906"/>
        <w:gridCol w:w="2112"/>
        <w:gridCol w:w="2027"/>
        <w:gridCol w:w="97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397" w:hRule="atLeast"/>
          <w:tblHeader/>
          <w:jc w:val="center"/>
        </w:trPr>
        <w:tc>
          <w:tcPr>
            <w:tcW w:w="386" w:type="pct"/>
            <w:tcBorders>
              <w:tl2br w:val="nil"/>
              <w:tr2bl w:val="nil"/>
            </w:tcBorders>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序号</w:t>
            </w:r>
          </w:p>
        </w:tc>
        <w:tc>
          <w:tcPr>
            <w:tcW w:w="1672" w:type="pct"/>
            <w:tcBorders>
              <w:tl2br w:val="nil"/>
              <w:tr2bl w:val="nil"/>
            </w:tcBorders>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检查内容</w:t>
            </w:r>
          </w:p>
        </w:tc>
        <w:tc>
          <w:tcPr>
            <w:tcW w:w="1215" w:type="pct"/>
            <w:tcBorders>
              <w:tl2br w:val="nil"/>
              <w:tr2bl w:val="nil"/>
            </w:tcBorders>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依据标准</w:t>
            </w:r>
          </w:p>
        </w:tc>
        <w:tc>
          <w:tcPr>
            <w:tcW w:w="1166" w:type="pct"/>
            <w:tcBorders>
              <w:tl2br w:val="nil"/>
              <w:tr2bl w:val="nil"/>
            </w:tcBorders>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检查情况</w:t>
            </w:r>
          </w:p>
        </w:tc>
        <w:tc>
          <w:tcPr>
            <w:tcW w:w="558" w:type="pct"/>
            <w:tcBorders>
              <w:tl2br w:val="nil"/>
              <w:tr2bl w:val="nil"/>
            </w:tcBorders>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结论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6" w:type="pct"/>
            <w:tcBorders>
              <w:tl2br w:val="nil"/>
              <w:tr2bl w:val="nil"/>
            </w:tcBorders>
            <w:vAlign w:val="center"/>
          </w:tcPr>
          <w:p>
            <w:pPr>
              <w:numPr>
                <w:ilvl w:val="0"/>
                <w:numId w:val="69"/>
              </w:numPr>
              <w:spacing w:line="240" w:lineRule="auto"/>
              <w:ind w:firstLine="0" w:firstLineChars="0"/>
              <w:jc w:val="center"/>
              <w:rPr>
                <w:rFonts w:ascii="宋体" w:hAnsi="宋体" w:cs="宋体"/>
                <w:b/>
                <w:bCs/>
                <w:sz w:val="21"/>
                <w:szCs w:val="21"/>
              </w:rPr>
            </w:pPr>
          </w:p>
        </w:tc>
        <w:tc>
          <w:tcPr>
            <w:tcW w:w="1672" w:type="pct"/>
            <w:tcBorders>
              <w:tl2br w:val="nil"/>
              <w:tr2bl w:val="nil"/>
            </w:tcBorders>
            <w:vAlign w:val="center"/>
          </w:tcPr>
          <w:p>
            <w:pPr>
              <w:spacing w:line="240" w:lineRule="auto"/>
              <w:ind w:firstLine="0" w:firstLineChars="0"/>
              <w:jc w:val="both"/>
              <w:rPr>
                <w:rFonts w:ascii="宋体" w:hAnsi="宋体" w:cs="宋体"/>
                <w:sz w:val="21"/>
                <w:szCs w:val="21"/>
              </w:rPr>
            </w:pPr>
            <w:r>
              <w:rPr>
                <w:rFonts w:hint="eastAsia" w:ascii="宋体" w:hAnsi="宋体" w:cs="宋体"/>
                <w:sz w:val="21"/>
                <w:szCs w:val="21"/>
              </w:rPr>
              <w:t>厂房建筑方位应能使室内有良好的自然通风和自然采光，相邻两建筑物的间距一般不小于二者中较高建筑物的高度；</w:t>
            </w:r>
          </w:p>
        </w:tc>
        <w:tc>
          <w:tcPr>
            <w:tcW w:w="1215" w:type="pct"/>
            <w:tcBorders>
              <w:tl2br w:val="nil"/>
              <w:tr2bl w:val="nil"/>
            </w:tcBorders>
            <w:vAlign w:val="center"/>
          </w:tcPr>
          <w:p>
            <w:pPr>
              <w:spacing w:line="300" w:lineRule="exact"/>
              <w:ind w:firstLine="0" w:firstLineChars="0"/>
              <w:jc w:val="center"/>
              <w:rPr>
                <w:rFonts w:cs="Times New Roman"/>
                <w:sz w:val="20"/>
                <w:szCs w:val="20"/>
              </w:rPr>
            </w:pPr>
            <w:r>
              <w:rPr>
                <w:rFonts w:hint="eastAsia" w:cs="Times New Roman"/>
                <w:sz w:val="20"/>
                <w:szCs w:val="20"/>
              </w:rPr>
              <w:t>《工业企业设计卫生标准》（GBZ1-2010）5.3.1</w:t>
            </w:r>
          </w:p>
        </w:tc>
        <w:tc>
          <w:tcPr>
            <w:tcW w:w="1166" w:type="pct"/>
            <w:tcBorders>
              <w:tl2br w:val="nil"/>
              <w:tr2bl w:val="nil"/>
            </w:tcBorders>
            <w:vAlign w:val="center"/>
          </w:tcPr>
          <w:p>
            <w:pPr>
              <w:spacing w:line="240" w:lineRule="auto"/>
              <w:ind w:firstLine="0" w:firstLineChars="0"/>
              <w:jc w:val="both"/>
              <w:rPr>
                <w:rFonts w:ascii="宋体" w:hAnsi="宋体" w:cs="宋体"/>
                <w:sz w:val="21"/>
                <w:szCs w:val="21"/>
              </w:rPr>
            </w:pPr>
            <w:r>
              <w:rPr>
                <w:rFonts w:hint="eastAsia" w:ascii="宋体" w:hAnsi="宋体" w:cs="宋体"/>
                <w:sz w:val="21"/>
                <w:szCs w:val="21"/>
              </w:rPr>
              <w:t>生产车间设计有一定面积的采光天窗和侧窗，通风良好。</w:t>
            </w:r>
          </w:p>
        </w:tc>
        <w:tc>
          <w:tcPr>
            <w:tcW w:w="558" w:type="pct"/>
            <w:tcBorders>
              <w:tl2br w:val="nil"/>
              <w:tr2bl w:val="nil"/>
            </w:tcBorders>
            <w:vAlign w:val="center"/>
          </w:tcPr>
          <w:p>
            <w:pPr>
              <w:adjustRightInd w:val="0"/>
              <w:snapToGrid w:val="0"/>
              <w:ind w:firstLine="0" w:firstLineChars="0"/>
              <w:jc w:val="center"/>
              <w:rPr>
                <w:rFonts w:cs="Times New Roman"/>
                <w:sz w:val="20"/>
                <w:szCs w:val="20"/>
              </w:rPr>
            </w:pPr>
            <w:r>
              <w:rPr>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6" w:type="pct"/>
            <w:tcBorders>
              <w:tl2br w:val="nil"/>
              <w:tr2bl w:val="nil"/>
            </w:tcBorders>
            <w:vAlign w:val="center"/>
          </w:tcPr>
          <w:p>
            <w:pPr>
              <w:numPr>
                <w:ilvl w:val="0"/>
                <w:numId w:val="69"/>
              </w:numPr>
              <w:spacing w:line="240" w:lineRule="auto"/>
              <w:ind w:firstLine="0" w:firstLineChars="0"/>
              <w:jc w:val="center"/>
              <w:rPr>
                <w:rFonts w:ascii="宋体" w:hAnsi="宋体" w:cs="宋体"/>
                <w:b/>
                <w:bCs/>
                <w:sz w:val="21"/>
                <w:szCs w:val="21"/>
              </w:rPr>
            </w:pPr>
          </w:p>
        </w:tc>
        <w:tc>
          <w:tcPr>
            <w:tcW w:w="1672" w:type="pct"/>
            <w:tcBorders>
              <w:tl2br w:val="nil"/>
              <w:tr2bl w:val="nil"/>
            </w:tcBorders>
            <w:vAlign w:val="center"/>
          </w:tcPr>
          <w:p>
            <w:pPr>
              <w:spacing w:line="240" w:lineRule="auto"/>
              <w:ind w:firstLine="0" w:firstLineChars="0"/>
              <w:jc w:val="both"/>
              <w:rPr>
                <w:rFonts w:ascii="宋体" w:hAnsi="宋体" w:cs="宋体"/>
                <w:sz w:val="21"/>
                <w:szCs w:val="21"/>
              </w:rPr>
            </w:pPr>
            <w:r>
              <w:rPr>
                <w:rFonts w:hint="eastAsia" w:ascii="宋体" w:hAnsi="宋体" w:cs="宋体"/>
                <w:sz w:val="21"/>
                <w:szCs w:val="21"/>
              </w:rPr>
              <w:t>高温、热加工、有特殊要求和人员较多的建筑物应避免西晒。厂房侧窗上方宜设置遮阳、遮雨的固定板（棚），避免阳光直射，方便雨天通风。</w:t>
            </w:r>
          </w:p>
        </w:tc>
        <w:tc>
          <w:tcPr>
            <w:tcW w:w="1215" w:type="pct"/>
            <w:tcBorders>
              <w:tl2br w:val="nil"/>
              <w:tr2bl w:val="nil"/>
            </w:tcBorders>
            <w:vAlign w:val="center"/>
          </w:tcPr>
          <w:p>
            <w:pPr>
              <w:spacing w:line="300" w:lineRule="exact"/>
              <w:ind w:firstLine="0" w:firstLineChars="0"/>
              <w:jc w:val="center"/>
              <w:rPr>
                <w:rFonts w:cs="Times New Roman"/>
                <w:sz w:val="20"/>
                <w:szCs w:val="20"/>
              </w:rPr>
            </w:pPr>
            <w:r>
              <w:rPr>
                <w:rFonts w:hint="eastAsia" w:cs="Times New Roman"/>
                <w:sz w:val="20"/>
                <w:szCs w:val="20"/>
              </w:rPr>
              <w:t>《工业企业设计卫生标准》（GBZ1-2010）</w:t>
            </w:r>
            <w:r>
              <w:rPr>
                <w:rFonts w:hint="eastAsia" w:ascii="宋体" w:hAnsi="宋体" w:cs="宋体"/>
                <w:sz w:val="21"/>
                <w:szCs w:val="21"/>
              </w:rPr>
              <w:t>5.3.3</w:t>
            </w:r>
          </w:p>
        </w:tc>
        <w:tc>
          <w:tcPr>
            <w:tcW w:w="1166" w:type="pct"/>
            <w:tcBorders>
              <w:tl2br w:val="nil"/>
              <w:tr2bl w:val="nil"/>
            </w:tcBorders>
            <w:vAlign w:val="center"/>
          </w:tcPr>
          <w:p>
            <w:pPr>
              <w:spacing w:line="240" w:lineRule="auto"/>
              <w:ind w:firstLine="0" w:firstLineChars="0"/>
              <w:jc w:val="both"/>
              <w:rPr>
                <w:rFonts w:ascii="宋体" w:hAnsi="宋体" w:cs="宋体"/>
                <w:sz w:val="21"/>
                <w:szCs w:val="21"/>
              </w:rPr>
            </w:pPr>
            <w:r>
              <w:rPr>
                <w:rFonts w:hint="eastAsia" w:ascii="宋体" w:hAnsi="宋体" w:cs="宋体"/>
                <w:sz w:val="21"/>
                <w:szCs w:val="21"/>
              </w:rPr>
              <w:t>高温、热加工、有特殊要求和人员较多的建筑物设置能够避免西晒。侧窗上方设置遮阳、遮雨的固定板（棚）。</w:t>
            </w:r>
          </w:p>
        </w:tc>
        <w:tc>
          <w:tcPr>
            <w:tcW w:w="558" w:type="pct"/>
            <w:tcBorders>
              <w:tl2br w:val="nil"/>
              <w:tr2bl w:val="nil"/>
            </w:tcBorders>
            <w:vAlign w:val="center"/>
          </w:tcPr>
          <w:p>
            <w:pPr>
              <w:adjustRightInd w:val="0"/>
              <w:snapToGrid w:val="0"/>
              <w:ind w:firstLine="0" w:firstLineChars="0"/>
              <w:jc w:val="center"/>
              <w:rPr>
                <w:sz w:val="20"/>
                <w:szCs w:val="20"/>
              </w:rPr>
            </w:pPr>
            <w:r>
              <w:rPr>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6" w:type="pct"/>
            <w:tcBorders>
              <w:tl2br w:val="nil"/>
              <w:tr2bl w:val="nil"/>
            </w:tcBorders>
            <w:vAlign w:val="center"/>
          </w:tcPr>
          <w:p>
            <w:pPr>
              <w:numPr>
                <w:ilvl w:val="0"/>
                <w:numId w:val="69"/>
              </w:numPr>
              <w:spacing w:line="240" w:lineRule="auto"/>
              <w:ind w:firstLine="0" w:firstLineChars="0"/>
              <w:jc w:val="center"/>
              <w:rPr>
                <w:rFonts w:ascii="宋体" w:hAnsi="宋体" w:cs="宋体"/>
                <w:b/>
                <w:bCs/>
                <w:sz w:val="21"/>
                <w:szCs w:val="21"/>
              </w:rPr>
            </w:pPr>
          </w:p>
        </w:tc>
        <w:tc>
          <w:tcPr>
            <w:tcW w:w="1672" w:type="pct"/>
            <w:tcBorders>
              <w:tl2br w:val="nil"/>
              <w:tr2bl w:val="nil"/>
            </w:tcBorders>
            <w:vAlign w:val="center"/>
          </w:tcPr>
          <w:p>
            <w:pPr>
              <w:spacing w:line="240" w:lineRule="auto"/>
              <w:ind w:firstLine="0" w:firstLineChars="0"/>
              <w:jc w:val="both"/>
              <w:rPr>
                <w:rFonts w:ascii="宋体" w:hAnsi="宋体" w:cs="宋体"/>
                <w:sz w:val="21"/>
                <w:szCs w:val="21"/>
              </w:rPr>
            </w:pPr>
            <w:r>
              <w:rPr>
                <w:rFonts w:hint="eastAsia" w:ascii="宋体" w:hAnsi="宋体" w:cs="宋体"/>
                <w:sz w:val="21"/>
                <w:szCs w:val="21"/>
              </w:rPr>
              <w:t>车间办公室宜靠近厂房布置，但不宜与处理危险、有毒物质的场所相邻。应满足采光、照明、通风、隔声等要求。</w:t>
            </w:r>
          </w:p>
        </w:tc>
        <w:tc>
          <w:tcPr>
            <w:tcW w:w="1215" w:type="pct"/>
            <w:tcBorders>
              <w:tl2br w:val="nil"/>
              <w:tr2bl w:val="nil"/>
            </w:tcBorders>
            <w:vAlign w:val="center"/>
          </w:tcPr>
          <w:p>
            <w:pPr>
              <w:spacing w:line="300" w:lineRule="exact"/>
              <w:ind w:firstLine="0" w:firstLineChars="0"/>
              <w:jc w:val="center"/>
              <w:rPr>
                <w:rFonts w:cs="Times New Roman"/>
                <w:sz w:val="20"/>
                <w:szCs w:val="20"/>
              </w:rPr>
            </w:pPr>
            <w:r>
              <w:rPr>
                <w:rFonts w:hint="eastAsia" w:cs="Times New Roman"/>
                <w:sz w:val="20"/>
                <w:szCs w:val="20"/>
              </w:rPr>
              <w:t>《工业企业设计卫生标准》（GBZ1-2010）5.3.5</w:t>
            </w:r>
          </w:p>
        </w:tc>
        <w:tc>
          <w:tcPr>
            <w:tcW w:w="1166" w:type="pct"/>
            <w:tcBorders>
              <w:tl2br w:val="nil"/>
              <w:tr2bl w:val="nil"/>
            </w:tcBorders>
            <w:vAlign w:val="center"/>
          </w:tcPr>
          <w:p>
            <w:pPr>
              <w:spacing w:line="240" w:lineRule="auto"/>
              <w:ind w:firstLine="0" w:firstLineChars="0"/>
              <w:jc w:val="both"/>
              <w:rPr>
                <w:rFonts w:ascii="宋体" w:hAnsi="宋体" w:cs="宋体"/>
                <w:sz w:val="21"/>
                <w:szCs w:val="21"/>
              </w:rPr>
            </w:pPr>
            <w:r>
              <w:rPr>
                <w:rFonts w:hint="eastAsia" w:ascii="宋体" w:hAnsi="宋体" w:cs="宋体"/>
                <w:sz w:val="21"/>
                <w:szCs w:val="21"/>
              </w:rPr>
              <w:t>该项目办公室距离生产区有一定距离，满足采光、照明、通风、隔声等要求。</w:t>
            </w:r>
          </w:p>
        </w:tc>
        <w:tc>
          <w:tcPr>
            <w:tcW w:w="558" w:type="pct"/>
            <w:tcBorders>
              <w:tl2br w:val="nil"/>
              <w:tr2bl w:val="nil"/>
            </w:tcBorders>
            <w:vAlign w:val="center"/>
          </w:tcPr>
          <w:p>
            <w:pPr>
              <w:adjustRightInd w:val="0"/>
              <w:snapToGrid w:val="0"/>
              <w:ind w:firstLine="0" w:firstLineChars="0"/>
              <w:jc w:val="center"/>
              <w:rPr>
                <w:rFonts w:cs="Times New Roman"/>
                <w:sz w:val="20"/>
                <w:szCs w:val="20"/>
              </w:rPr>
            </w:pPr>
            <w:r>
              <w:rPr>
                <w:sz w:val="20"/>
                <w:szCs w:val="20"/>
              </w:rPr>
              <w:t>符合</w:t>
            </w:r>
          </w:p>
        </w:tc>
      </w:tr>
    </w:tbl>
    <w:p>
      <w:pPr>
        <w:ind w:firstLine="560"/>
        <w:rPr>
          <w:rFonts w:asciiTheme="minorHAnsi" w:hAnsiTheme="minorHAnsi" w:eastAsiaTheme="minorEastAsia"/>
          <w:b/>
          <w:sz w:val="32"/>
          <w:szCs w:val="32"/>
        </w:rPr>
      </w:pPr>
      <w:r>
        <w:rPr>
          <w:rFonts w:hint="eastAsia"/>
        </w:rPr>
        <w:t>项目</w:t>
      </w:r>
      <w:r>
        <w:t>生产厂房采用自然通风，采光、照明由人工照明和自然采光组成。</w:t>
      </w:r>
    </w:p>
    <w:p>
      <w:pPr>
        <w:pStyle w:val="5"/>
        <w:spacing w:before="156" w:after="156"/>
      </w:pPr>
      <w:bookmarkStart w:id="324" w:name="_Toc24127"/>
      <w:r>
        <w:t>特种设备</w:t>
      </w:r>
      <w:r>
        <w:rPr>
          <w:rFonts w:hint="eastAsia"/>
        </w:rPr>
        <w:t>设施</w:t>
      </w:r>
      <w:r>
        <w:t>及强制检测设备设施单元</w:t>
      </w:r>
      <w:bookmarkEnd w:id="318"/>
      <w:bookmarkEnd w:id="319"/>
      <w:bookmarkEnd w:id="320"/>
      <w:bookmarkEnd w:id="324"/>
    </w:p>
    <w:p>
      <w:pPr>
        <w:pStyle w:val="6"/>
        <w:spacing w:before="156" w:after="156"/>
      </w:pPr>
      <w:bookmarkStart w:id="325" w:name="_Toc20326"/>
      <w:r>
        <w:t>特种设备</w:t>
      </w:r>
      <w:r>
        <w:rPr>
          <w:rFonts w:hint="eastAsia"/>
        </w:rPr>
        <w:t>设施</w:t>
      </w:r>
      <w:bookmarkEnd w:id="325"/>
    </w:p>
    <w:p>
      <w:pPr>
        <w:ind w:firstLine="560"/>
      </w:pPr>
      <w:r>
        <w:rPr>
          <w:rFonts w:hint="eastAsia" w:ascii="宋体" w:hAnsi="宋体" w:cs="宋体"/>
        </w:rPr>
        <w:t>本项目涉及的特种设备有：起重设备、压力容器、叉车，根据《中华人民共和国特种设备安全法》《特种设备安全监察条例》《固定式压力容器安全技术监察规程》（TSG 21-2016/XG1-2020）、《起重机械安全技术规程》（</w:t>
      </w:r>
      <w:r>
        <w:rPr>
          <w:rFonts w:hint="eastAsia" w:ascii="宋体" w:hAnsi="宋体" w:cs="宋体"/>
          <w:lang w:eastAsia="zh-CN"/>
        </w:rPr>
        <w:t>TSG 51-2023</w:t>
      </w:r>
      <w:r>
        <w:rPr>
          <w:rFonts w:hint="eastAsia" w:ascii="宋体" w:hAnsi="宋体" w:cs="宋体"/>
        </w:rPr>
        <w:t>）、《场（厂）内专用机动车辆安全技术规程》（TSG 81-2022）等法律法规、标准规范的相关要求对本项目特种设备的情况进行检查。</w:t>
      </w:r>
    </w:p>
    <w:p>
      <w:pPr>
        <w:pStyle w:val="14"/>
        <w:spacing w:before="156" w:after="156"/>
      </w:pPr>
      <w:r>
        <w:t xml:space="preserve">表 </w:t>
      </w:r>
      <w:r>
        <w:fldChar w:fldCharType="begin"/>
      </w:r>
      <w:r>
        <w:instrText xml:space="preserve"> STYLEREF 2 \s </w:instrText>
      </w:r>
      <w:r>
        <w:fldChar w:fldCharType="separate"/>
      </w:r>
      <w:r>
        <w:t>5.7</w:t>
      </w:r>
      <w:r>
        <w:fldChar w:fldCharType="end"/>
      </w:r>
      <w:r>
        <w:rPr>
          <w:rFonts w:hint="eastAsia"/>
        </w:rPr>
        <w:t>-</w:t>
      </w:r>
      <w:r>
        <w:fldChar w:fldCharType="begin"/>
      </w:r>
      <w:r>
        <w:instrText xml:space="preserve"> SEQ 表 \* ARABIC \s 2 </w:instrText>
      </w:r>
      <w:r>
        <w:fldChar w:fldCharType="separate"/>
      </w:r>
      <w:r>
        <w:t>1</w:t>
      </w:r>
      <w:r>
        <w:fldChar w:fldCharType="end"/>
      </w:r>
      <w:r>
        <w:rPr>
          <w:rFonts w:hint="eastAsia"/>
        </w:rPr>
        <w:t>特种设备设施</w:t>
      </w:r>
      <w:r>
        <w:t>及强制检测设备设施</w:t>
      </w:r>
      <w:r>
        <w:rPr>
          <w:rFonts w:hint="eastAsia"/>
        </w:rPr>
        <w:t>单元</w:t>
      </w:r>
      <w:r>
        <w:t>符合性</w:t>
      </w:r>
      <w:r>
        <w:rPr>
          <w:rFonts w:hint="eastAsia"/>
        </w:rPr>
        <w:t>安全检查表</w:t>
      </w:r>
    </w:p>
    <w:tbl>
      <w:tblPr>
        <w:tblStyle w:val="29"/>
        <w:tblW w:w="5096"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48"/>
        <w:gridCol w:w="3276"/>
        <w:gridCol w:w="2333"/>
        <w:gridCol w:w="1708"/>
        <w:gridCol w:w="72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43" w:hRule="atLeast"/>
          <w:tblHeader/>
          <w:jc w:val="center"/>
        </w:trPr>
        <w:tc>
          <w:tcPr>
            <w:tcW w:w="373" w:type="pct"/>
            <w:tcBorders>
              <w:tl2br w:val="nil"/>
              <w:tr2bl w:val="nil"/>
            </w:tcBorders>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序号</w:t>
            </w:r>
          </w:p>
        </w:tc>
        <w:tc>
          <w:tcPr>
            <w:tcW w:w="1885" w:type="pct"/>
            <w:tcBorders>
              <w:tl2br w:val="nil"/>
              <w:tr2bl w:val="nil"/>
            </w:tcBorders>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检查内容</w:t>
            </w:r>
          </w:p>
        </w:tc>
        <w:tc>
          <w:tcPr>
            <w:tcW w:w="1342" w:type="pct"/>
            <w:tcBorders>
              <w:tl2br w:val="nil"/>
              <w:tr2bl w:val="nil"/>
            </w:tcBorders>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依据标准</w:t>
            </w:r>
          </w:p>
        </w:tc>
        <w:tc>
          <w:tcPr>
            <w:tcW w:w="983" w:type="pct"/>
            <w:tcBorders>
              <w:tl2br w:val="nil"/>
              <w:tr2bl w:val="nil"/>
            </w:tcBorders>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检查情况</w:t>
            </w:r>
          </w:p>
        </w:tc>
        <w:tc>
          <w:tcPr>
            <w:tcW w:w="415" w:type="pct"/>
            <w:tcBorders>
              <w:tl2br w:val="nil"/>
              <w:tr2bl w:val="nil"/>
            </w:tcBorders>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结论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3" w:type="pct"/>
            <w:tcBorders>
              <w:tl2br w:val="nil"/>
              <w:tr2bl w:val="nil"/>
            </w:tcBorders>
            <w:vAlign w:val="center"/>
          </w:tcPr>
          <w:p>
            <w:pPr>
              <w:numPr>
                <w:ilvl w:val="0"/>
                <w:numId w:val="70"/>
              </w:numPr>
              <w:spacing w:line="240" w:lineRule="auto"/>
              <w:ind w:firstLine="0" w:firstLineChars="0"/>
              <w:jc w:val="center"/>
              <w:rPr>
                <w:rFonts w:ascii="宋体" w:hAnsi="宋体" w:cs="宋体"/>
                <w:b/>
                <w:bCs/>
                <w:sz w:val="21"/>
                <w:szCs w:val="21"/>
              </w:rPr>
            </w:pPr>
          </w:p>
        </w:tc>
        <w:tc>
          <w:tcPr>
            <w:tcW w:w="1885" w:type="pct"/>
            <w:tcBorders>
              <w:tl2br w:val="nil"/>
              <w:tr2bl w:val="nil"/>
            </w:tcBorders>
            <w:vAlign w:val="center"/>
          </w:tcPr>
          <w:p>
            <w:pPr>
              <w:spacing w:line="240" w:lineRule="auto"/>
              <w:ind w:firstLine="0" w:firstLineChars="0"/>
              <w:jc w:val="both"/>
              <w:rPr>
                <w:rFonts w:ascii="宋体" w:hAnsi="宋体" w:cs="宋体"/>
                <w:sz w:val="21"/>
                <w:szCs w:val="21"/>
              </w:rPr>
            </w:pPr>
            <w:r>
              <w:rPr>
                <w:rFonts w:hint="eastAsia" w:ascii="宋体" w:hAnsi="宋体" w:cs="宋体"/>
                <w:sz w:val="21"/>
                <w:szCs w:val="21"/>
              </w:rPr>
              <w:t>特种设备使用单位应当使用取得许可生产并经检验合格的特种设备。禁止使用国家明令淘汰和已经报废的特种设备。</w:t>
            </w:r>
          </w:p>
        </w:tc>
        <w:tc>
          <w:tcPr>
            <w:tcW w:w="1342" w:type="pct"/>
            <w:tcBorders>
              <w:tl2br w:val="nil"/>
              <w:tr2bl w:val="nil"/>
            </w:tcBorders>
            <w:vAlign w:val="center"/>
          </w:tcPr>
          <w:p>
            <w:pPr>
              <w:spacing w:line="240" w:lineRule="auto"/>
              <w:ind w:firstLine="0" w:firstLineChars="0"/>
              <w:jc w:val="center"/>
              <w:rPr>
                <w:rFonts w:cs="Times New Roman"/>
                <w:sz w:val="20"/>
                <w:szCs w:val="20"/>
              </w:rPr>
            </w:pPr>
            <w:r>
              <w:rPr>
                <w:rFonts w:hint="eastAsia" w:cs="Times New Roman"/>
                <w:sz w:val="20"/>
                <w:szCs w:val="20"/>
              </w:rPr>
              <w:t>《中华人民共和国特种设备安全法》</w:t>
            </w:r>
          </w:p>
          <w:p>
            <w:pPr>
              <w:spacing w:line="240" w:lineRule="auto"/>
              <w:ind w:firstLine="0" w:firstLineChars="0"/>
              <w:jc w:val="center"/>
              <w:rPr>
                <w:rFonts w:cs="Times New Roman"/>
                <w:sz w:val="20"/>
                <w:szCs w:val="20"/>
              </w:rPr>
            </w:pPr>
            <w:r>
              <w:rPr>
                <w:rFonts w:hint="eastAsia" w:cs="Times New Roman"/>
                <w:sz w:val="20"/>
                <w:szCs w:val="20"/>
              </w:rPr>
              <w:t>（中华人民共和国主席令第4号）</w:t>
            </w:r>
          </w:p>
          <w:p>
            <w:pPr>
              <w:spacing w:line="240" w:lineRule="auto"/>
              <w:ind w:firstLine="0" w:firstLineChars="0"/>
              <w:jc w:val="center"/>
              <w:rPr>
                <w:rFonts w:cs="Times New Roman"/>
                <w:sz w:val="20"/>
                <w:szCs w:val="20"/>
              </w:rPr>
            </w:pPr>
            <w:r>
              <w:rPr>
                <w:rFonts w:hint="eastAsia" w:cs="Times New Roman"/>
                <w:sz w:val="20"/>
                <w:szCs w:val="20"/>
              </w:rPr>
              <w:t>第三十二条</w:t>
            </w:r>
          </w:p>
        </w:tc>
        <w:tc>
          <w:tcPr>
            <w:tcW w:w="983" w:type="pct"/>
            <w:tcBorders>
              <w:tl2br w:val="nil"/>
              <w:tr2bl w:val="nil"/>
            </w:tcBorders>
            <w:vAlign w:val="center"/>
          </w:tcPr>
          <w:p>
            <w:pPr>
              <w:spacing w:line="240" w:lineRule="auto"/>
              <w:ind w:firstLine="0" w:firstLineChars="0"/>
              <w:jc w:val="both"/>
              <w:rPr>
                <w:rFonts w:ascii="宋体" w:hAnsi="宋体" w:cs="宋体"/>
                <w:sz w:val="21"/>
                <w:szCs w:val="21"/>
              </w:rPr>
            </w:pPr>
            <w:r>
              <w:rPr>
                <w:rFonts w:hint="eastAsia" w:ascii="宋体" w:hAnsi="宋体" w:cs="宋体"/>
                <w:sz w:val="21"/>
                <w:szCs w:val="21"/>
              </w:rPr>
              <w:t>企业未使用国家明令淘汰和已经报废的特种设备。</w:t>
            </w:r>
          </w:p>
        </w:tc>
        <w:tc>
          <w:tcPr>
            <w:tcW w:w="415" w:type="pct"/>
            <w:tcBorders>
              <w:tl2br w:val="nil"/>
              <w:tr2bl w:val="nil"/>
            </w:tcBorders>
            <w:vAlign w:val="center"/>
          </w:tcPr>
          <w:p>
            <w:pPr>
              <w:pStyle w:val="57"/>
              <w:widowControl w:val="0"/>
              <w:adjustRightInd/>
              <w:spacing w:line="240" w:lineRule="auto"/>
              <w:textAlignment w:val="auto"/>
              <w:rPr>
                <w:bCs/>
                <w:sz w:val="20"/>
              </w:rPr>
            </w:pPr>
            <w:r>
              <w:rPr>
                <w:bCs/>
                <w:sz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3" w:type="pct"/>
            <w:tcBorders>
              <w:tl2br w:val="nil"/>
              <w:tr2bl w:val="nil"/>
            </w:tcBorders>
            <w:vAlign w:val="center"/>
          </w:tcPr>
          <w:p>
            <w:pPr>
              <w:numPr>
                <w:ilvl w:val="0"/>
                <w:numId w:val="70"/>
              </w:numPr>
              <w:spacing w:line="240" w:lineRule="auto"/>
              <w:ind w:firstLine="0" w:firstLineChars="0"/>
              <w:jc w:val="center"/>
              <w:rPr>
                <w:rFonts w:ascii="宋体" w:hAnsi="宋体" w:cs="宋体"/>
                <w:b/>
                <w:bCs/>
                <w:sz w:val="21"/>
                <w:szCs w:val="21"/>
              </w:rPr>
            </w:pPr>
          </w:p>
        </w:tc>
        <w:tc>
          <w:tcPr>
            <w:tcW w:w="1885" w:type="pct"/>
            <w:tcBorders>
              <w:tl2br w:val="nil"/>
              <w:tr2bl w:val="nil"/>
            </w:tcBorders>
            <w:vAlign w:val="center"/>
          </w:tcPr>
          <w:p>
            <w:pPr>
              <w:spacing w:line="240" w:lineRule="auto"/>
              <w:ind w:firstLine="0" w:firstLineChars="0"/>
              <w:jc w:val="both"/>
              <w:rPr>
                <w:rFonts w:ascii="宋体" w:hAnsi="宋体" w:cs="宋体"/>
                <w:sz w:val="21"/>
                <w:szCs w:val="21"/>
              </w:rPr>
            </w:pPr>
            <w:r>
              <w:rPr>
                <w:rFonts w:hint="eastAsia" w:ascii="宋体" w:hAnsi="宋体" w:cs="宋体"/>
                <w:sz w:val="21"/>
                <w:szCs w:val="21"/>
              </w:rPr>
              <w:t>特种设备使用单位应当在特种设备投入使用前或者投入使用后三十日内，向负责特种设备安全监督管理的部门办理使用登记，取得使用登记证书。登记标志应当置于该特种设备的显著位置。</w:t>
            </w:r>
          </w:p>
        </w:tc>
        <w:tc>
          <w:tcPr>
            <w:tcW w:w="1342" w:type="pct"/>
            <w:tcBorders>
              <w:tl2br w:val="nil"/>
              <w:tr2bl w:val="nil"/>
            </w:tcBorders>
            <w:vAlign w:val="center"/>
          </w:tcPr>
          <w:p>
            <w:pPr>
              <w:spacing w:line="240" w:lineRule="auto"/>
              <w:ind w:firstLine="0" w:firstLineChars="0"/>
              <w:jc w:val="center"/>
              <w:rPr>
                <w:rFonts w:cs="Times New Roman"/>
                <w:sz w:val="20"/>
                <w:szCs w:val="20"/>
              </w:rPr>
            </w:pPr>
            <w:r>
              <w:rPr>
                <w:rFonts w:hint="eastAsia" w:cs="Times New Roman"/>
                <w:sz w:val="20"/>
                <w:szCs w:val="20"/>
              </w:rPr>
              <w:t>《中华人民共和国特种设备安全法》</w:t>
            </w:r>
          </w:p>
          <w:p>
            <w:pPr>
              <w:spacing w:line="240" w:lineRule="auto"/>
              <w:ind w:firstLine="0" w:firstLineChars="0"/>
              <w:jc w:val="center"/>
              <w:rPr>
                <w:rFonts w:cs="Times New Roman"/>
                <w:sz w:val="20"/>
                <w:szCs w:val="20"/>
              </w:rPr>
            </w:pPr>
            <w:r>
              <w:rPr>
                <w:rFonts w:hint="eastAsia" w:cs="Times New Roman"/>
                <w:sz w:val="20"/>
                <w:szCs w:val="20"/>
              </w:rPr>
              <w:t>（中华人民共和国主席令第4号）</w:t>
            </w:r>
          </w:p>
          <w:p>
            <w:pPr>
              <w:spacing w:line="240" w:lineRule="auto"/>
              <w:ind w:firstLine="0" w:firstLineChars="0"/>
              <w:jc w:val="center"/>
              <w:rPr>
                <w:rFonts w:cs="Times New Roman"/>
                <w:sz w:val="20"/>
                <w:szCs w:val="20"/>
              </w:rPr>
            </w:pPr>
            <w:r>
              <w:rPr>
                <w:rFonts w:hint="eastAsia" w:cs="Times New Roman"/>
                <w:sz w:val="20"/>
                <w:szCs w:val="20"/>
              </w:rPr>
              <w:t>第三十三条</w:t>
            </w:r>
          </w:p>
        </w:tc>
        <w:tc>
          <w:tcPr>
            <w:tcW w:w="983" w:type="pct"/>
            <w:tcBorders>
              <w:tl2br w:val="nil"/>
              <w:tr2bl w:val="nil"/>
            </w:tcBorders>
            <w:vAlign w:val="center"/>
          </w:tcPr>
          <w:p>
            <w:pPr>
              <w:spacing w:line="240" w:lineRule="auto"/>
              <w:ind w:firstLine="0" w:firstLineChars="0"/>
              <w:jc w:val="both"/>
              <w:rPr>
                <w:rFonts w:ascii="宋体" w:hAnsi="宋体" w:cs="宋体"/>
                <w:sz w:val="21"/>
                <w:szCs w:val="21"/>
              </w:rPr>
            </w:pPr>
            <w:r>
              <w:rPr>
                <w:rFonts w:hint="eastAsia" w:ascii="宋体" w:hAnsi="宋体" w:cs="宋体"/>
                <w:sz w:val="21"/>
                <w:szCs w:val="21"/>
              </w:rPr>
              <w:t>该项目叉车、起重设备、压力容器按要求登记，取得了注册登记使用证。</w:t>
            </w:r>
          </w:p>
        </w:tc>
        <w:tc>
          <w:tcPr>
            <w:tcW w:w="415" w:type="pct"/>
            <w:tcBorders>
              <w:tl2br w:val="nil"/>
              <w:tr2bl w:val="nil"/>
            </w:tcBorders>
            <w:vAlign w:val="center"/>
          </w:tcPr>
          <w:p>
            <w:pPr>
              <w:pStyle w:val="57"/>
              <w:widowControl w:val="0"/>
              <w:adjustRightInd/>
              <w:spacing w:line="240" w:lineRule="auto"/>
              <w:textAlignment w:val="auto"/>
              <w:rPr>
                <w:bCs/>
                <w:sz w:val="20"/>
              </w:rPr>
            </w:pPr>
            <w:r>
              <w:rPr>
                <w:bCs/>
                <w:sz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3" w:type="pct"/>
            <w:tcBorders>
              <w:tl2br w:val="nil"/>
              <w:tr2bl w:val="nil"/>
            </w:tcBorders>
            <w:vAlign w:val="center"/>
          </w:tcPr>
          <w:p>
            <w:pPr>
              <w:numPr>
                <w:ilvl w:val="0"/>
                <w:numId w:val="70"/>
              </w:numPr>
              <w:spacing w:line="240" w:lineRule="auto"/>
              <w:ind w:firstLine="0" w:firstLineChars="0"/>
              <w:jc w:val="center"/>
              <w:rPr>
                <w:rFonts w:ascii="宋体" w:hAnsi="宋体" w:cs="宋体"/>
                <w:b/>
                <w:bCs/>
                <w:sz w:val="21"/>
                <w:szCs w:val="21"/>
              </w:rPr>
            </w:pPr>
          </w:p>
        </w:tc>
        <w:tc>
          <w:tcPr>
            <w:tcW w:w="1885" w:type="pct"/>
            <w:tcBorders>
              <w:tl2br w:val="nil"/>
              <w:tr2bl w:val="nil"/>
            </w:tcBorders>
            <w:vAlign w:val="center"/>
          </w:tcPr>
          <w:p>
            <w:pPr>
              <w:spacing w:line="240" w:lineRule="auto"/>
              <w:ind w:firstLine="0" w:firstLineChars="0"/>
              <w:jc w:val="both"/>
              <w:rPr>
                <w:rFonts w:ascii="宋体" w:hAnsi="宋体" w:cs="宋体"/>
                <w:sz w:val="21"/>
                <w:szCs w:val="21"/>
              </w:rPr>
            </w:pPr>
            <w:r>
              <w:rPr>
                <w:rFonts w:hint="eastAsia" w:ascii="宋体" w:hAnsi="宋体" w:cs="宋体"/>
                <w:sz w:val="21"/>
                <w:szCs w:val="21"/>
              </w:rPr>
              <w:t>特种设备使用单位应当建立岗位责任、隐患治理、应急救援等安全管理制度，制定操作规程，保证特种设备安全运行。</w:t>
            </w:r>
          </w:p>
        </w:tc>
        <w:tc>
          <w:tcPr>
            <w:tcW w:w="1342" w:type="pct"/>
            <w:tcBorders>
              <w:tl2br w:val="nil"/>
              <w:tr2bl w:val="nil"/>
            </w:tcBorders>
            <w:vAlign w:val="center"/>
          </w:tcPr>
          <w:p>
            <w:pPr>
              <w:spacing w:line="240" w:lineRule="auto"/>
              <w:ind w:firstLine="0" w:firstLineChars="0"/>
              <w:jc w:val="center"/>
              <w:rPr>
                <w:rFonts w:cs="Times New Roman"/>
                <w:sz w:val="20"/>
                <w:szCs w:val="20"/>
              </w:rPr>
            </w:pPr>
            <w:r>
              <w:rPr>
                <w:rFonts w:hint="eastAsia" w:cs="Times New Roman"/>
                <w:sz w:val="20"/>
                <w:szCs w:val="20"/>
              </w:rPr>
              <w:t>《中华人民共和国特种设备安全法》</w:t>
            </w:r>
          </w:p>
          <w:p>
            <w:pPr>
              <w:spacing w:line="240" w:lineRule="auto"/>
              <w:ind w:firstLine="0" w:firstLineChars="0"/>
              <w:jc w:val="center"/>
              <w:rPr>
                <w:rFonts w:cs="Times New Roman"/>
                <w:sz w:val="20"/>
                <w:szCs w:val="20"/>
              </w:rPr>
            </w:pPr>
            <w:r>
              <w:rPr>
                <w:rFonts w:hint="eastAsia" w:cs="Times New Roman"/>
                <w:sz w:val="20"/>
                <w:szCs w:val="20"/>
              </w:rPr>
              <w:t>（中华人民共和国主席令第4号）</w:t>
            </w:r>
          </w:p>
          <w:p>
            <w:pPr>
              <w:spacing w:line="240" w:lineRule="auto"/>
              <w:ind w:firstLine="0" w:firstLineChars="0"/>
              <w:jc w:val="center"/>
              <w:rPr>
                <w:rFonts w:cs="Times New Roman"/>
                <w:sz w:val="20"/>
                <w:szCs w:val="20"/>
              </w:rPr>
            </w:pPr>
            <w:r>
              <w:rPr>
                <w:rFonts w:hint="eastAsia" w:cs="Times New Roman"/>
                <w:sz w:val="20"/>
                <w:szCs w:val="20"/>
              </w:rPr>
              <w:t>第三十四条</w:t>
            </w:r>
          </w:p>
        </w:tc>
        <w:tc>
          <w:tcPr>
            <w:tcW w:w="983" w:type="pct"/>
            <w:tcBorders>
              <w:tl2br w:val="nil"/>
              <w:tr2bl w:val="nil"/>
            </w:tcBorders>
            <w:vAlign w:val="center"/>
          </w:tcPr>
          <w:p>
            <w:pPr>
              <w:spacing w:line="240" w:lineRule="auto"/>
              <w:ind w:firstLine="0" w:firstLineChars="0"/>
              <w:jc w:val="both"/>
              <w:rPr>
                <w:rFonts w:ascii="宋体" w:hAnsi="宋体" w:cs="宋体"/>
                <w:sz w:val="21"/>
                <w:szCs w:val="21"/>
              </w:rPr>
            </w:pPr>
            <w:r>
              <w:rPr>
                <w:rFonts w:hint="eastAsia" w:ascii="宋体" w:hAnsi="宋体" w:cs="宋体"/>
                <w:sz w:val="21"/>
                <w:szCs w:val="21"/>
              </w:rPr>
              <w:t>企业已制定相应的规章制度和安全规程。</w:t>
            </w:r>
          </w:p>
        </w:tc>
        <w:tc>
          <w:tcPr>
            <w:tcW w:w="415" w:type="pct"/>
            <w:tcBorders>
              <w:tl2br w:val="nil"/>
              <w:tr2bl w:val="nil"/>
            </w:tcBorders>
            <w:vAlign w:val="center"/>
          </w:tcPr>
          <w:p>
            <w:pPr>
              <w:pStyle w:val="57"/>
              <w:widowControl w:val="0"/>
              <w:adjustRightInd/>
              <w:spacing w:line="240" w:lineRule="auto"/>
              <w:textAlignment w:val="auto"/>
              <w:rPr>
                <w:bCs/>
                <w:sz w:val="20"/>
              </w:rPr>
            </w:pPr>
            <w:r>
              <w:rPr>
                <w:bCs/>
                <w:sz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3" w:type="pct"/>
            <w:tcBorders>
              <w:tl2br w:val="nil"/>
              <w:tr2bl w:val="nil"/>
            </w:tcBorders>
            <w:vAlign w:val="center"/>
          </w:tcPr>
          <w:p>
            <w:pPr>
              <w:numPr>
                <w:ilvl w:val="0"/>
                <w:numId w:val="70"/>
              </w:numPr>
              <w:spacing w:line="240" w:lineRule="auto"/>
              <w:ind w:firstLine="0" w:firstLineChars="0"/>
              <w:jc w:val="center"/>
              <w:rPr>
                <w:rFonts w:ascii="宋体" w:hAnsi="宋体" w:cs="宋体"/>
                <w:b/>
                <w:bCs/>
                <w:sz w:val="21"/>
                <w:szCs w:val="21"/>
              </w:rPr>
            </w:pPr>
          </w:p>
        </w:tc>
        <w:tc>
          <w:tcPr>
            <w:tcW w:w="1885" w:type="pct"/>
            <w:tcBorders>
              <w:tl2br w:val="nil"/>
              <w:tr2bl w:val="nil"/>
            </w:tcBorders>
            <w:vAlign w:val="center"/>
          </w:tcPr>
          <w:p>
            <w:pPr>
              <w:spacing w:line="240" w:lineRule="auto"/>
              <w:ind w:firstLine="0" w:firstLineChars="0"/>
              <w:jc w:val="both"/>
              <w:rPr>
                <w:rFonts w:ascii="宋体" w:hAnsi="宋体" w:cs="宋体"/>
                <w:sz w:val="21"/>
                <w:szCs w:val="21"/>
              </w:rPr>
            </w:pPr>
            <w:r>
              <w:rPr>
                <w:rFonts w:hint="eastAsia" w:ascii="宋体" w:hAnsi="宋体" w:cs="宋体"/>
                <w:sz w:val="21"/>
                <w:szCs w:val="21"/>
              </w:rPr>
              <w:t>特种设备使用单位应当建立特种设备安全技术档案。安全技术档案应当包括以下内容：（一）特种设备的设计文件、产品质量合格证明、安装及使用维护保养说明、监督检验证明等相关技术资料和文件；（二）特种设备的定期检验和定期自行检查记录；（三）特种设备的日常使用状况记录；（四）特种设备及其附属仪器仪表的维护保养记录；（五）特种设备的运行故障和事故记录。</w:t>
            </w:r>
          </w:p>
        </w:tc>
        <w:tc>
          <w:tcPr>
            <w:tcW w:w="1342" w:type="pct"/>
            <w:tcBorders>
              <w:tl2br w:val="nil"/>
              <w:tr2bl w:val="nil"/>
            </w:tcBorders>
            <w:vAlign w:val="center"/>
          </w:tcPr>
          <w:p>
            <w:pPr>
              <w:spacing w:line="240" w:lineRule="auto"/>
              <w:ind w:firstLine="0" w:firstLineChars="0"/>
              <w:jc w:val="center"/>
              <w:rPr>
                <w:rFonts w:cs="Times New Roman"/>
                <w:sz w:val="20"/>
                <w:szCs w:val="20"/>
              </w:rPr>
            </w:pPr>
            <w:r>
              <w:rPr>
                <w:rFonts w:hint="eastAsia" w:cs="Times New Roman"/>
                <w:sz w:val="20"/>
                <w:szCs w:val="20"/>
              </w:rPr>
              <w:t>《中华人民共和国特种设备安全法》</w:t>
            </w:r>
          </w:p>
          <w:p>
            <w:pPr>
              <w:spacing w:line="240" w:lineRule="auto"/>
              <w:ind w:firstLine="0" w:firstLineChars="0"/>
              <w:jc w:val="center"/>
              <w:rPr>
                <w:rFonts w:cs="Times New Roman"/>
                <w:sz w:val="20"/>
                <w:szCs w:val="20"/>
              </w:rPr>
            </w:pPr>
            <w:r>
              <w:rPr>
                <w:rFonts w:hint="eastAsia" w:cs="Times New Roman"/>
                <w:sz w:val="20"/>
                <w:szCs w:val="20"/>
              </w:rPr>
              <w:t>（中华人民共和国主席令第4号）</w:t>
            </w:r>
          </w:p>
          <w:p>
            <w:pPr>
              <w:spacing w:line="240" w:lineRule="auto"/>
              <w:ind w:firstLine="0" w:firstLineChars="0"/>
              <w:jc w:val="center"/>
              <w:rPr>
                <w:rFonts w:cs="Times New Roman"/>
                <w:sz w:val="20"/>
                <w:szCs w:val="20"/>
              </w:rPr>
            </w:pPr>
            <w:r>
              <w:rPr>
                <w:rFonts w:hint="eastAsia" w:cs="Times New Roman"/>
                <w:sz w:val="20"/>
                <w:szCs w:val="20"/>
              </w:rPr>
              <w:t>第三十五条</w:t>
            </w:r>
          </w:p>
        </w:tc>
        <w:tc>
          <w:tcPr>
            <w:tcW w:w="983" w:type="pct"/>
            <w:tcBorders>
              <w:tl2br w:val="nil"/>
              <w:tr2bl w:val="nil"/>
            </w:tcBorders>
            <w:vAlign w:val="center"/>
          </w:tcPr>
          <w:p>
            <w:pPr>
              <w:spacing w:line="240" w:lineRule="auto"/>
              <w:ind w:firstLine="0" w:firstLineChars="0"/>
              <w:jc w:val="both"/>
              <w:rPr>
                <w:rFonts w:ascii="宋体" w:hAnsi="宋体" w:cs="宋体"/>
                <w:sz w:val="21"/>
                <w:szCs w:val="21"/>
              </w:rPr>
            </w:pPr>
            <w:r>
              <w:rPr>
                <w:rFonts w:hint="eastAsia" w:ascii="宋体" w:hAnsi="宋体" w:cs="宋体"/>
                <w:sz w:val="21"/>
                <w:szCs w:val="21"/>
              </w:rPr>
              <w:t>企业已建立特种设备技术档案。</w:t>
            </w:r>
          </w:p>
        </w:tc>
        <w:tc>
          <w:tcPr>
            <w:tcW w:w="415" w:type="pct"/>
            <w:tcBorders>
              <w:tl2br w:val="nil"/>
              <w:tr2bl w:val="nil"/>
            </w:tcBorders>
            <w:vAlign w:val="center"/>
          </w:tcPr>
          <w:p>
            <w:pPr>
              <w:pStyle w:val="57"/>
              <w:widowControl w:val="0"/>
              <w:adjustRightInd/>
              <w:spacing w:line="240" w:lineRule="auto"/>
              <w:textAlignment w:val="auto"/>
              <w:rPr>
                <w:bCs/>
                <w:sz w:val="20"/>
              </w:rPr>
            </w:pPr>
            <w:r>
              <w:rPr>
                <w:bCs/>
                <w:sz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3" w:type="pct"/>
            <w:tcBorders>
              <w:tl2br w:val="nil"/>
              <w:tr2bl w:val="nil"/>
            </w:tcBorders>
            <w:vAlign w:val="center"/>
          </w:tcPr>
          <w:p>
            <w:pPr>
              <w:numPr>
                <w:ilvl w:val="0"/>
                <w:numId w:val="70"/>
              </w:numPr>
              <w:spacing w:line="240" w:lineRule="auto"/>
              <w:ind w:firstLine="0" w:firstLineChars="0"/>
              <w:jc w:val="center"/>
              <w:rPr>
                <w:rFonts w:ascii="宋体" w:hAnsi="宋体" w:cs="宋体"/>
                <w:b/>
                <w:bCs/>
                <w:sz w:val="21"/>
                <w:szCs w:val="21"/>
              </w:rPr>
            </w:pPr>
          </w:p>
        </w:tc>
        <w:tc>
          <w:tcPr>
            <w:tcW w:w="1885" w:type="pct"/>
            <w:tcBorders>
              <w:tl2br w:val="nil"/>
              <w:tr2bl w:val="nil"/>
            </w:tcBorders>
            <w:vAlign w:val="center"/>
          </w:tcPr>
          <w:p>
            <w:pPr>
              <w:spacing w:line="240" w:lineRule="auto"/>
              <w:ind w:firstLine="0" w:firstLineChars="0"/>
              <w:jc w:val="both"/>
              <w:rPr>
                <w:rFonts w:ascii="宋体" w:hAnsi="宋体" w:cs="宋体"/>
                <w:sz w:val="21"/>
                <w:szCs w:val="21"/>
              </w:rPr>
            </w:pPr>
            <w:r>
              <w:rPr>
                <w:rFonts w:hint="eastAsia" w:ascii="宋体" w:hAnsi="宋体" w:cs="宋体"/>
                <w:sz w:val="21"/>
                <w:szCs w:val="21"/>
              </w:rPr>
              <w:t>特种设备的使用应当具有规定的安全距离、安全防护措施。与特种设备安全相关的建筑物、附属设施，应当符合有关法律、行政法规的规定。</w:t>
            </w:r>
          </w:p>
        </w:tc>
        <w:tc>
          <w:tcPr>
            <w:tcW w:w="1342" w:type="pct"/>
            <w:tcBorders>
              <w:tl2br w:val="nil"/>
              <w:tr2bl w:val="nil"/>
            </w:tcBorders>
            <w:vAlign w:val="center"/>
          </w:tcPr>
          <w:p>
            <w:pPr>
              <w:spacing w:line="240" w:lineRule="auto"/>
              <w:ind w:firstLine="0" w:firstLineChars="0"/>
              <w:jc w:val="center"/>
              <w:rPr>
                <w:rFonts w:cs="Times New Roman"/>
                <w:sz w:val="20"/>
                <w:szCs w:val="20"/>
              </w:rPr>
            </w:pPr>
            <w:r>
              <w:rPr>
                <w:rFonts w:hint="eastAsia" w:cs="Times New Roman"/>
                <w:sz w:val="20"/>
                <w:szCs w:val="20"/>
              </w:rPr>
              <w:t>《中华人民共和国特种设备安全法》</w:t>
            </w:r>
          </w:p>
          <w:p>
            <w:pPr>
              <w:spacing w:line="240" w:lineRule="auto"/>
              <w:ind w:firstLine="0" w:firstLineChars="0"/>
              <w:jc w:val="center"/>
              <w:rPr>
                <w:rFonts w:cs="Times New Roman"/>
                <w:sz w:val="20"/>
                <w:szCs w:val="20"/>
              </w:rPr>
            </w:pPr>
            <w:r>
              <w:rPr>
                <w:rFonts w:hint="eastAsia" w:cs="Times New Roman"/>
                <w:sz w:val="20"/>
                <w:szCs w:val="20"/>
              </w:rPr>
              <w:t>（中华人民共和国主席令第4号）</w:t>
            </w:r>
          </w:p>
          <w:p>
            <w:pPr>
              <w:spacing w:line="240" w:lineRule="auto"/>
              <w:ind w:firstLine="0" w:firstLineChars="0"/>
              <w:jc w:val="center"/>
              <w:rPr>
                <w:rFonts w:cs="Times New Roman"/>
                <w:sz w:val="20"/>
                <w:szCs w:val="20"/>
              </w:rPr>
            </w:pPr>
            <w:r>
              <w:rPr>
                <w:rFonts w:hint="eastAsia" w:cs="Times New Roman"/>
                <w:sz w:val="20"/>
                <w:szCs w:val="20"/>
              </w:rPr>
              <w:t>三十七条</w:t>
            </w:r>
          </w:p>
        </w:tc>
        <w:tc>
          <w:tcPr>
            <w:tcW w:w="983" w:type="pct"/>
            <w:tcBorders>
              <w:tl2br w:val="nil"/>
              <w:tr2bl w:val="nil"/>
            </w:tcBorders>
            <w:vAlign w:val="center"/>
          </w:tcPr>
          <w:p>
            <w:pPr>
              <w:spacing w:line="240" w:lineRule="auto"/>
              <w:ind w:firstLine="0" w:firstLineChars="0"/>
              <w:jc w:val="both"/>
              <w:rPr>
                <w:rFonts w:ascii="宋体" w:hAnsi="宋体" w:cs="宋体"/>
                <w:sz w:val="21"/>
                <w:szCs w:val="21"/>
              </w:rPr>
            </w:pPr>
            <w:r>
              <w:rPr>
                <w:rFonts w:hint="eastAsia" w:ascii="宋体" w:hAnsi="宋体" w:cs="宋体"/>
                <w:sz w:val="21"/>
                <w:szCs w:val="21"/>
              </w:rPr>
              <w:t>特种设备的安全距离、安全防护措施符合要求。</w:t>
            </w:r>
          </w:p>
        </w:tc>
        <w:tc>
          <w:tcPr>
            <w:tcW w:w="415" w:type="pct"/>
            <w:tcBorders>
              <w:tl2br w:val="nil"/>
              <w:tr2bl w:val="nil"/>
            </w:tcBorders>
            <w:vAlign w:val="center"/>
          </w:tcPr>
          <w:p>
            <w:pPr>
              <w:pStyle w:val="57"/>
              <w:widowControl w:val="0"/>
              <w:adjustRightInd/>
              <w:spacing w:line="240" w:lineRule="auto"/>
              <w:textAlignment w:val="auto"/>
              <w:rPr>
                <w:bCs/>
                <w:sz w:val="20"/>
              </w:rPr>
            </w:pPr>
            <w:r>
              <w:rPr>
                <w:bCs/>
                <w:sz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3" w:type="pct"/>
            <w:tcBorders>
              <w:tl2br w:val="nil"/>
              <w:tr2bl w:val="nil"/>
            </w:tcBorders>
            <w:vAlign w:val="center"/>
          </w:tcPr>
          <w:p>
            <w:pPr>
              <w:numPr>
                <w:ilvl w:val="0"/>
                <w:numId w:val="70"/>
              </w:numPr>
              <w:spacing w:line="240" w:lineRule="auto"/>
              <w:ind w:firstLine="0" w:firstLineChars="0"/>
              <w:jc w:val="center"/>
              <w:rPr>
                <w:rFonts w:ascii="宋体" w:hAnsi="宋体" w:cs="宋体"/>
                <w:b/>
                <w:bCs/>
                <w:sz w:val="21"/>
                <w:szCs w:val="21"/>
              </w:rPr>
            </w:pPr>
          </w:p>
        </w:tc>
        <w:tc>
          <w:tcPr>
            <w:tcW w:w="1885" w:type="pct"/>
            <w:tcBorders>
              <w:tl2br w:val="nil"/>
              <w:tr2bl w:val="nil"/>
            </w:tcBorders>
            <w:vAlign w:val="center"/>
          </w:tcPr>
          <w:p>
            <w:pPr>
              <w:spacing w:line="240" w:lineRule="auto"/>
              <w:ind w:firstLine="0" w:firstLineChars="0"/>
              <w:jc w:val="both"/>
              <w:rPr>
                <w:rFonts w:ascii="宋体" w:hAnsi="宋体" w:cs="宋体"/>
                <w:sz w:val="21"/>
                <w:szCs w:val="21"/>
              </w:rPr>
            </w:pPr>
            <w:r>
              <w:rPr>
                <w:rFonts w:hint="eastAsia" w:ascii="宋体" w:hAnsi="宋体" w:cs="宋体"/>
                <w:sz w:val="21"/>
                <w:szCs w:val="21"/>
              </w:rPr>
              <w:t>特种设备使用单位应当对其使用的特种设备进行经常性维护保养和定期自行检查，并作出记录。特种设备使用单位应当对其使用的特种设备的安全附件、安全保护装置进行定期校验、检修，并作出记录。</w:t>
            </w:r>
          </w:p>
        </w:tc>
        <w:tc>
          <w:tcPr>
            <w:tcW w:w="1342" w:type="pct"/>
            <w:tcBorders>
              <w:tl2br w:val="nil"/>
              <w:tr2bl w:val="nil"/>
            </w:tcBorders>
            <w:vAlign w:val="center"/>
          </w:tcPr>
          <w:p>
            <w:pPr>
              <w:spacing w:line="240" w:lineRule="auto"/>
              <w:ind w:firstLine="0" w:firstLineChars="0"/>
              <w:jc w:val="center"/>
              <w:rPr>
                <w:rFonts w:cs="Times New Roman"/>
                <w:sz w:val="20"/>
                <w:szCs w:val="20"/>
              </w:rPr>
            </w:pPr>
            <w:r>
              <w:rPr>
                <w:rFonts w:hint="eastAsia" w:cs="Times New Roman"/>
                <w:sz w:val="20"/>
                <w:szCs w:val="20"/>
              </w:rPr>
              <w:t>《中华人民共和国特种设备安全法》</w:t>
            </w:r>
          </w:p>
          <w:p>
            <w:pPr>
              <w:spacing w:line="240" w:lineRule="auto"/>
              <w:ind w:firstLine="0" w:firstLineChars="0"/>
              <w:jc w:val="center"/>
              <w:rPr>
                <w:rFonts w:cs="Times New Roman"/>
                <w:sz w:val="20"/>
                <w:szCs w:val="20"/>
              </w:rPr>
            </w:pPr>
            <w:r>
              <w:rPr>
                <w:rFonts w:hint="eastAsia" w:cs="Times New Roman"/>
                <w:sz w:val="20"/>
                <w:szCs w:val="20"/>
              </w:rPr>
              <w:t>（中华人民共和国主席令第4号）</w:t>
            </w:r>
          </w:p>
          <w:p>
            <w:pPr>
              <w:spacing w:line="240" w:lineRule="auto"/>
              <w:ind w:firstLine="0" w:firstLineChars="0"/>
              <w:jc w:val="center"/>
              <w:rPr>
                <w:rFonts w:cs="Times New Roman"/>
                <w:sz w:val="20"/>
                <w:szCs w:val="20"/>
              </w:rPr>
            </w:pPr>
            <w:r>
              <w:rPr>
                <w:rFonts w:hint="eastAsia" w:cs="Times New Roman"/>
                <w:sz w:val="20"/>
                <w:szCs w:val="20"/>
              </w:rPr>
              <w:t>第三十九条</w:t>
            </w:r>
          </w:p>
        </w:tc>
        <w:tc>
          <w:tcPr>
            <w:tcW w:w="983" w:type="pct"/>
            <w:tcBorders>
              <w:tl2br w:val="nil"/>
              <w:tr2bl w:val="nil"/>
            </w:tcBorders>
            <w:vAlign w:val="center"/>
          </w:tcPr>
          <w:p>
            <w:pPr>
              <w:spacing w:line="240" w:lineRule="auto"/>
              <w:ind w:firstLine="0" w:firstLineChars="0"/>
              <w:jc w:val="both"/>
              <w:rPr>
                <w:rFonts w:ascii="宋体" w:hAnsi="宋体" w:cs="宋体"/>
                <w:sz w:val="21"/>
                <w:szCs w:val="21"/>
              </w:rPr>
            </w:pPr>
            <w:r>
              <w:rPr>
                <w:rFonts w:hint="eastAsia" w:ascii="宋体" w:hAnsi="宋体" w:cs="宋体"/>
                <w:sz w:val="21"/>
                <w:szCs w:val="21"/>
              </w:rPr>
              <w:t>针对特种设备有相应的记录。</w:t>
            </w:r>
          </w:p>
        </w:tc>
        <w:tc>
          <w:tcPr>
            <w:tcW w:w="415" w:type="pct"/>
            <w:tcBorders>
              <w:tl2br w:val="nil"/>
              <w:tr2bl w:val="nil"/>
            </w:tcBorders>
            <w:vAlign w:val="center"/>
          </w:tcPr>
          <w:p>
            <w:pPr>
              <w:pStyle w:val="57"/>
              <w:widowControl w:val="0"/>
              <w:adjustRightInd/>
              <w:spacing w:line="240" w:lineRule="auto"/>
              <w:textAlignment w:val="auto"/>
              <w:rPr>
                <w:bCs/>
                <w:sz w:val="20"/>
              </w:rPr>
            </w:pPr>
            <w:r>
              <w:rPr>
                <w:bCs/>
                <w:sz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3" w:type="pct"/>
            <w:tcBorders>
              <w:tl2br w:val="nil"/>
              <w:tr2bl w:val="nil"/>
            </w:tcBorders>
            <w:vAlign w:val="center"/>
          </w:tcPr>
          <w:p>
            <w:pPr>
              <w:numPr>
                <w:ilvl w:val="0"/>
                <w:numId w:val="70"/>
              </w:numPr>
              <w:spacing w:line="240" w:lineRule="auto"/>
              <w:ind w:firstLine="0" w:firstLineChars="0"/>
              <w:jc w:val="center"/>
              <w:rPr>
                <w:rFonts w:ascii="宋体" w:hAnsi="宋体" w:cs="宋体"/>
                <w:b/>
                <w:bCs/>
                <w:sz w:val="21"/>
                <w:szCs w:val="21"/>
              </w:rPr>
            </w:pPr>
          </w:p>
        </w:tc>
        <w:tc>
          <w:tcPr>
            <w:tcW w:w="1885" w:type="pct"/>
            <w:tcBorders>
              <w:tl2br w:val="nil"/>
              <w:tr2bl w:val="nil"/>
            </w:tcBorders>
            <w:vAlign w:val="center"/>
          </w:tcPr>
          <w:p>
            <w:pPr>
              <w:spacing w:line="240" w:lineRule="auto"/>
              <w:ind w:firstLine="0" w:firstLineChars="0"/>
              <w:jc w:val="both"/>
              <w:rPr>
                <w:rFonts w:ascii="宋体" w:hAnsi="宋体" w:cs="宋体"/>
                <w:sz w:val="21"/>
                <w:szCs w:val="21"/>
              </w:rPr>
            </w:pPr>
            <w:r>
              <w:rPr>
                <w:rFonts w:hint="eastAsia" w:ascii="宋体" w:hAnsi="宋体" w:cs="宋体"/>
                <w:sz w:val="21"/>
                <w:szCs w:val="21"/>
              </w:rPr>
              <w:t>特种设备使用单位应当建立健全特种设备安全管理制度和岗位安全责任制度。</w:t>
            </w:r>
          </w:p>
        </w:tc>
        <w:tc>
          <w:tcPr>
            <w:tcW w:w="1342" w:type="pct"/>
            <w:tcBorders>
              <w:tl2br w:val="nil"/>
              <w:tr2bl w:val="nil"/>
            </w:tcBorders>
            <w:vAlign w:val="center"/>
          </w:tcPr>
          <w:p>
            <w:pPr>
              <w:spacing w:line="240" w:lineRule="auto"/>
              <w:ind w:firstLine="0" w:firstLineChars="0"/>
              <w:jc w:val="center"/>
              <w:rPr>
                <w:rFonts w:cs="Times New Roman"/>
                <w:sz w:val="20"/>
                <w:szCs w:val="20"/>
              </w:rPr>
            </w:pPr>
            <w:r>
              <w:rPr>
                <w:rFonts w:hint="eastAsia" w:cs="Times New Roman"/>
                <w:sz w:val="20"/>
                <w:szCs w:val="20"/>
              </w:rPr>
              <w:t>《特种设备安全监察条例》（中华人民共和国国务院令第373号公布，国务院令第549号修订）</w:t>
            </w:r>
          </w:p>
          <w:p>
            <w:pPr>
              <w:spacing w:line="240" w:lineRule="auto"/>
              <w:ind w:firstLine="0" w:firstLineChars="0"/>
              <w:jc w:val="center"/>
              <w:rPr>
                <w:rFonts w:cs="Times New Roman"/>
                <w:sz w:val="20"/>
                <w:szCs w:val="20"/>
              </w:rPr>
            </w:pPr>
            <w:r>
              <w:rPr>
                <w:rFonts w:hint="eastAsia" w:cs="Times New Roman"/>
                <w:sz w:val="20"/>
                <w:szCs w:val="20"/>
              </w:rPr>
              <w:t>第五条</w:t>
            </w:r>
          </w:p>
        </w:tc>
        <w:tc>
          <w:tcPr>
            <w:tcW w:w="983" w:type="pct"/>
            <w:tcBorders>
              <w:tl2br w:val="nil"/>
              <w:tr2bl w:val="nil"/>
            </w:tcBorders>
            <w:vAlign w:val="center"/>
          </w:tcPr>
          <w:p>
            <w:pPr>
              <w:spacing w:line="240" w:lineRule="auto"/>
              <w:ind w:firstLine="0" w:firstLineChars="0"/>
              <w:jc w:val="both"/>
              <w:rPr>
                <w:rFonts w:ascii="宋体" w:hAnsi="宋体" w:cs="宋体"/>
                <w:sz w:val="21"/>
                <w:szCs w:val="21"/>
              </w:rPr>
            </w:pPr>
            <w:r>
              <w:rPr>
                <w:rFonts w:hint="eastAsia" w:ascii="宋体" w:hAnsi="宋体" w:cs="宋体"/>
                <w:sz w:val="21"/>
                <w:szCs w:val="21"/>
              </w:rPr>
              <w:t>制定了相应的岗位职责和安全管理制度。</w:t>
            </w:r>
          </w:p>
        </w:tc>
        <w:tc>
          <w:tcPr>
            <w:tcW w:w="415" w:type="pct"/>
            <w:tcBorders>
              <w:tl2br w:val="nil"/>
              <w:tr2bl w:val="nil"/>
            </w:tcBorders>
            <w:vAlign w:val="center"/>
          </w:tcPr>
          <w:p>
            <w:pPr>
              <w:pStyle w:val="57"/>
              <w:widowControl w:val="0"/>
              <w:adjustRightInd/>
              <w:spacing w:line="240" w:lineRule="auto"/>
              <w:textAlignment w:val="auto"/>
              <w:rPr>
                <w:bCs/>
                <w:sz w:val="20"/>
              </w:rPr>
            </w:pPr>
            <w:r>
              <w:rPr>
                <w:bCs/>
                <w:sz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3" w:type="pct"/>
            <w:tcBorders>
              <w:tl2br w:val="nil"/>
              <w:tr2bl w:val="nil"/>
            </w:tcBorders>
            <w:vAlign w:val="center"/>
          </w:tcPr>
          <w:p>
            <w:pPr>
              <w:numPr>
                <w:ilvl w:val="0"/>
                <w:numId w:val="70"/>
              </w:numPr>
              <w:spacing w:line="240" w:lineRule="auto"/>
              <w:ind w:firstLine="0" w:firstLineChars="0"/>
              <w:jc w:val="center"/>
              <w:rPr>
                <w:rFonts w:ascii="宋体" w:hAnsi="宋体" w:cs="宋体"/>
                <w:b/>
                <w:bCs/>
                <w:sz w:val="21"/>
                <w:szCs w:val="21"/>
              </w:rPr>
            </w:pPr>
          </w:p>
        </w:tc>
        <w:tc>
          <w:tcPr>
            <w:tcW w:w="1885" w:type="pct"/>
            <w:tcBorders>
              <w:tl2br w:val="nil"/>
              <w:tr2bl w:val="nil"/>
            </w:tcBorders>
            <w:vAlign w:val="center"/>
          </w:tcPr>
          <w:p>
            <w:pPr>
              <w:spacing w:line="240" w:lineRule="auto"/>
              <w:ind w:firstLine="0" w:firstLineChars="0"/>
              <w:jc w:val="both"/>
              <w:rPr>
                <w:rFonts w:ascii="宋体" w:hAnsi="宋体" w:cs="宋体"/>
                <w:sz w:val="21"/>
                <w:szCs w:val="21"/>
              </w:rPr>
            </w:pPr>
            <w:r>
              <w:rPr>
                <w:rFonts w:hint="eastAsia" w:ascii="宋体" w:hAnsi="宋体" w:cs="宋体"/>
                <w:sz w:val="21"/>
                <w:szCs w:val="21"/>
              </w:rPr>
              <w:t>锅炉、压力容器、起重机械、客运索道、大型游乐设施的安装、改造、维修，必须由依照本条例取得许可的单位进行。</w:t>
            </w:r>
          </w:p>
        </w:tc>
        <w:tc>
          <w:tcPr>
            <w:tcW w:w="1342" w:type="pct"/>
            <w:tcBorders>
              <w:tl2br w:val="nil"/>
              <w:tr2bl w:val="nil"/>
            </w:tcBorders>
            <w:vAlign w:val="center"/>
          </w:tcPr>
          <w:p>
            <w:pPr>
              <w:spacing w:line="240" w:lineRule="auto"/>
              <w:ind w:firstLine="0" w:firstLineChars="0"/>
              <w:jc w:val="center"/>
              <w:rPr>
                <w:rFonts w:cs="Times New Roman"/>
                <w:sz w:val="20"/>
                <w:szCs w:val="20"/>
              </w:rPr>
            </w:pPr>
            <w:r>
              <w:rPr>
                <w:rFonts w:hint="eastAsia" w:cs="Times New Roman"/>
                <w:sz w:val="20"/>
                <w:szCs w:val="20"/>
              </w:rPr>
              <w:t>《特种设备安全监察条例》（中华人民共和国国务院令第373号公布，国务院令第549号修订）</w:t>
            </w:r>
          </w:p>
          <w:p>
            <w:pPr>
              <w:spacing w:line="240" w:lineRule="auto"/>
              <w:ind w:firstLine="0" w:firstLineChars="0"/>
              <w:jc w:val="center"/>
              <w:rPr>
                <w:rFonts w:cs="Times New Roman"/>
                <w:sz w:val="20"/>
                <w:szCs w:val="20"/>
              </w:rPr>
            </w:pPr>
            <w:r>
              <w:rPr>
                <w:rFonts w:hint="eastAsia" w:cs="Times New Roman"/>
                <w:sz w:val="20"/>
                <w:szCs w:val="20"/>
              </w:rPr>
              <w:t>第十七条</w:t>
            </w:r>
          </w:p>
        </w:tc>
        <w:tc>
          <w:tcPr>
            <w:tcW w:w="983" w:type="pct"/>
            <w:tcBorders>
              <w:tl2br w:val="nil"/>
              <w:tr2bl w:val="nil"/>
            </w:tcBorders>
            <w:vAlign w:val="center"/>
          </w:tcPr>
          <w:p>
            <w:pPr>
              <w:spacing w:line="240" w:lineRule="auto"/>
              <w:ind w:firstLine="0" w:firstLineChars="0"/>
              <w:jc w:val="both"/>
              <w:rPr>
                <w:rFonts w:ascii="宋体" w:hAnsi="宋体" w:cs="宋体"/>
                <w:sz w:val="21"/>
                <w:szCs w:val="21"/>
              </w:rPr>
            </w:pPr>
            <w:r>
              <w:rPr>
                <w:rFonts w:hint="eastAsia" w:ascii="宋体" w:hAnsi="宋体" w:cs="宋体"/>
                <w:sz w:val="21"/>
                <w:szCs w:val="21"/>
              </w:rPr>
              <w:t>该项目特种设备安装单位具有相应的资质。</w:t>
            </w:r>
          </w:p>
        </w:tc>
        <w:tc>
          <w:tcPr>
            <w:tcW w:w="415" w:type="pct"/>
            <w:tcBorders>
              <w:tl2br w:val="nil"/>
              <w:tr2bl w:val="nil"/>
            </w:tcBorders>
            <w:vAlign w:val="center"/>
          </w:tcPr>
          <w:p>
            <w:pPr>
              <w:pStyle w:val="57"/>
              <w:widowControl w:val="0"/>
              <w:adjustRightInd/>
              <w:spacing w:line="240" w:lineRule="auto"/>
              <w:textAlignment w:val="auto"/>
              <w:rPr>
                <w:bCs/>
                <w:sz w:val="20"/>
              </w:rPr>
            </w:pPr>
            <w:r>
              <w:rPr>
                <w:bCs/>
                <w:sz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3" w:type="pct"/>
            <w:tcBorders>
              <w:tl2br w:val="nil"/>
              <w:tr2bl w:val="nil"/>
            </w:tcBorders>
            <w:vAlign w:val="center"/>
          </w:tcPr>
          <w:p>
            <w:pPr>
              <w:numPr>
                <w:ilvl w:val="0"/>
                <w:numId w:val="70"/>
              </w:numPr>
              <w:spacing w:line="240" w:lineRule="auto"/>
              <w:ind w:firstLine="0" w:firstLineChars="0"/>
              <w:jc w:val="center"/>
              <w:rPr>
                <w:rFonts w:ascii="宋体" w:hAnsi="宋体" w:cs="宋体"/>
                <w:b/>
                <w:bCs/>
                <w:sz w:val="21"/>
                <w:szCs w:val="21"/>
              </w:rPr>
            </w:pPr>
          </w:p>
        </w:tc>
        <w:tc>
          <w:tcPr>
            <w:tcW w:w="1885" w:type="pct"/>
            <w:tcBorders>
              <w:tl2br w:val="nil"/>
              <w:tr2bl w:val="nil"/>
            </w:tcBorders>
          </w:tcPr>
          <w:p>
            <w:pPr>
              <w:spacing w:line="240" w:lineRule="auto"/>
              <w:ind w:firstLine="0" w:firstLineChars="0"/>
              <w:jc w:val="both"/>
              <w:rPr>
                <w:rFonts w:ascii="宋体" w:hAnsi="宋体" w:cs="宋体"/>
                <w:sz w:val="21"/>
                <w:szCs w:val="21"/>
              </w:rPr>
            </w:pPr>
            <w:r>
              <w:rPr>
                <w:rFonts w:hint="eastAsia" w:ascii="宋体" w:hAnsi="宋体" w:cs="宋体"/>
                <w:sz w:val="21"/>
                <w:szCs w:val="21"/>
              </w:rPr>
              <w:t>特种设备使用单位应当使用符合安全技术规范要求的特种设备。特种设备投入使用前，使用单位应当核对其是否附有本条例第十五条规定的相关文件。</w:t>
            </w:r>
          </w:p>
        </w:tc>
        <w:tc>
          <w:tcPr>
            <w:tcW w:w="1342" w:type="pct"/>
            <w:tcBorders>
              <w:tl2br w:val="nil"/>
              <w:tr2bl w:val="nil"/>
            </w:tcBorders>
          </w:tcPr>
          <w:p>
            <w:pPr>
              <w:spacing w:line="240" w:lineRule="auto"/>
              <w:ind w:firstLine="0" w:firstLineChars="0"/>
              <w:jc w:val="center"/>
              <w:rPr>
                <w:rFonts w:cs="Times New Roman"/>
                <w:sz w:val="20"/>
                <w:szCs w:val="20"/>
              </w:rPr>
            </w:pPr>
            <w:r>
              <w:rPr>
                <w:rFonts w:hint="eastAsia" w:cs="Times New Roman"/>
                <w:sz w:val="20"/>
                <w:szCs w:val="20"/>
              </w:rPr>
              <w:t>《特种设备安全监察条例》（中华人民共和国国务院令第373号公布，国务院令第549号修订）</w:t>
            </w:r>
          </w:p>
          <w:p>
            <w:pPr>
              <w:spacing w:line="240" w:lineRule="auto"/>
              <w:ind w:firstLine="0" w:firstLineChars="0"/>
              <w:jc w:val="center"/>
              <w:rPr>
                <w:rFonts w:cs="Times New Roman"/>
                <w:sz w:val="20"/>
                <w:szCs w:val="20"/>
              </w:rPr>
            </w:pPr>
            <w:r>
              <w:rPr>
                <w:rFonts w:hint="eastAsia" w:cs="Times New Roman"/>
                <w:sz w:val="20"/>
                <w:szCs w:val="20"/>
              </w:rPr>
              <w:t>第二十四条</w:t>
            </w:r>
          </w:p>
        </w:tc>
        <w:tc>
          <w:tcPr>
            <w:tcW w:w="983" w:type="pct"/>
            <w:tcBorders>
              <w:tl2br w:val="nil"/>
              <w:tr2bl w:val="nil"/>
            </w:tcBorders>
            <w:vAlign w:val="center"/>
          </w:tcPr>
          <w:p>
            <w:pPr>
              <w:spacing w:line="240" w:lineRule="auto"/>
              <w:ind w:firstLine="0" w:firstLineChars="0"/>
              <w:jc w:val="both"/>
              <w:rPr>
                <w:rFonts w:ascii="宋体" w:hAnsi="宋体" w:cs="宋体"/>
                <w:sz w:val="21"/>
                <w:szCs w:val="21"/>
              </w:rPr>
            </w:pPr>
            <w:r>
              <w:rPr>
                <w:rFonts w:hint="eastAsia" w:ascii="宋体" w:hAnsi="宋体" w:cs="宋体"/>
                <w:sz w:val="21"/>
                <w:szCs w:val="21"/>
              </w:rPr>
              <w:t>项目特种设备按要求投入使用。</w:t>
            </w:r>
          </w:p>
        </w:tc>
        <w:tc>
          <w:tcPr>
            <w:tcW w:w="415" w:type="pct"/>
            <w:tcBorders>
              <w:tl2br w:val="nil"/>
              <w:tr2bl w:val="nil"/>
            </w:tcBorders>
            <w:vAlign w:val="center"/>
          </w:tcPr>
          <w:p>
            <w:pPr>
              <w:pStyle w:val="57"/>
              <w:widowControl w:val="0"/>
              <w:adjustRightInd/>
              <w:spacing w:line="240" w:lineRule="auto"/>
              <w:textAlignment w:val="auto"/>
              <w:rPr>
                <w:bCs/>
                <w:sz w:val="20"/>
              </w:rPr>
            </w:pPr>
            <w:r>
              <w:rPr>
                <w:bCs/>
                <w:sz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3" w:type="pct"/>
            <w:tcBorders>
              <w:tl2br w:val="nil"/>
              <w:tr2bl w:val="nil"/>
            </w:tcBorders>
            <w:vAlign w:val="center"/>
          </w:tcPr>
          <w:p>
            <w:pPr>
              <w:numPr>
                <w:ilvl w:val="0"/>
                <w:numId w:val="70"/>
              </w:numPr>
              <w:spacing w:line="240" w:lineRule="auto"/>
              <w:ind w:firstLine="0" w:firstLineChars="0"/>
              <w:jc w:val="center"/>
              <w:rPr>
                <w:rFonts w:ascii="宋体" w:hAnsi="宋体" w:cs="宋体"/>
                <w:b/>
                <w:bCs/>
                <w:sz w:val="21"/>
                <w:szCs w:val="21"/>
              </w:rPr>
            </w:pPr>
          </w:p>
        </w:tc>
        <w:tc>
          <w:tcPr>
            <w:tcW w:w="1885" w:type="pct"/>
            <w:tcBorders>
              <w:tl2br w:val="nil"/>
              <w:tr2bl w:val="nil"/>
            </w:tcBorders>
            <w:vAlign w:val="center"/>
          </w:tcPr>
          <w:p>
            <w:pPr>
              <w:spacing w:line="240" w:lineRule="auto"/>
              <w:ind w:firstLine="0" w:firstLineChars="0"/>
              <w:jc w:val="both"/>
              <w:rPr>
                <w:rFonts w:ascii="宋体" w:hAnsi="宋体" w:cs="宋体"/>
                <w:sz w:val="21"/>
                <w:szCs w:val="21"/>
              </w:rPr>
            </w:pPr>
            <w:r>
              <w:rPr>
                <w:rFonts w:hint="eastAsia" w:ascii="宋体" w:hAnsi="宋体" w:cs="宋体"/>
                <w:sz w:val="21"/>
                <w:szCs w:val="21"/>
              </w:rPr>
              <w:t>特种设备在投入使用前或者投入使用后30日内，特种设备使用单位应当向直辖市或者设区的市的特种设备安全监督管理部门登记。登记标志应当置于或者附着于该特种设备的显著位置。</w:t>
            </w:r>
          </w:p>
        </w:tc>
        <w:tc>
          <w:tcPr>
            <w:tcW w:w="1342" w:type="pct"/>
            <w:tcBorders>
              <w:tl2br w:val="nil"/>
              <w:tr2bl w:val="nil"/>
            </w:tcBorders>
            <w:vAlign w:val="center"/>
          </w:tcPr>
          <w:p>
            <w:pPr>
              <w:spacing w:line="240" w:lineRule="auto"/>
              <w:ind w:firstLine="0" w:firstLineChars="0"/>
              <w:jc w:val="center"/>
              <w:rPr>
                <w:rFonts w:cs="Times New Roman"/>
                <w:sz w:val="20"/>
                <w:szCs w:val="20"/>
              </w:rPr>
            </w:pPr>
            <w:r>
              <w:rPr>
                <w:rFonts w:hint="eastAsia" w:cs="Times New Roman"/>
                <w:sz w:val="20"/>
                <w:szCs w:val="20"/>
              </w:rPr>
              <w:t>《特种设备安全监察条例》（中华人民共和国国务院令第373号公布，国务院令第549号修订）</w:t>
            </w:r>
          </w:p>
          <w:p>
            <w:pPr>
              <w:spacing w:line="240" w:lineRule="auto"/>
              <w:ind w:firstLine="0" w:firstLineChars="0"/>
              <w:jc w:val="center"/>
              <w:rPr>
                <w:rFonts w:cs="Times New Roman"/>
                <w:sz w:val="20"/>
                <w:szCs w:val="20"/>
              </w:rPr>
            </w:pPr>
            <w:r>
              <w:rPr>
                <w:rFonts w:hint="eastAsia" w:cs="Times New Roman"/>
                <w:sz w:val="20"/>
                <w:szCs w:val="20"/>
              </w:rPr>
              <w:t>第二十五条</w:t>
            </w:r>
          </w:p>
        </w:tc>
        <w:tc>
          <w:tcPr>
            <w:tcW w:w="983" w:type="pct"/>
            <w:tcBorders>
              <w:tl2br w:val="nil"/>
              <w:tr2bl w:val="nil"/>
            </w:tcBorders>
            <w:vAlign w:val="center"/>
          </w:tcPr>
          <w:p>
            <w:pPr>
              <w:spacing w:line="240" w:lineRule="auto"/>
              <w:ind w:firstLine="0" w:firstLineChars="0"/>
              <w:jc w:val="both"/>
              <w:rPr>
                <w:rFonts w:ascii="宋体" w:hAnsi="宋体" w:cs="宋体"/>
                <w:sz w:val="21"/>
                <w:szCs w:val="21"/>
              </w:rPr>
            </w:pPr>
            <w:r>
              <w:rPr>
                <w:rFonts w:hint="eastAsia" w:ascii="宋体" w:hAnsi="宋体" w:cs="宋体"/>
                <w:sz w:val="21"/>
                <w:szCs w:val="21"/>
              </w:rPr>
              <w:t>项目叉车、起重设备、压力容器按要求登记，取得了注册登记使用证。</w:t>
            </w:r>
          </w:p>
        </w:tc>
        <w:tc>
          <w:tcPr>
            <w:tcW w:w="415" w:type="pct"/>
            <w:tcBorders>
              <w:tl2br w:val="nil"/>
              <w:tr2bl w:val="nil"/>
            </w:tcBorders>
            <w:vAlign w:val="center"/>
          </w:tcPr>
          <w:p>
            <w:pPr>
              <w:pStyle w:val="57"/>
              <w:widowControl w:val="0"/>
              <w:adjustRightInd/>
              <w:spacing w:line="240" w:lineRule="auto"/>
              <w:textAlignment w:val="auto"/>
              <w:rPr>
                <w:bCs/>
                <w:sz w:val="20"/>
              </w:rPr>
            </w:pPr>
            <w:r>
              <w:rPr>
                <w:bCs/>
                <w:sz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3" w:type="pct"/>
            <w:tcBorders>
              <w:tl2br w:val="nil"/>
              <w:tr2bl w:val="nil"/>
            </w:tcBorders>
            <w:vAlign w:val="center"/>
          </w:tcPr>
          <w:p>
            <w:pPr>
              <w:numPr>
                <w:ilvl w:val="0"/>
                <w:numId w:val="70"/>
              </w:numPr>
              <w:spacing w:line="240" w:lineRule="auto"/>
              <w:ind w:firstLine="0" w:firstLineChars="0"/>
              <w:jc w:val="center"/>
              <w:rPr>
                <w:rFonts w:ascii="宋体" w:hAnsi="宋体" w:cs="宋体"/>
                <w:b/>
                <w:bCs/>
                <w:sz w:val="21"/>
                <w:szCs w:val="21"/>
              </w:rPr>
            </w:pPr>
          </w:p>
        </w:tc>
        <w:tc>
          <w:tcPr>
            <w:tcW w:w="1885" w:type="pct"/>
            <w:tcBorders>
              <w:tl2br w:val="nil"/>
              <w:tr2bl w:val="nil"/>
            </w:tcBorders>
            <w:vAlign w:val="center"/>
          </w:tcPr>
          <w:p>
            <w:pPr>
              <w:spacing w:line="240" w:lineRule="auto"/>
              <w:ind w:firstLine="0" w:firstLineChars="0"/>
              <w:jc w:val="both"/>
              <w:rPr>
                <w:rFonts w:ascii="宋体" w:hAnsi="宋体" w:cs="宋体"/>
                <w:sz w:val="21"/>
                <w:szCs w:val="21"/>
              </w:rPr>
            </w:pPr>
            <w:r>
              <w:rPr>
                <w:rFonts w:hint="eastAsia" w:ascii="宋体" w:hAnsi="宋体" w:cs="宋体"/>
                <w:sz w:val="21"/>
                <w:szCs w:val="21"/>
              </w:rPr>
              <w:t>特种设备使用单位应当制定特种设备的事故应急措施和救援预案。</w:t>
            </w:r>
          </w:p>
        </w:tc>
        <w:tc>
          <w:tcPr>
            <w:tcW w:w="1342" w:type="pct"/>
            <w:tcBorders>
              <w:tl2br w:val="nil"/>
              <w:tr2bl w:val="nil"/>
            </w:tcBorders>
            <w:vAlign w:val="center"/>
          </w:tcPr>
          <w:p>
            <w:pPr>
              <w:spacing w:line="240" w:lineRule="auto"/>
              <w:ind w:firstLine="0" w:firstLineChars="0"/>
              <w:jc w:val="center"/>
              <w:rPr>
                <w:rFonts w:cs="Times New Roman"/>
                <w:sz w:val="20"/>
                <w:szCs w:val="20"/>
              </w:rPr>
            </w:pPr>
            <w:r>
              <w:rPr>
                <w:rFonts w:hint="eastAsia" w:cs="Times New Roman"/>
                <w:sz w:val="20"/>
                <w:szCs w:val="20"/>
              </w:rPr>
              <w:t>《特种设备安全监察条例》（中华人民共和国国务院令第373号公布，国务院令第549号修订）</w:t>
            </w:r>
          </w:p>
          <w:p>
            <w:pPr>
              <w:spacing w:line="240" w:lineRule="auto"/>
              <w:ind w:firstLine="0" w:firstLineChars="0"/>
              <w:jc w:val="center"/>
              <w:rPr>
                <w:rFonts w:cs="Times New Roman"/>
                <w:sz w:val="20"/>
                <w:szCs w:val="20"/>
              </w:rPr>
            </w:pPr>
            <w:r>
              <w:rPr>
                <w:rFonts w:hint="eastAsia" w:cs="Times New Roman"/>
                <w:sz w:val="20"/>
                <w:szCs w:val="20"/>
              </w:rPr>
              <w:t>第三十一条</w:t>
            </w:r>
          </w:p>
        </w:tc>
        <w:tc>
          <w:tcPr>
            <w:tcW w:w="983" w:type="pct"/>
            <w:tcBorders>
              <w:tl2br w:val="nil"/>
              <w:tr2bl w:val="nil"/>
            </w:tcBorders>
            <w:vAlign w:val="center"/>
          </w:tcPr>
          <w:p>
            <w:pPr>
              <w:spacing w:line="240" w:lineRule="auto"/>
              <w:ind w:firstLine="0" w:firstLineChars="0"/>
              <w:jc w:val="both"/>
              <w:rPr>
                <w:rFonts w:ascii="宋体" w:hAnsi="宋体" w:cs="宋体"/>
                <w:sz w:val="21"/>
                <w:szCs w:val="21"/>
              </w:rPr>
            </w:pPr>
            <w:r>
              <w:rPr>
                <w:rFonts w:hint="eastAsia" w:ascii="宋体" w:hAnsi="宋体" w:cs="宋体"/>
                <w:sz w:val="21"/>
                <w:szCs w:val="21"/>
              </w:rPr>
              <w:t>企业提供了应急预案包括有特种设备应急救援预案。</w:t>
            </w:r>
          </w:p>
        </w:tc>
        <w:tc>
          <w:tcPr>
            <w:tcW w:w="415" w:type="pct"/>
            <w:tcBorders>
              <w:tl2br w:val="nil"/>
              <w:tr2bl w:val="nil"/>
            </w:tcBorders>
            <w:vAlign w:val="center"/>
          </w:tcPr>
          <w:p>
            <w:pPr>
              <w:pStyle w:val="57"/>
              <w:widowControl w:val="0"/>
              <w:adjustRightInd/>
              <w:spacing w:line="240" w:lineRule="auto"/>
              <w:textAlignment w:val="auto"/>
              <w:rPr>
                <w:bCs/>
                <w:sz w:val="20"/>
              </w:rPr>
            </w:pPr>
            <w:r>
              <w:rPr>
                <w:bCs/>
                <w:sz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3" w:type="pct"/>
            <w:tcBorders>
              <w:tl2br w:val="nil"/>
              <w:tr2bl w:val="nil"/>
            </w:tcBorders>
            <w:vAlign w:val="center"/>
          </w:tcPr>
          <w:p>
            <w:pPr>
              <w:numPr>
                <w:ilvl w:val="0"/>
                <w:numId w:val="70"/>
              </w:numPr>
              <w:spacing w:line="240" w:lineRule="auto"/>
              <w:ind w:firstLine="0" w:firstLineChars="0"/>
              <w:jc w:val="center"/>
              <w:rPr>
                <w:rFonts w:ascii="宋体" w:hAnsi="宋体" w:cs="宋体"/>
                <w:b/>
                <w:bCs/>
                <w:sz w:val="21"/>
                <w:szCs w:val="21"/>
              </w:rPr>
            </w:pPr>
          </w:p>
        </w:tc>
        <w:tc>
          <w:tcPr>
            <w:tcW w:w="1885" w:type="pct"/>
            <w:tcBorders>
              <w:tl2br w:val="nil"/>
              <w:tr2bl w:val="nil"/>
            </w:tcBorders>
            <w:vAlign w:val="center"/>
          </w:tcPr>
          <w:p>
            <w:pPr>
              <w:spacing w:line="240" w:lineRule="auto"/>
              <w:ind w:firstLine="0" w:firstLineChars="0"/>
              <w:jc w:val="both"/>
              <w:rPr>
                <w:rFonts w:ascii="宋体" w:hAnsi="宋体" w:cs="宋体"/>
                <w:sz w:val="21"/>
                <w:szCs w:val="21"/>
              </w:rPr>
            </w:pPr>
            <w:r>
              <w:rPr>
                <w:rFonts w:hint="eastAsia" w:ascii="宋体" w:hAnsi="宋体" w:cs="宋体"/>
                <w:sz w:val="21"/>
                <w:szCs w:val="21"/>
              </w:rPr>
              <w:t>锅炉、压力容器、电梯、起重机械、客运索道、大型游乐设施的作业人员及其相关管理人员（以下统称特种设备作业人员），应当按照国家有关规定经特种设备安全监督管理部门考核合格，取得国家统一格式的特种作业人员证书，方可从事相应的作业或者管理工作。</w:t>
            </w:r>
          </w:p>
        </w:tc>
        <w:tc>
          <w:tcPr>
            <w:tcW w:w="1342" w:type="pct"/>
            <w:tcBorders>
              <w:tl2br w:val="nil"/>
              <w:tr2bl w:val="nil"/>
            </w:tcBorders>
            <w:vAlign w:val="center"/>
          </w:tcPr>
          <w:p>
            <w:pPr>
              <w:spacing w:line="240" w:lineRule="auto"/>
              <w:ind w:firstLine="0" w:firstLineChars="0"/>
              <w:jc w:val="center"/>
              <w:rPr>
                <w:rFonts w:cs="Times New Roman"/>
                <w:sz w:val="20"/>
                <w:szCs w:val="20"/>
              </w:rPr>
            </w:pPr>
            <w:r>
              <w:rPr>
                <w:rFonts w:hint="eastAsia" w:cs="Times New Roman"/>
                <w:sz w:val="20"/>
                <w:szCs w:val="20"/>
              </w:rPr>
              <w:t>《特种设备安全监察条例》（中华人民共和国国务院令第373号公布，国务院令第549号修订）</w:t>
            </w:r>
          </w:p>
          <w:p>
            <w:pPr>
              <w:spacing w:line="240" w:lineRule="auto"/>
              <w:ind w:firstLine="0" w:firstLineChars="0"/>
              <w:jc w:val="center"/>
              <w:rPr>
                <w:rFonts w:cs="Times New Roman"/>
                <w:sz w:val="20"/>
                <w:szCs w:val="20"/>
              </w:rPr>
            </w:pPr>
            <w:r>
              <w:rPr>
                <w:rFonts w:hint="eastAsia" w:cs="Times New Roman"/>
                <w:sz w:val="20"/>
                <w:szCs w:val="20"/>
              </w:rPr>
              <w:t>第三十九条</w:t>
            </w:r>
          </w:p>
        </w:tc>
        <w:tc>
          <w:tcPr>
            <w:tcW w:w="983" w:type="pct"/>
            <w:tcBorders>
              <w:tl2br w:val="nil"/>
              <w:tr2bl w:val="nil"/>
            </w:tcBorders>
            <w:vAlign w:val="center"/>
          </w:tcPr>
          <w:p>
            <w:pPr>
              <w:spacing w:line="240" w:lineRule="auto"/>
              <w:ind w:firstLine="0" w:firstLineChars="0"/>
              <w:jc w:val="both"/>
              <w:rPr>
                <w:rFonts w:ascii="宋体" w:hAnsi="宋体" w:cs="宋体"/>
                <w:sz w:val="21"/>
                <w:szCs w:val="21"/>
              </w:rPr>
            </w:pPr>
            <w:r>
              <w:rPr>
                <w:rFonts w:hint="eastAsia" w:ascii="宋体" w:hAnsi="宋体" w:cs="宋体"/>
                <w:sz w:val="21"/>
                <w:szCs w:val="21"/>
              </w:rPr>
              <w:t>项目涉及的特种作业人员主要有低压电工、司炉工、焊工、桥式起重机司机、叉车司机等，特种作业人员经相关部门培训合格，持证上岗。</w:t>
            </w:r>
          </w:p>
        </w:tc>
        <w:tc>
          <w:tcPr>
            <w:tcW w:w="415" w:type="pct"/>
            <w:tcBorders>
              <w:tl2br w:val="nil"/>
              <w:tr2bl w:val="nil"/>
            </w:tcBorders>
            <w:vAlign w:val="center"/>
          </w:tcPr>
          <w:p>
            <w:pPr>
              <w:pStyle w:val="57"/>
              <w:widowControl w:val="0"/>
              <w:adjustRightInd/>
              <w:spacing w:line="240" w:lineRule="auto"/>
              <w:textAlignment w:val="auto"/>
              <w:rPr>
                <w:bCs/>
                <w:sz w:val="20"/>
              </w:rPr>
            </w:pPr>
            <w:r>
              <w:rPr>
                <w:bCs/>
                <w:sz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3" w:type="pct"/>
            <w:tcBorders>
              <w:tl2br w:val="nil"/>
              <w:tr2bl w:val="nil"/>
            </w:tcBorders>
            <w:vAlign w:val="center"/>
          </w:tcPr>
          <w:p>
            <w:pPr>
              <w:numPr>
                <w:ilvl w:val="0"/>
                <w:numId w:val="70"/>
              </w:numPr>
              <w:spacing w:line="240" w:lineRule="auto"/>
              <w:ind w:firstLine="0" w:firstLineChars="0"/>
              <w:jc w:val="center"/>
              <w:rPr>
                <w:rFonts w:ascii="宋体" w:hAnsi="宋体" w:cs="宋体"/>
                <w:b/>
                <w:bCs/>
                <w:sz w:val="21"/>
                <w:szCs w:val="21"/>
              </w:rPr>
            </w:pPr>
          </w:p>
        </w:tc>
        <w:tc>
          <w:tcPr>
            <w:tcW w:w="1885" w:type="pct"/>
            <w:tcBorders>
              <w:tl2br w:val="nil"/>
              <w:tr2bl w:val="nil"/>
            </w:tcBorders>
            <w:vAlign w:val="center"/>
          </w:tcPr>
          <w:p>
            <w:pPr>
              <w:spacing w:line="240" w:lineRule="auto"/>
              <w:ind w:firstLine="0" w:firstLineChars="0"/>
              <w:jc w:val="both"/>
              <w:rPr>
                <w:rFonts w:hint="eastAsia" w:ascii="宋体" w:hAnsi="宋体" w:eastAsia="宋体" w:cs="宋体"/>
                <w:sz w:val="21"/>
                <w:szCs w:val="21"/>
              </w:rPr>
            </w:pPr>
            <w:r>
              <w:rPr>
                <w:rFonts w:hint="eastAsia" w:ascii="宋体" w:hAnsi="宋体" w:eastAsia="宋体" w:cs="宋体"/>
                <w:sz w:val="21"/>
                <w:szCs w:val="21"/>
              </w:rPr>
              <w:t>金属压力容器检验周期：</w:t>
            </w:r>
          </w:p>
          <w:p>
            <w:pPr>
              <w:spacing w:line="240" w:lineRule="auto"/>
              <w:ind w:firstLine="0" w:firstLineChars="0"/>
              <w:jc w:val="both"/>
              <w:rPr>
                <w:rFonts w:hint="eastAsia" w:ascii="宋体" w:hAnsi="宋体" w:eastAsia="宋体" w:cs="宋体"/>
                <w:sz w:val="21"/>
                <w:szCs w:val="21"/>
              </w:rPr>
            </w:pPr>
            <w:r>
              <w:rPr>
                <w:rFonts w:hint="eastAsia" w:ascii="宋体" w:hAnsi="宋体" w:eastAsia="宋体" w:cs="宋体"/>
                <w:sz w:val="21"/>
                <w:szCs w:val="21"/>
              </w:rPr>
              <w:t>金属压力容器一般投入使用后3年内进行首次定期检验。以后的检验周期由检验机构根据压力容器的安全状况等级，按照以下要求确定：</w:t>
            </w:r>
          </w:p>
          <w:p>
            <w:pPr>
              <w:spacing w:line="240" w:lineRule="auto"/>
              <w:ind w:firstLine="0" w:firstLineChars="0"/>
              <w:jc w:val="both"/>
              <w:rPr>
                <w:rFonts w:hint="eastAsia" w:ascii="宋体" w:hAnsi="宋体" w:eastAsia="宋体" w:cs="宋体"/>
                <w:sz w:val="21"/>
                <w:szCs w:val="21"/>
              </w:rPr>
            </w:pPr>
            <w:r>
              <w:rPr>
                <w:rFonts w:hint="eastAsia" w:ascii="宋体" w:hAnsi="宋体" w:eastAsia="宋体" w:cs="宋体"/>
                <w:sz w:val="21"/>
                <w:szCs w:val="21"/>
              </w:rPr>
              <w:t>（1）安全状况等级为1、2级的，一般每6年检验一次；</w:t>
            </w:r>
          </w:p>
          <w:p>
            <w:pPr>
              <w:spacing w:line="240" w:lineRule="auto"/>
              <w:ind w:firstLine="0" w:firstLineChars="0"/>
              <w:jc w:val="both"/>
              <w:rPr>
                <w:rFonts w:hint="eastAsia" w:ascii="宋体" w:hAnsi="宋体" w:eastAsia="宋体" w:cs="宋体"/>
                <w:sz w:val="21"/>
                <w:szCs w:val="21"/>
              </w:rPr>
            </w:pPr>
            <w:r>
              <w:rPr>
                <w:rFonts w:hint="eastAsia" w:ascii="宋体" w:hAnsi="宋体" w:eastAsia="宋体" w:cs="宋体"/>
                <w:sz w:val="21"/>
                <w:szCs w:val="21"/>
              </w:rPr>
              <w:t>（2）安全状况等级为3级的，一般每3年至6年检验一次；</w:t>
            </w:r>
          </w:p>
          <w:p>
            <w:pPr>
              <w:spacing w:line="240" w:lineRule="auto"/>
              <w:ind w:firstLine="0" w:firstLineChars="0"/>
              <w:jc w:val="both"/>
              <w:rPr>
                <w:rFonts w:hint="eastAsia" w:ascii="宋体" w:hAnsi="宋体" w:eastAsia="宋体" w:cs="宋体"/>
                <w:sz w:val="21"/>
                <w:szCs w:val="21"/>
              </w:rPr>
            </w:pPr>
            <w:r>
              <w:rPr>
                <w:rFonts w:hint="eastAsia" w:ascii="宋体" w:hAnsi="宋体" w:eastAsia="宋体" w:cs="宋体"/>
                <w:sz w:val="21"/>
                <w:szCs w:val="21"/>
              </w:rPr>
              <w:t>（3）安全状况等级为4级的，监控使用，其检验周期由检验机构确定，累计监控使用时间不得超过3年，在监控使用期间，使用单位应该采取有效的监控措施；</w:t>
            </w:r>
          </w:p>
          <w:p>
            <w:pPr>
              <w:spacing w:line="240" w:lineRule="auto"/>
              <w:ind w:firstLine="0" w:firstLineChars="0"/>
              <w:jc w:val="both"/>
              <w:rPr>
                <w:rFonts w:hint="eastAsia" w:ascii="宋体" w:hAnsi="宋体" w:eastAsia="宋体" w:cs="宋体"/>
                <w:sz w:val="21"/>
                <w:szCs w:val="21"/>
              </w:rPr>
            </w:pPr>
            <w:r>
              <w:rPr>
                <w:rFonts w:hint="eastAsia" w:ascii="宋体" w:hAnsi="宋体" w:eastAsia="宋体" w:cs="宋体"/>
                <w:sz w:val="21"/>
                <w:szCs w:val="21"/>
              </w:rPr>
              <w:t>（4）安全状况等级为5级的，应当对缺陷进行处理，否则不得继续使用。</w:t>
            </w:r>
          </w:p>
        </w:tc>
        <w:tc>
          <w:tcPr>
            <w:tcW w:w="1342" w:type="pct"/>
            <w:tcBorders>
              <w:tl2br w:val="nil"/>
              <w:tr2bl w:val="nil"/>
            </w:tcBorders>
            <w:vAlign w:val="center"/>
          </w:tcPr>
          <w:p>
            <w:pPr>
              <w:spacing w:line="240" w:lineRule="auto"/>
              <w:ind w:firstLine="0" w:firstLineChars="0"/>
              <w:jc w:val="both"/>
              <w:rPr>
                <w:rFonts w:hint="eastAsia" w:ascii="宋体" w:hAnsi="宋体" w:eastAsia="宋体" w:cs="宋体"/>
                <w:sz w:val="21"/>
                <w:szCs w:val="21"/>
              </w:rPr>
            </w:pPr>
            <w:r>
              <w:rPr>
                <w:rFonts w:hint="eastAsia" w:ascii="宋体" w:hAnsi="宋体" w:eastAsia="宋体" w:cs="宋体"/>
                <w:sz w:val="21"/>
                <w:szCs w:val="21"/>
              </w:rPr>
              <w:t>《固定式压力容器安全技术监察规程》</w:t>
            </w:r>
          </w:p>
          <w:p>
            <w:pPr>
              <w:spacing w:line="240" w:lineRule="auto"/>
              <w:ind w:firstLine="0" w:firstLineChars="0"/>
              <w:jc w:val="both"/>
              <w:rPr>
                <w:rFonts w:hint="eastAsia" w:ascii="宋体" w:hAnsi="宋体" w:eastAsia="宋体" w:cs="宋体"/>
                <w:sz w:val="21"/>
                <w:szCs w:val="21"/>
              </w:rPr>
            </w:pPr>
            <w:r>
              <w:rPr>
                <w:rFonts w:hint="eastAsia" w:ascii="宋体" w:hAnsi="宋体" w:eastAsia="宋体" w:cs="宋体"/>
                <w:sz w:val="21"/>
                <w:szCs w:val="21"/>
              </w:rPr>
              <w:t>（TSG 21-2016/XG1-2020）8.1.6.1</w:t>
            </w:r>
          </w:p>
        </w:tc>
        <w:tc>
          <w:tcPr>
            <w:tcW w:w="983" w:type="pct"/>
            <w:tcBorders>
              <w:tl2br w:val="nil"/>
              <w:tr2bl w:val="nil"/>
            </w:tcBorders>
            <w:vAlign w:val="center"/>
          </w:tcPr>
          <w:p>
            <w:pPr>
              <w:spacing w:line="240" w:lineRule="auto"/>
              <w:ind w:firstLine="0" w:firstLineChars="0"/>
              <w:jc w:val="both"/>
              <w:rPr>
                <w:rFonts w:hint="eastAsia" w:ascii="宋体" w:hAnsi="宋体" w:eastAsia="宋体" w:cs="宋体"/>
                <w:sz w:val="21"/>
                <w:szCs w:val="21"/>
              </w:rPr>
            </w:pPr>
            <w:r>
              <w:rPr>
                <w:rFonts w:hint="eastAsia" w:ascii="宋体" w:hAnsi="宋体" w:eastAsia="宋体" w:cs="宋体"/>
                <w:sz w:val="21"/>
                <w:szCs w:val="21"/>
              </w:rPr>
              <w:t>项目压力容器按要求进行检验。</w:t>
            </w:r>
          </w:p>
        </w:tc>
        <w:tc>
          <w:tcPr>
            <w:tcW w:w="415" w:type="pct"/>
            <w:tcBorders>
              <w:tl2br w:val="nil"/>
              <w:tr2bl w:val="nil"/>
            </w:tcBorders>
            <w:vAlign w:val="center"/>
          </w:tcPr>
          <w:p>
            <w:pPr>
              <w:pStyle w:val="57"/>
              <w:widowControl w:val="0"/>
              <w:adjustRightInd/>
              <w:spacing w:line="240" w:lineRule="auto"/>
              <w:textAlignment w:val="auto"/>
              <w:rPr>
                <w:bCs/>
                <w:sz w:val="20"/>
              </w:rPr>
            </w:pPr>
            <w:r>
              <w:rPr>
                <w:bCs/>
                <w:sz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3" w:type="pct"/>
            <w:tcBorders>
              <w:tl2br w:val="nil"/>
              <w:tr2bl w:val="nil"/>
            </w:tcBorders>
            <w:vAlign w:val="center"/>
          </w:tcPr>
          <w:p>
            <w:pPr>
              <w:numPr>
                <w:ilvl w:val="0"/>
                <w:numId w:val="70"/>
              </w:numPr>
              <w:spacing w:line="240" w:lineRule="auto"/>
              <w:ind w:firstLine="0" w:firstLineChars="0"/>
              <w:jc w:val="center"/>
              <w:rPr>
                <w:rFonts w:ascii="宋体" w:hAnsi="宋体" w:cs="宋体"/>
                <w:b/>
                <w:bCs/>
                <w:sz w:val="21"/>
                <w:szCs w:val="21"/>
              </w:rPr>
            </w:pPr>
          </w:p>
        </w:tc>
        <w:tc>
          <w:tcPr>
            <w:tcW w:w="3276" w:type="dxa"/>
            <w:tcBorders>
              <w:tl2br w:val="nil"/>
              <w:tr2bl w:val="nil"/>
            </w:tcBorders>
            <w:vAlign w:val="center"/>
          </w:tcPr>
          <w:p>
            <w:pPr>
              <w:spacing w:line="240" w:lineRule="auto"/>
              <w:ind w:firstLine="0" w:firstLineChars="0"/>
              <w:jc w:val="both"/>
              <w:rPr>
                <w:rFonts w:hint="eastAsia" w:ascii="宋体" w:hAnsi="宋体" w:eastAsia="宋体" w:cs="宋体"/>
                <w:sz w:val="21"/>
                <w:szCs w:val="21"/>
              </w:rPr>
            </w:pPr>
            <w:r>
              <w:rPr>
                <w:rFonts w:hint="eastAsia" w:ascii="宋体" w:hAnsi="宋体" w:eastAsia="宋体" w:cs="宋体"/>
                <w:sz w:val="21"/>
                <w:szCs w:val="21"/>
                <w:lang w:val="en-US" w:eastAsia="zh-CN"/>
              </w:rPr>
              <w:t xml:space="preserve">安全技术档案 </w:t>
            </w:r>
          </w:p>
          <w:p>
            <w:pPr>
              <w:spacing w:line="240" w:lineRule="auto"/>
              <w:ind w:firstLine="0" w:firstLineChars="0"/>
              <w:jc w:val="both"/>
              <w:rPr>
                <w:rFonts w:hint="eastAsia" w:ascii="宋体" w:hAnsi="宋体" w:eastAsia="宋体" w:cs="宋体"/>
                <w:sz w:val="21"/>
                <w:szCs w:val="21"/>
              </w:rPr>
            </w:pPr>
            <w:r>
              <w:rPr>
                <w:rFonts w:hint="eastAsia" w:ascii="宋体" w:hAnsi="宋体" w:eastAsia="宋体" w:cs="宋体"/>
                <w:sz w:val="21"/>
                <w:szCs w:val="21"/>
                <w:lang w:val="en-US" w:eastAsia="zh-CN"/>
              </w:rPr>
              <w:t>使用单位应当按照《特种设备使用管理规则》规定，逐台建立并保存起重机械安 全技术档案。</w:t>
            </w:r>
          </w:p>
          <w:p>
            <w:pPr>
              <w:spacing w:line="240" w:lineRule="auto"/>
              <w:ind w:firstLine="0" w:firstLineChars="0"/>
              <w:jc w:val="both"/>
              <w:rPr>
                <w:rFonts w:hint="eastAsia" w:ascii="宋体" w:hAnsi="宋体" w:eastAsia="宋体" w:cs="宋体"/>
                <w:sz w:val="21"/>
                <w:szCs w:val="21"/>
              </w:rPr>
            </w:pPr>
          </w:p>
        </w:tc>
        <w:tc>
          <w:tcPr>
            <w:tcW w:w="2333" w:type="dxa"/>
            <w:tcBorders>
              <w:tl2br w:val="nil"/>
              <w:tr2bl w:val="nil"/>
            </w:tcBorders>
            <w:vAlign w:val="center"/>
          </w:tcPr>
          <w:p>
            <w:pPr>
              <w:spacing w:line="240" w:lineRule="auto"/>
              <w:ind w:firstLine="0" w:firstLineChars="0"/>
              <w:jc w:val="both"/>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eastAsia="宋体" w:cs="宋体"/>
                <w:sz w:val="21"/>
                <w:szCs w:val="21"/>
                <w:lang w:eastAsia="zh-CN"/>
              </w:rPr>
              <w:t>起重机械安全技术规程</w:t>
            </w:r>
            <w:r>
              <w:rPr>
                <w:rFonts w:hint="eastAsia" w:ascii="宋体" w:hAnsi="宋体" w:eastAsia="宋体" w:cs="宋体"/>
                <w:sz w:val="21"/>
                <w:szCs w:val="21"/>
              </w:rPr>
              <w:t>》（</w:t>
            </w:r>
            <w:r>
              <w:rPr>
                <w:rFonts w:hint="eastAsia" w:ascii="宋体" w:hAnsi="宋体" w:eastAsia="宋体" w:cs="宋体"/>
                <w:sz w:val="21"/>
                <w:szCs w:val="21"/>
                <w:lang w:eastAsia="zh-CN"/>
              </w:rPr>
              <w:t>TSG 51-2023</w:t>
            </w:r>
            <w:r>
              <w:rPr>
                <w:rFonts w:hint="eastAsia" w:ascii="宋体" w:hAnsi="宋体" w:eastAsia="宋体" w:cs="宋体"/>
                <w:sz w:val="21"/>
                <w:szCs w:val="21"/>
              </w:rPr>
              <w:t>）</w:t>
            </w:r>
          </w:p>
          <w:p>
            <w:pPr>
              <w:spacing w:line="240" w:lineRule="auto"/>
              <w:ind w:firstLine="0" w:firstLineChars="0"/>
              <w:jc w:val="both"/>
              <w:rPr>
                <w:rFonts w:hint="eastAsia" w:ascii="宋体" w:hAnsi="宋体" w:eastAsia="宋体" w:cs="宋体"/>
                <w:sz w:val="21"/>
                <w:szCs w:val="21"/>
              </w:rPr>
            </w:pPr>
            <w:r>
              <w:rPr>
                <w:rFonts w:hint="eastAsia" w:ascii="宋体" w:hAnsi="宋体" w:eastAsia="宋体" w:cs="宋体"/>
                <w:sz w:val="21"/>
                <w:szCs w:val="21"/>
                <w:lang w:val="en-US" w:eastAsia="zh-CN"/>
              </w:rPr>
              <w:t xml:space="preserve">5.4 </w:t>
            </w:r>
          </w:p>
        </w:tc>
        <w:tc>
          <w:tcPr>
            <w:tcW w:w="1708" w:type="dxa"/>
            <w:tcBorders>
              <w:tl2br w:val="nil"/>
              <w:tr2bl w:val="nil"/>
            </w:tcBorders>
            <w:vAlign w:val="center"/>
          </w:tcPr>
          <w:p>
            <w:pPr>
              <w:spacing w:line="240" w:lineRule="auto"/>
              <w:ind w:firstLine="0" w:firstLineChars="0"/>
              <w:jc w:val="both"/>
              <w:rPr>
                <w:rFonts w:hint="eastAsia" w:ascii="宋体" w:hAnsi="宋体" w:eastAsia="宋体" w:cs="宋体"/>
                <w:sz w:val="21"/>
                <w:szCs w:val="21"/>
              </w:rPr>
            </w:pPr>
            <w:r>
              <w:rPr>
                <w:rFonts w:hint="eastAsia" w:ascii="宋体" w:hAnsi="宋体" w:eastAsia="宋体" w:cs="宋体"/>
                <w:sz w:val="21"/>
                <w:szCs w:val="21"/>
              </w:rPr>
              <w:t>企业按要求建立了起重设备档案，并定期检验合格后使用。</w:t>
            </w:r>
          </w:p>
        </w:tc>
        <w:tc>
          <w:tcPr>
            <w:tcW w:w="415" w:type="pct"/>
            <w:tcBorders>
              <w:tl2br w:val="nil"/>
              <w:tr2bl w:val="nil"/>
            </w:tcBorders>
            <w:vAlign w:val="center"/>
          </w:tcPr>
          <w:p>
            <w:pPr>
              <w:pStyle w:val="57"/>
              <w:widowControl w:val="0"/>
              <w:adjustRightInd/>
              <w:spacing w:line="240" w:lineRule="auto"/>
              <w:textAlignment w:val="auto"/>
              <w:rPr>
                <w:bCs/>
                <w:sz w:val="20"/>
              </w:rPr>
            </w:pPr>
            <w:r>
              <w:rPr>
                <w:bCs/>
                <w:sz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3" w:type="pct"/>
            <w:vAlign w:val="center"/>
          </w:tcPr>
          <w:p>
            <w:pPr>
              <w:numPr>
                <w:ilvl w:val="0"/>
                <w:numId w:val="70"/>
              </w:numPr>
              <w:spacing w:line="240" w:lineRule="auto"/>
              <w:ind w:firstLine="0" w:firstLineChars="0"/>
              <w:jc w:val="center"/>
              <w:rPr>
                <w:rFonts w:ascii="宋体" w:hAnsi="宋体" w:cs="宋体"/>
                <w:b/>
                <w:bCs/>
                <w:sz w:val="21"/>
                <w:szCs w:val="21"/>
              </w:rPr>
            </w:pPr>
          </w:p>
        </w:tc>
        <w:tc>
          <w:tcPr>
            <w:tcW w:w="3276" w:type="dxa"/>
            <w:vAlign w:val="center"/>
          </w:tcPr>
          <w:p>
            <w:pPr>
              <w:spacing w:line="240" w:lineRule="auto"/>
              <w:ind w:firstLine="0" w:firstLineChars="0"/>
              <w:jc w:val="both"/>
              <w:rPr>
                <w:rFonts w:hint="eastAsia" w:ascii="宋体" w:hAnsi="宋体" w:eastAsia="宋体" w:cs="宋体"/>
                <w:sz w:val="21"/>
                <w:szCs w:val="21"/>
              </w:rPr>
            </w:pPr>
            <w:r>
              <w:rPr>
                <w:rFonts w:hint="eastAsia" w:ascii="宋体" w:hAnsi="宋体" w:eastAsia="宋体" w:cs="宋体"/>
                <w:sz w:val="21"/>
                <w:szCs w:val="21"/>
                <w:lang w:val="en-US" w:eastAsia="zh-CN"/>
              </w:rPr>
              <w:t xml:space="preserve">申请 </w:t>
            </w:r>
          </w:p>
          <w:p>
            <w:pPr>
              <w:spacing w:line="240" w:lineRule="auto"/>
              <w:ind w:firstLine="0" w:firstLineChars="0"/>
              <w:jc w:val="both"/>
              <w:rPr>
                <w:rFonts w:hint="eastAsia" w:ascii="宋体" w:hAnsi="宋体" w:eastAsia="宋体" w:cs="宋体"/>
                <w:sz w:val="21"/>
                <w:szCs w:val="21"/>
              </w:rPr>
            </w:pPr>
            <w:r>
              <w:rPr>
                <w:rFonts w:hint="eastAsia" w:ascii="宋体" w:hAnsi="宋体" w:eastAsia="宋体" w:cs="宋体"/>
                <w:sz w:val="21"/>
                <w:szCs w:val="21"/>
                <w:lang w:val="en-US" w:eastAsia="zh-CN"/>
              </w:rPr>
              <w:t xml:space="preserve">使用单位应当按照本规程的要求，在检验合格有效期届满前 1 个月向检验机构申请 </w:t>
            </w:r>
          </w:p>
          <w:p>
            <w:pPr>
              <w:spacing w:line="240" w:lineRule="auto"/>
              <w:ind w:firstLine="0" w:firstLineChars="0"/>
              <w:jc w:val="both"/>
              <w:rPr>
                <w:rFonts w:hint="eastAsia" w:ascii="宋体" w:hAnsi="宋体" w:eastAsia="宋体" w:cs="宋体"/>
                <w:sz w:val="21"/>
                <w:szCs w:val="21"/>
              </w:rPr>
            </w:pPr>
            <w:r>
              <w:rPr>
                <w:rFonts w:hint="eastAsia" w:ascii="宋体" w:hAnsi="宋体" w:eastAsia="宋体" w:cs="宋体"/>
                <w:sz w:val="21"/>
                <w:szCs w:val="21"/>
                <w:lang w:val="en-US" w:eastAsia="zh-CN"/>
              </w:rPr>
              <w:t xml:space="preserve">定期检验，并且填写定期(首次)检验申请单。同时，提供本周期的定期检验报告。 </w:t>
            </w:r>
          </w:p>
        </w:tc>
        <w:tc>
          <w:tcPr>
            <w:tcW w:w="2333" w:type="dxa"/>
            <w:vAlign w:val="center"/>
          </w:tcPr>
          <w:p>
            <w:pPr>
              <w:spacing w:line="240" w:lineRule="auto"/>
              <w:ind w:firstLine="0" w:firstLineChars="0"/>
              <w:jc w:val="both"/>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eastAsia="宋体" w:cs="宋体"/>
                <w:sz w:val="21"/>
                <w:szCs w:val="21"/>
                <w:lang w:eastAsia="zh-CN"/>
              </w:rPr>
              <w:t>起重机械安全技术规程</w:t>
            </w:r>
            <w:r>
              <w:rPr>
                <w:rFonts w:hint="eastAsia" w:ascii="宋体" w:hAnsi="宋体" w:eastAsia="宋体" w:cs="宋体"/>
                <w:sz w:val="21"/>
                <w:szCs w:val="21"/>
              </w:rPr>
              <w:t>》（</w:t>
            </w:r>
            <w:r>
              <w:rPr>
                <w:rFonts w:hint="eastAsia" w:ascii="宋体" w:hAnsi="宋体" w:eastAsia="宋体" w:cs="宋体"/>
                <w:sz w:val="21"/>
                <w:szCs w:val="21"/>
                <w:lang w:eastAsia="zh-CN"/>
              </w:rPr>
              <w:t>TSG 51-2023</w:t>
            </w:r>
            <w:r>
              <w:rPr>
                <w:rFonts w:hint="eastAsia" w:ascii="宋体" w:hAnsi="宋体" w:eastAsia="宋体" w:cs="宋体"/>
                <w:sz w:val="21"/>
                <w:szCs w:val="21"/>
              </w:rPr>
              <w:t>）</w:t>
            </w:r>
          </w:p>
          <w:p>
            <w:pPr>
              <w:spacing w:line="240" w:lineRule="auto"/>
              <w:ind w:firstLine="0" w:firstLineChars="0"/>
              <w:jc w:val="both"/>
              <w:rPr>
                <w:rFonts w:hint="eastAsia" w:ascii="宋体" w:hAnsi="宋体" w:eastAsia="宋体" w:cs="宋体"/>
                <w:sz w:val="21"/>
                <w:szCs w:val="21"/>
              </w:rPr>
            </w:pPr>
            <w:r>
              <w:rPr>
                <w:rFonts w:hint="eastAsia" w:ascii="宋体" w:hAnsi="宋体" w:eastAsia="宋体" w:cs="宋体"/>
                <w:sz w:val="21"/>
                <w:szCs w:val="21"/>
                <w:lang w:val="en-US" w:eastAsia="zh-CN"/>
              </w:rPr>
              <w:t xml:space="preserve">6.4.3.1 </w:t>
            </w:r>
          </w:p>
        </w:tc>
        <w:tc>
          <w:tcPr>
            <w:tcW w:w="1708" w:type="dxa"/>
            <w:vAlign w:val="center"/>
          </w:tcPr>
          <w:p>
            <w:pPr>
              <w:spacing w:line="240" w:lineRule="auto"/>
              <w:ind w:firstLine="0" w:firstLineChars="0"/>
              <w:jc w:val="both"/>
              <w:rPr>
                <w:rFonts w:hint="eastAsia" w:ascii="宋体" w:hAnsi="宋体" w:eastAsia="宋体" w:cs="宋体"/>
                <w:sz w:val="21"/>
                <w:szCs w:val="21"/>
              </w:rPr>
            </w:pPr>
            <w:r>
              <w:rPr>
                <w:rFonts w:hint="eastAsia" w:ascii="宋体" w:hAnsi="宋体" w:eastAsia="宋体" w:cs="宋体"/>
                <w:sz w:val="21"/>
                <w:szCs w:val="21"/>
              </w:rPr>
              <w:t>本项目涉及的起重设备，经使用登记，取得了特种设备使用登记证，并定期检验。</w:t>
            </w:r>
          </w:p>
        </w:tc>
        <w:tc>
          <w:tcPr>
            <w:tcW w:w="415" w:type="pct"/>
            <w:vAlign w:val="center"/>
          </w:tcPr>
          <w:p>
            <w:pPr>
              <w:pStyle w:val="57"/>
              <w:widowControl w:val="0"/>
              <w:adjustRightInd/>
              <w:spacing w:line="240" w:lineRule="auto"/>
              <w:textAlignment w:val="auto"/>
              <w:rPr>
                <w:bCs/>
                <w:sz w:val="20"/>
              </w:rPr>
            </w:pPr>
            <w:r>
              <w:rPr>
                <w:bCs/>
                <w:sz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3" w:type="pct"/>
            <w:vAlign w:val="center"/>
          </w:tcPr>
          <w:p>
            <w:pPr>
              <w:numPr>
                <w:ilvl w:val="0"/>
                <w:numId w:val="70"/>
              </w:numPr>
              <w:spacing w:line="240" w:lineRule="auto"/>
              <w:ind w:firstLine="0" w:firstLineChars="0"/>
              <w:jc w:val="center"/>
              <w:rPr>
                <w:rFonts w:ascii="宋体" w:hAnsi="宋体" w:cs="宋体"/>
                <w:b/>
                <w:bCs/>
                <w:sz w:val="21"/>
                <w:szCs w:val="21"/>
              </w:rPr>
            </w:pPr>
          </w:p>
        </w:tc>
        <w:tc>
          <w:tcPr>
            <w:tcW w:w="1885" w:type="pct"/>
            <w:vAlign w:val="center"/>
          </w:tcPr>
          <w:p>
            <w:pPr>
              <w:spacing w:line="240" w:lineRule="auto"/>
              <w:ind w:firstLine="0" w:firstLineChars="0"/>
              <w:jc w:val="both"/>
              <w:rPr>
                <w:rFonts w:hint="eastAsia" w:ascii="宋体" w:hAnsi="宋体" w:eastAsia="宋体" w:cs="宋体"/>
                <w:sz w:val="21"/>
                <w:szCs w:val="21"/>
              </w:rPr>
            </w:pPr>
            <w:r>
              <w:rPr>
                <w:rFonts w:hint="eastAsia" w:ascii="宋体" w:hAnsi="宋体" w:eastAsia="宋体" w:cs="宋体"/>
                <w:sz w:val="21"/>
                <w:szCs w:val="21"/>
              </w:rPr>
              <w:t>首次检验，是指在场车使用单位进行自行检查合格的基础上，由特种设备检验机构在场车首次投入使用前或者改造后进行的检验。</w:t>
            </w:r>
          </w:p>
          <w:p>
            <w:pPr>
              <w:spacing w:line="240" w:lineRule="auto"/>
              <w:ind w:firstLine="0" w:firstLineChars="0"/>
              <w:jc w:val="both"/>
              <w:rPr>
                <w:rFonts w:hint="eastAsia" w:ascii="宋体" w:hAnsi="宋体" w:eastAsia="宋体" w:cs="宋体"/>
                <w:sz w:val="21"/>
                <w:szCs w:val="21"/>
              </w:rPr>
            </w:pPr>
            <w:r>
              <w:rPr>
                <w:rFonts w:hint="eastAsia" w:ascii="宋体" w:hAnsi="宋体" w:eastAsia="宋体" w:cs="宋体"/>
                <w:sz w:val="21"/>
                <w:szCs w:val="21"/>
              </w:rPr>
              <w:t>定期检验，是指在场车使用单位进行经常性维护保养和自行检查合格的基础上，特种设备检验机构对纳入使用登记的在用场车按照规定周期（每年1 次）进行的检验。</w:t>
            </w:r>
          </w:p>
        </w:tc>
        <w:tc>
          <w:tcPr>
            <w:tcW w:w="1342" w:type="pct"/>
            <w:vAlign w:val="center"/>
          </w:tcPr>
          <w:p>
            <w:pPr>
              <w:spacing w:line="240" w:lineRule="auto"/>
              <w:ind w:firstLine="0" w:firstLineChars="0"/>
              <w:jc w:val="both"/>
              <w:rPr>
                <w:rFonts w:hint="eastAsia" w:ascii="宋体" w:hAnsi="宋体" w:eastAsia="宋体" w:cs="宋体"/>
                <w:sz w:val="21"/>
                <w:szCs w:val="21"/>
              </w:rPr>
            </w:pPr>
            <w:r>
              <w:rPr>
                <w:rFonts w:hint="eastAsia" w:ascii="宋体" w:hAnsi="宋体" w:eastAsia="宋体" w:cs="宋体"/>
                <w:sz w:val="21"/>
                <w:szCs w:val="21"/>
              </w:rPr>
              <w:t>《场（厂）内专用机动车辆安全技术规程》（TSG 81-2022）4.1.1</w:t>
            </w:r>
          </w:p>
        </w:tc>
        <w:tc>
          <w:tcPr>
            <w:tcW w:w="983" w:type="pct"/>
            <w:vAlign w:val="center"/>
          </w:tcPr>
          <w:p>
            <w:pPr>
              <w:spacing w:line="240" w:lineRule="auto"/>
              <w:ind w:firstLine="0" w:firstLineChars="0"/>
              <w:jc w:val="both"/>
              <w:rPr>
                <w:rFonts w:hint="eastAsia" w:ascii="宋体" w:hAnsi="宋体" w:eastAsia="宋体" w:cs="宋体"/>
                <w:sz w:val="21"/>
                <w:szCs w:val="21"/>
              </w:rPr>
            </w:pPr>
            <w:r>
              <w:rPr>
                <w:rFonts w:hint="eastAsia" w:ascii="宋体" w:hAnsi="宋体" w:eastAsia="宋体" w:cs="宋体"/>
                <w:sz w:val="21"/>
                <w:szCs w:val="21"/>
              </w:rPr>
              <w:t>叉车取得了特种设备使用登记证，并定期检验。</w:t>
            </w:r>
          </w:p>
        </w:tc>
        <w:tc>
          <w:tcPr>
            <w:tcW w:w="415" w:type="pct"/>
            <w:vAlign w:val="center"/>
          </w:tcPr>
          <w:p>
            <w:pPr>
              <w:pStyle w:val="57"/>
              <w:widowControl w:val="0"/>
              <w:adjustRightInd/>
              <w:spacing w:line="240" w:lineRule="auto"/>
              <w:textAlignment w:val="auto"/>
              <w:rPr>
                <w:bCs/>
                <w:sz w:val="20"/>
              </w:rPr>
            </w:pPr>
            <w:r>
              <w:rPr>
                <w:bCs/>
                <w:sz w:val="20"/>
              </w:rPr>
              <w:t>符合</w:t>
            </w:r>
          </w:p>
        </w:tc>
      </w:tr>
    </w:tbl>
    <w:p>
      <w:pPr>
        <w:ind w:firstLine="560"/>
        <w:rPr>
          <w:rFonts w:ascii="宋体" w:hAnsi="宋体" w:cs="宋体"/>
        </w:rPr>
      </w:pPr>
      <w:r>
        <w:rPr>
          <w:rFonts w:hint="eastAsia" w:ascii="宋体" w:hAnsi="宋体" w:cs="宋体"/>
        </w:rPr>
        <w:t>该项目的特种设备的安装、使用符合《中华人民共和国特种设备安全法》（中华人民共和国主席令第4号）、《特种设备安全监察条例》《固定式压力容器安全技术监察规程》（TSG 21-2016/XG1-2020）、《场（厂）内专用机动车辆安全技术规程》（TSG 81-2022）、《起重机械安全技术规程》（</w:t>
      </w:r>
      <w:r>
        <w:rPr>
          <w:rFonts w:hint="eastAsia" w:ascii="宋体" w:hAnsi="宋体" w:cs="宋体"/>
          <w:lang w:eastAsia="zh-CN"/>
        </w:rPr>
        <w:t>TSG 51-2023</w:t>
      </w:r>
      <w:r>
        <w:rPr>
          <w:rFonts w:hint="eastAsia" w:ascii="宋体" w:hAnsi="宋体" w:cs="宋体"/>
        </w:rPr>
        <w:t>）等法律法规、标准的规定要求。</w:t>
      </w:r>
    </w:p>
    <w:p>
      <w:pPr>
        <w:pStyle w:val="6"/>
        <w:tabs>
          <w:tab w:val="left" w:pos="420"/>
          <w:tab w:val="clear" w:pos="2101"/>
        </w:tabs>
        <w:spacing w:before="156" w:after="156"/>
        <w:rPr>
          <w:rFonts w:ascii="宋体" w:hAnsi="宋体" w:cs="宋体"/>
        </w:rPr>
      </w:pPr>
      <w:bookmarkStart w:id="326" w:name="_Toc32351"/>
      <w:bookmarkStart w:id="327" w:name="_Toc17859"/>
      <w:r>
        <w:t>强制检验设备</w:t>
      </w:r>
      <w:bookmarkEnd w:id="326"/>
      <w:bookmarkEnd w:id="327"/>
    </w:p>
    <w:p>
      <w:pPr>
        <w:ind w:firstLine="560"/>
      </w:pPr>
      <w:r>
        <w:t>该项目</w:t>
      </w:r>
      <w:r>
        <w:rPr>
          <w:rFonts w:hint="eastAsia"/>
        </w:rPr>
        <w:t>涉及的</w:t>
      </w:r>
      <w:r>
        <w:t>强制检验设备有：压力表、安全阀。现根据《特种设备安全监察条例</w:t>
      </w:r>
      <w:r>
        <w:rPr>
          <w:rFonts w:hint="eastAsia"/>
        </w:rPr>
        <w:t>》《</w:t>
      </w:r>
      <w:r>
        <w:t>弹性元件式一般压力表、压力真空表和真空表检定规程》</w:t>
      </w:r>
      <w:r>
        <w:rPr>
          <w:rFonts w:hint="eastAsia"/>
        </w:rPr>
        <w:t>（JJG52-2013）</w:t>
      </w:r>
      <w:r>
        <w:t>等法律法规、标准规范的相关要求对该项目强制性检测设备、设施的情况进行检查。</w:t>
      </w:r>
    </w:p>
    <w:p>
      <w:pPr>
        <w:pStyle w:val="14"/>
        <w:spacing w:before="156" w:after="156"/>
      </w:pPr>
      <w:r>
        <w:t xml:space="preserve">表 </w:t>
      </w:r>
      <w:r>
        <w:fldChar w:fldCharType="begin"/>
      </w:r>
      <w:r>
        <w:instrText xml:space="preserve"> STYLEREF 1 \s </w:instrText>
      </w:r>
      <w:r>
        <w:fldChar w:fldCharType="separate"/>
      </w:r>
      <w:r>
        <w:t>5</w:t>
      </w:r>
      <w:r>
        <w:fldChar w:fldCharType="end"/>
      </w:r>
      <w:r>
        <w:rPr>
          <w:rFonts w:hint="eastAsia"/>
        </w:rPr>
        <w:t>.7-2强制检验设备安全检查表</w:t>
      </w:r>
    </w:p>
    <w:tbl>
      <w:tblPr>
        <w:tblStyle w:val="29"/>
        <w:tblW w:w="5103"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49"/>
        <w:gridCol w:w="3281"/>
        <w:gridCol w:w="2336"/>
        <w:gridCol w:w="1710"/>
        <w:gridCol w:w="72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jc w:val="center"/>
        </w:trPr>
        <w:tc>
          <w:tcPr>
            <w:tcW w:w="373" w:type="pct"/>
            <w:tcBorders>
              <w:tl2br w:val="nil"/>
              <w:tr2bl w:val="nil"/>
            </w:tcBorders>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序号</w:t>
            </w:r>
          </w:p>
        </w:tc>
        <w:tc>
          <w:tcPr>
            <w:tcW w:w="1885" w:type="pct"/>
            <w:tcBorders>
              <w:tl2br w:val="nil"/>
              <w:tr2bl w:val="nil"/>
            </w:tcBorders>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检查内容</w:t>
            </w:r>
          </w:p>
        </w:tc>
        <w:tc>
          <w:tcPr>
            <w:tcW w:w="1342" w:type="pct"/>
            <w:tcBorders>
              <w:tl2br w:val="nil"/>
              <w:tr2bl w:val="nil"/>
            </w:tcBorders>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依据标准</w:t>
            </w:r>
          </w:p>
        </w:tc>
        <w:tc>
          <w:tcPr>
            <w:tcW w:w="982" w:type="pct"/>
            <w:tcBorders>
              <w:tl2br w:val="nil"/>
              <w:tr2bl w:val="nil"/>
            </w:tcBorders>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检查情况</w:t>
            </w:r>
          </w:p>
        </w:tc>
        <w:tc>
          <w:tcPr>
            <w:tcW w:w="415" w:type="pct"/>
            <w:tcBorders>
              <w:tl2br w:val="nil"/>
              <w:tr2bl w:val="nil"/>
            </w:tcBorders>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结论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373" w:type="pct"/>
            <w:tcBorders>
              <w:tl2br w:val="nil"/>
              <w:tr2bl w:val="nil"/>
            </w:tcBorders>
            <w:vAlign w:val="center"/>
          </w:tcPr>
          <w:p>
            <w:pPr>
              <w:numPr>
                <w:ilvl w:val="0"/>
                <w:numId w:val="71"/>
              </w:numPr>
              <w:spacing w:line="240" w:lineRule="auto"/>
              <w:ind w:firstLine="0" w:firstLineChars="0"/>
              <w:jc w:val="center"/>
              <w:rPr>
                <w:rFonts w:ascii="宋体" w:hAnsi="宋体" w:cs="宋体"/>
                <w:b/>
                <w:bCs/>
                <w:sz w:val="21"/>
                <w:szCs w:val="21"/>
              </w:rPr>
            </w:pPr>
          </w:p>
        </w:tc>
        <w:tc>
          <w:tcPr>
            <w:tcW w:w="1885" w:type="pct"/>
            <w:tcBorders>
              <w:tl2br w:val="nil"/>
              <w:tr2bl w:val="nil"/>
            </w:tcBorders>
            <w:vAlign w:val="center"/>
          </w:tcPr>
          <w:p>
            <w:pPr>
              <w:spacing w:line="240" w:lineRule="auto"/>
              <w:ind w:firstLine="0" w:firstLineChars="0"/>
              <w:jc w:val="both"/>
              <w:rPr>
                <w:rFonts w:ascii="宋体" w:hAnsi="宋体" w:cs="宋体"/>
                <w:sz w:val="21"/>
                <w:szCs w:val="21"/>
              </w:rPr>
            </w:pPr>
            <w:r>
              <w:rPr>
                <w:rFonts w:hint="eastAsia" w:ascii="宋体" w:hAnsi="宋体" w:cs="宋体"/>
                <w:sz w:val="21"/>
                <w:szCs w:val="21"/>
              </w:rPr>
              <w:t>压力表的检定周期可根据使用环境和使用频繁程度确定，一般不超过6个月。</w:t>
            </w:r>
          </w:p>
        </w:tc>
        <w:tc>
          <w:tcPr>
            <w:tcW w:w="1342" w:type="pct"/>
            <w:tcBorders>
              <w:tl2br w:val="nil"/>
              <w:tr2bl w:val="nil"/>
            </w:tcBorders>
            <w:vAlign w:val="center"/>
          </w:tcPr>
          <w:p>
            <w:pPr>
              <w:spacing w:line="240" w:lineRule="auto"/>
              <w:ind w:firstLine="0" w:firstLineChars="0"/>
              <w:jc w:val="center"/>
              <w:rPr>
                <w:rFonts w:cs="Times New Roman"/>
                <w:sz w:val="20"/>
                <w:szCs w:val="20"/>
              </w:rPr>
            </w:pPr>
            <w:r>
              <w:rPr>
                <w:rFonts w:hint="eastAsia" w:cs="Times New Roman"/>
                <w:sz w:val="20"/>
                <w:szCs w:val="20"/>
              </w:rPr>
              <w:t>《弹性元件式一般压力表、压力真空表和真空表检定规程》</w:t>
            </w:r>
          </w:p>
          <w:p>
            <w:pPr>
              <w:spacing w:line="240" w:lineRule="auto"/>
              <w:ind w:firstLine="0" w:firstLineChars="0"/>
              <w:jc w:val="center"/>
              <w:rPr>
                <w:rFonts w:cs="Times New Roman"/>
                <w:sz w:val="20"/>
                <w:szCs w:val="20"/>
              </w:rPr>
            </w:pPr>
            <w:r>
              <w:rPr>
                <w:rFonts w:hint="eastAsia" w:cs="Times New Roman"/>
                <w:sz w:val="20"/>
                <w:szCs w:val="20"/>
              </w:rPr>
              <w:t>（JJG52-2013）</w:t>
            </w:r>
          </w:p>
          <w:p>
            <w:pPr>
              <w:spacing w:line="240" w:lineRule="auto"/>
              <w:ind w:firstLine="0" w:firstLineChars="0"/>
              <w:jc w:val="center"/>
              <w:rPr>
                <w:rFonts w:cs="Times New Roman"/>
                <w:sz w:val="20"/>
                <w:szCs w:val="20"/>
              </w:rPr>
            </w:pPr>
            <w:r>
              <w:rPr>
                <w:rFonts w:hint="eastAsia" w:cs="Times New Roman"/>
                <w:sz w:val="20"/>
                <w:szCs w:val="20"/>
              </w:rPr>
              <w:t>7.5</w:t>
            </w:r>
          </w:p>
        </w:tc>
        <w:tc>
          <w:tcPr>
            <w:tcW w:w="982" w:type="pct"/>
            <w:tcBorders>
              <w:tl2br w:val="nil"/>
              <w:tr2bl w:val="nil"/>
            </w:tcBorders>
            <w:vAlign w:val="center"/>
          </w:tcPr>
          <w:p>
            <w:pPr>
              <w:spacing w:line="240" w:lineRule="auto"/>
              <w:ind w:firstLine="0" w:firstLineChars="0"/>
              <w:jc w:val="both"/>
              <w:rPr>
                <w:rFonts w:ascii="宋体" w:hAnsi="宋体" w:cs="宋体"/>
                <w:sz w:val="21"/>
                <w:szCs w:val="21"/>
              </w:rPr>
            </w:pPr>
            <w:r>
              <w:rPr>
                <w:rFonts w:hint="eastAsia" w:ascii="宋体" w:hAnsi="宋体" w:cs="宋体"/>
                <w:sz w:val="21"/>
                <w:szCs w:val="21"/>
              </w:rPr>
              <w:t>该项目涉及的压力表定期由楚雄州质量技术监督综合检测中心校验合格后使用。</w:t>
            </w:r>
          </w:p>
        </w:tc>
        <w:tc>
          <w:tcPr>
            <w:tcW w:w="415" w:type="pct"/>
            <w:tcBorders>
              <w:tl2br w:val="nil"/>
              <w:tr2bl w:val="nil"/>
            </w:tcBorders>
            <w:vAlign w:val="center"/>
          </w:tcPr>
          <w:p>
            <w:pPr>
              <w:ind w:firstLine="0" w:firstLineChars="0"/>
              <w:jc w:val="center"/>
              <w:rPr>
                <w:rFonts w:cs="Times New Roman"/>
                <w:sz w:val="20"/>
                <w:szCs w:val="20"/>
              </w:rPr>
            </w:pPr>
            <w:r>
              <w:rPr>
                <w:sz w:val="20"/>
                <w:szCs w:val="20"/>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373" w:type="pct"/>
            <w:tcBorders>
              <w:tl2br w:val="nil"/>
              <w:tr2bl w:val="nil"/>
            </w:tcBorders>
            <w:vAlign w:val="center"/>
          </w:tcPr>
          <w:p>
            <w:pPr>
              <w:numPr>
                <w:ilvl w:val="0"/>
                <w:numId w:val="71"/>
              </w:numPr>
              <w:spacing w:line="240" w:lineRule="auto"/>
              <w:ind w:firstLine="0" w:firstLineChars="0"/>
              <w:jc w:val="center"/>
              <w:rPr>
                <w:rFonts w:ascii="宋体" w:hAnsi="宋体" w:cs="宋体"/>
                <w:b/>
                <w:bCs/>
                <w:sz w:val="21"/>
                <w:szCs w:val="21"/>
              </w:rPr>
            </w:pPr>
          </w:p>
        </w:tc>
        <w:tc>
          <w:tcPr>
            <w:tcW w:w="1885" w:type="pct"/>
            <w:tcBorders>
              <w:tl2br w:val="nil"/>
              <w:tr2bl w:val="nil"/>
            </w:tcBorders>
            <w:vAlign w:val="center"/>
          </w:tcPr>
          <w:p>
            <w:pPr>
              <w:spacing w:line="240" w:lineRule="auto"/>
              <w:ind w:firstLine="0" w:firstLineChars="0"/>
              <w:jc w:val="both"/>
              <w:rPr>
                <w:rFonts w:ascii="宋体" w:hAnsi="宋体" w:cs="宋体"/>
                <w:sz w:val="21"/>
                <w:szCs w:val="21"/>
              </w:rPr>
            </w:pPr>
            <w:r>
              <w:rPr>
                <w:rFonts w:hint="eastAsia" w:ascii="宋体" w:hAnsi="宋体" w:cs="宋体"/>
                <w:sz w:val="21"/>
                <w:szCs w:val="21"/>
              </w:rPr>
              <w:t>特种设备使用单位应当对在用特种设备的安全附件、安全保护装置、测量调控装置及有关附属仪器仪表进行定期校验、检修，并作出记录。</w:t>
            </w:r>
          </w:p>
        </w:tc>
        <w:tc>
          <w:tcPr>
            <w:tcW w:w="1342" w:type="pct"/>
            <w:tcBorders>
              <w:tl2br w:val="nil"/>
              <w:tr2bl w:val="nil"/>
            </w:tcBorders>
            <w:vAlign w:val="center"/>
          </w:tcPr>
          <w:p>
            <w:pPr>
              <w:spacing w:line="240" w:lineRule="auto"/>
              <w:ind w:firstLine="0" w:firstLineChars="0"/>
              <w:jc w:val="center"/>
              <w:rPr>
                <w:rFonts w:cs="Times New Roman"/>
                <w:sz w:val="20"/>
                <w:szCs w:val="20"/>
              </w:rPr>
            </w:pPr>
            <w:r>
              <w:rPr>
                <w:rFonts w:hint="eastAsia" w:cs="Times New Roman"/>
                <w:sz w:val="20"/>
                <w:szCs w:val="20"/>
              </w:rPr>
              <w:t>《特种设备安全监察条例》</w:t>
            </w:r>
          </w:p>
          <w:p>
            <w:pPr>
              <w:spacing w:line="240" w:lineRule="auto"/>
              <w:ind w:firstLine="0" w:firstLineChars="0"/>
              <w:jc w:val="center"/>
              <w:rPr>
                <w:rFonts w:cs="Times New Roman"/>
                <w:sz w:val="20"/>
                <w:szCs w:val="20"/>
              </w:rPr>
            </w:pPr>
            <w:r>
              <w:rPr>
                <w:rFonts w:hint="eastAsia" w:cs="Times New Roman"/>
                <w:sz w:val="20"/>
                <w:szCs w:val="20"/>
              </w:rPr>
              <w:t>（中华人民共和国国务院令第373号公布，国务院令第549号修订）</w:t>
            </w:r>
          </w:p>
          <w:p>
            <w:pPr>
              <w:spacing w:line="240" w:lineRule="auto"/>
              <w:ind w:firstLine="0" w:firstLineChars="0"/>
              <w:jc w:val="center"/>
              <w:rPr>
                <w:rFonts w:cs="Times New Roman"/>
                <w:sz w:val="20"/>
                <w:szCs w:val="20"/>
              </w:rPr>
            </w:pPr>
            <w:r>
              <w:rPr>
                <w:rFonts w:hint="eastAsia" w:cs="Times New Roman"/>
                <w:sz w:val="20"/>
                <w:szCs w:val="20"/>
              </w:rPr>
              <w:t>第二十七条</w:t>
            </w:r>
          </w:p>
        </w:tc>
        <w:tc>
          <w:tcPr>
            <w:tcW w:w="982" w:type="pct"/>
            <w:tcBorders>
              <w:tl2br w:val="nil"/>
              <w:tr2bl w:val="nil"/>
            </w:tcBorders>
            <w:vAlign w:val="center"/>
          </w:tcPr>
          <w:p>
            <w:pPr>
              <w:spacing w:line="240" w:lineRule="auto"/>
              <w:ind w:firstLine="0" w:firstLineChars="0"/>
              <w:jc w:val="both"/>
              <w:rPr>
                <w:rFonts w:ascii="宋体" w:hAnsi="宋体" w:cs="宋体"/>
                <w:sz w:val="21"/>
                <w:szCs w:val="21"/>
              </w:rPr>
            </w:pPr>
            <w:r>
              <w:rPr>
                <w:rFonts w:hint="eastAsia" w:ascii="宋体" w:hAnsi="宋体" w:cs="宋体"/>
                <w:sz w:val="21"/>
                <w:szCs w:val="21"/>
              </w:rPr>
              <w:t>该项目涉及的安全阀经楚雄州质量技术监督综合检测中心校验合格，并出具了《安全阀校验报告》。</w:t>
            </w:r>
          </w:p>
        </w:tc>
        <w:tc>
          <w:tcPr>
            <w:tcW w:w="415" w:type="pct"/>
            <w:tcBorders>
              <w:tl2br w:val="nil"/>
              <w:tr2bl w:val="nil"/>
            </w:tcBorders>
            <w:vAlign w:val="center"/>
          </w:tcPr>
          <w:p>
            <w:pPr>
              <w:ind w:firstLine="0" w:firstLineChars="0"/>
              <w:jc w:val="center"/>
              <w:rPr>
                <w:rFonts w:cs="Times New Roman"/>
                <w:sz w:val="20"/>
                <w:szCs w:val="20"/>
              </w:rPr>
            </w:pPr>
            <w:r>
              <w:rPr>
                <w:sz w:val="20"/>
                <w:szCs w:val="20"/>
              </w:rPr>
              <w:t>符合</w:t>
            </w:r>
          </w:p>
        </w:tc>
      </w:tr>
    </w:tbl>
    <w:p>
      <w:pPr>
        <w:ind w:firstLine="560"/>
      </w:pPr>
      <w:r>
        <w:rPr>
          <w:rFonts w:hint="eastAsia"/>
        </w:rPr>
        <w:t>本</w:t>
      </w:r>
      <w:r>
        <w:t>项目</w:t>
      </w:r>
      <w:r>
        <w:rPr>
          <w:rFonts w:hint="eastAsia"/>
        </w:rPr>
        <w:t>涉及的</w:t>
      </w:r>
      <w:r>
        <w:t>压力表、安全阀等强制检验设备按要求进行了</w:t>
      </w:r>
      <w:r>
        <w:rPr>
          <w:rFonts w:hint="eastAsia"/>
        </w:rPr>
        <w:t>检定、校验和</w:t>
      </w:r>
      <w:r>
        <w:t>检</w:t>
      </w:r>
      <w:r>
        <w:rPr>
          <w:rFonts w:hint="eastAsia"/>
        </w:rPr>
        <w:t>测</w:t>
      </w:r>
      <w:r>
        <w:t>。</w:t>
      </w:r>
    </w:p>
    <w:p>
      <w:pPr>
        <w:pStyle w:val="5"/>
        <w:spacing w:before="156" w:after="156"/>
      </w:pPr>
      <w:bookmarkStart w:id="328" w:name="_Toc498519850"/>
      <w:bookmarkStart w:id="329" w:name="_Toc498299380"/>
      <w:bookmarkStart w:id="330" w:name="_Toc500007187"/>
      <w:bookmarkStart w:id="331" w:name="_Toc25123"/>
      <w:r>
        <w:t>周边环境适宜性</w:t>
      </w:r>
      <w:bookmarkEnd w:id="328"/>
      <w:bookmarkEnd w:id="329"/>
      <w:r>
        <w:rPr>
          <w:rFonts w:hint="eastAsia"/>
        </w:rPr>
        <w:t>评价</w:t>
      </w:r>
      <w:bookmarkEnd w:id="330"/>
      <w:r>
        <w:rPr>
          <w:rFonts w:hint="eastAsia"/>
        </w:rPr>
        <w:t>单元</w:t>
      </w:r>
      <w:bookmarkEnd w:id="331"/>
    </w:p>
    <w:p>
      <w:pPr>
        <w:pStyle w:val="6"/>
        <w:spacing w:before="156" w:after="156"/>
      </w:pPr>
      <w:bookmarkStart w:id="332" w:name="_Toc498299381"/>
      <w:bookmarkStart w:id="333" w:name="_Toc500007188"/>
      <w:bookmarkStart w:id="334" w:name="_Toc498519851"/>
      <w:bookmarkStart w:id="335" w:name="_Toc14282"/>
      <w:r>
        <w:t>可能发生的事故类型对周边的影响</w:t>
      </w:r>
      <w:bookmarkEnd w:id="332"/>
      <w:bookmarkEnd w:id="333"/>
      <w:bookmarkEnd w:id="334"/>
      <w:bookmarkEnd w:id="335"/>
    </w:p>
    <w:p>
      <w:pPr>
        <w:ind w:firstLine="560"/>
      </w:pPr>
      <w:r>
        <w:rPr>
          <w:rFonts w:hint="eastAsia"/>
        </w:rPr>
        <w:t>项目位于云南省楚雄州大姚县金碧镇工业园区南山坝工业片区。项目区西北面320米处为大姚县南山坝35kV变电站，东面70米处为大姚县内引燃料有限责任公司，西南面60米为楚姚高速公路指挥部。项目距离周边村庄较远，无其他重要建（构）筑物，厂区外围主要是其他厂房及道路，项目内各建构筑物与厂外有一定安全防护距离，项目固有危险、有害因素出现异常，对周边单位或居民的影响较小。</w:t>
      </w:r>
    </w:p>
    <w:p>
      <w:pPr>
        <w:pStyle w:val="6"/>
        <w:spacing w:before="156" w:after="156"/>
      </w:pPr>
      <w:bookmarkStart w:id="336" w:name="_Toc498299382"/>
      <w:bookmarkStart w:id="337" w:name="_Toc500007189"/>
      <w:bookmarkStart w:id="338" w:name="_Toc498519852"/>
      <w:bookmarkStart w:id="339" w:name="_Toc31475"/>
      <w:r>
        <w:t>周边</w:t>
      </w:r>
      <w:r>
        <w:rPr>
          <w:rFonts w:hint="eastAsia"/>
        </w:rPr>
        <w:t>单位或居民</w:t>
      </w:r>
      <w:r>
        <w:t>对建设项目的影响</w:t>
      </w:r>
      <w:bookmarkEnd w:id="336"/>
      <w:bookmarkEnd w:id="337"/>
      <w:bookmarkEnd w:id="338"/>
      <w:bookmarkEnd w:id="339"/>
    </w:p>
    <w:p>
      <w:pPr>
        <w:ind w:firstLine="560"/>
      </w:pPr>
      <w:bookmarkStart w:id="340" w:name="_Toc500007190"/>
      <w:bookmarkStart w:id="341" w:name="_Toc498519853"/>
      <w:bookmarkStart w:id="342" w:name="_Toc498299383"/>
      <w:r>
        <w:rPr>
          <w:rFonts w:hint="eastAsia"/>
        </w:rPr>
        <w:t>项目距离周边村庄较远，无其他重要建（构）筑物，厂区外围主要是其他厂房及道路，项目内各建构筑物与厂外有一定安全防护距离，周边单位或居民对建设项目的影响较小。</w:t>
      </w:r>
    </w:p>
    <w:p>
      <w:pPr>
        <w:pStyle w:val="6"/>
        <w:spacing w:before="156" w:after="156"/>
      </w:pPr>
      <w:bookmarkStart w:id="343" w:name="_Toc22481"/>
      <w:r>
        <w:t>建设项目所在地自然条件对本项目的影响</w:t>
      </w:r>
      <w:bookmarkEnd w:id="340"/>
      <w:bookmarkEnd w:id="341"/>
      <w:bookmarkEnd w:id="342"/>
      <w:bookmarkEnd w:id="343"/>
    </w:p>
    <w:p>
      <w:pPr>
        <w:pStyle w:val="7"/>
        <w:spacing w:before="156" w:after="156"/>
      </w:pPr>
      <w:bookmarkStart w:id="344" w:name="_Toc498299385"/>
      <w:bookmarkStart w:id="345" w:name="_Toc498519855"/>
      <w:bookmarkStart w:id="346" w:name="_Toc500007191"/>
      <w:r>
        <w:t>地质条件</w:t>
      </w:r>
    </w:p>
    <w:p>
      <w:pPr>
        <w:pStyle w:val="2"/>
        <w:ind w:firstLine="560"/>
      </w:pPr>
      <w:r>
        <w:rPr>
          <w:rFonts w:hint="eastAsia"/>
        </w:rPr>
        <w:t>厂址选择在</w:t>
      </w:r>
      <w:r>
        <w:rPr>
          <w:rFonts w:hint="eastAsia"/>
          <w:lang w:val="zh-CN"/>
        </w:rPr>
        <w:t>云南省楚雄彝族自治州大姚县金碧镇工业园区南山坝工业片区</w:t>
      </w:r>
      <w:r>
        <w:rPr>
          <w:rFonts w:hint="eastAsia"/>
        </w:rPr>
        <w:t>，根据云南木盛和岩土工程有限公司出具的《云南大姚机械配件厂退城入园整体技改搬迁项目岩土工程详细勘察报告》，场地及其周边无活动断层通过，未发现土洞、溶洞、崩塌、冲沟等不良地质作用现象，未揭露地下水，可不考虑地下水的影响，本场地稳定，地质条件适宜建筑。本场地不受台风、滑坡、泥石流、断层等自然灾害威胁。</w:t>
      </w:r>
    </w:p>
    <w:p>
      <w:pPr>
        <w:pStyle w:val="7"/>
        <w:spacing w:before="156" w:after="156"/>
      </w:pPr>
      <w:r>
        <w:rPr>
          <w:rFonts w:hint="eastAsia"/>
        </w:rPr>
        <w:t>气象条件</w:t>
      </w:r>
    </w:p>
    <w:p>
      <w:pPr>
        <w:ind w:firstLine="560"/>
      </w:pPr>
      <w:r>
        <w:t>雷击：雷电事故有可能造成对高耸的建筑物和电气设备造成破坏。雷电造成的自然危害因素是客观存在的，其产生不可抗拒。</w:t>
      </w:r>
    </w:p>
    <w:p>
      <w:pPr>
        <w:ind w:firstLine="560"/>
      </w:pPr>
      <w:r>
        <w:t>大风：大风可能会造成高处未佩戴安全防护用品的人员发生高处坠落事故；或导致高处堆放的零散物件坠落，对地面的人员造成物体打击伤害；还可能导致扬尘，造成现场灰尘弥漫，视线不清，从而引发机械伤害、车辆伤害等事故的发生。</w:t>
      </w:r>
    </w:p>
    <w:p>
      <w:pPr>
        <w:ind w:firstLine="560"/>
      </w:pPr>
      <w:r>
        <w:t>暴雨：暴雨是主要气象灾害之一。长时间的暴雨容易产生积水或径流淹没低洼地段，造成洪涝灾害。厂区设备可能受潮、生产车间顶棚漏雨，地面积水导致电气设备、线路、开关装置短路，发生漏电伤人事故。</w:t>
      </w:r>
    </w:p>
    <w:p>
      <w:pPr>
        <w:ind w:firstLine="560"/>
      </w:pPr>
      <w:r>
        <w:t>高温天气</w:t>
      </w:r>
      <w:r>
        <w:rPr>
          <w:rFonts w:hint="eastAsia"/>
        </w:rPr>
        <w:t>：</w:t>
      </w:r>
      <w:r>
        <w:t>对人体健康的主要影响是产生中暑，夏季高温天气，作业人员如长时间</w:t>
      </w:r>
      <w:r>
        <w:rPr>
          <w:rFonts w:hint="eastAsia"/>
        </w:rPr>
        <w:t>暴露</w:t>
      </w:r>
      <w:r>
        <w:t>在日光下，有发生中暑的危险。</w:t>
      </w:r>
    </w:p>
    <w:bookmarkEnd w:id="344"/>
    <w:bookmarkEnd w:id="345"/>
    <w:bookmarkEnd w:id="346"/>
    <w:p>
      <w:pPr>
        <w:pStyle w:val="5"/>
        <w:spacing w:before="156" w:after="156"/>
      </w:pPr>
      <w:bookmarkStart w:id="347" w:name="_Toc498299388"/>
      <w:bookmarkStart w:id="348" w:name="_Toc500007194"/>
      <w:bookmarkStart w:id="349" w:name="_Toc498519858"/>
      <w:bookmarkStart w:id="350" w:name="_Toc13850"/>
      <w:r>
        <w:t>安全管理及应急救援单元</w:t>
      </w:r>
      <w:bookmarkEnd w:id="347"/>
      <w:bookmarkEnd w:id="348"/>
      <w:bookmarkEnd w:id="349"/>
      <w:bookmarkEnd w:id="350"/>
    </w:p>
    <w:p>
      <w:pPr>
        <w:ind w:firstLine="560"/>
      </w:pPr>
      <w:r>
        <w:rPr>
          <w:rFonts w:hint="eastAsia"/>
        </w:rPr>
        <w:t>根据《中华人民共和国安全生产法》《生产安全事故应急条例》（中华人民共和国国务院令第708号）、《云南省安全生产条例》《生产经营单位安全培训规定》（国家安全生产监督管理总局令第3号，根据国家安全生产监督管理总局令第 80 号第二次修正）、《生产经营单位生产安全事故应急预案编制导则》（GB/T29639-2020）、《生产安全事故应急预案管理办法》（国家安全生产监督管理总局令第88号，根据中华人民共和国应急管理部令第2号修正）等法律法规的要求，对本项目的安全管理及应急救援进行分析评价。</w:t>
      </w:r>
    </w:p>
    <w:p>
      <w:pPr>
        <w:pStyle w:val="6"/>
        <w:tabs>
          <w:tab w:val="left" w:pos="420"/>
          <w:tab w:val="clear" w:pos="2101"/>
        </w:tabs>
        <w:spacing w:before="156" w:after="156"/>
      </w:pPr>
      <w:bookmarkStart w:id="351" w:name="_Toc3802"/>
      <w:bookmarkStart w:id="352" w:name="_Toc17602"/>
      <w:r>
        <w:t>组织与制度</w:t>
      </w:r>
      <w:bookmarkEnd w:id="351"/>
      <w:bookmarkEnd w:id="352"/>
    </w:p>
    <w:p>
      <w:pPr>
        <w:pStyle w:val="14"/>
        <w:spacing w:before="156" w:after="156"/>
      </w:pPr>
      <w:r>
        <w:t xml:space="preserve">表 </w:t>
      </w:r>
      <w:r>
        <w:fldChar w:fldCharType="begin"/>
      </w:r>
      <w:r>
        <w:instrText xml:space="preserve"> STYLEREF 2 \s </w:instrText>
      </w:r>
      <w:r>
        <w:fldChar w:fldCharType="separate"/>
      </w:r>
      <w:r>
        <w:t>5.9</w:t>
      </w:r>
      <w:r>
        <w:fldChar w:fldCharType="end"/>
      </w:r>
      <w:r>
        <w:rPr>
          <w:rFonts w:hint="eastAsia"/>
        </w:rPr>
        <w:t>-</w:t>
      </w:r>
      <w:r>
        <w:fldChar w:fldCharType="begin"/>
      </w:r>
      <w:r>
        <w:instrText xml:space="preserve"> SEQ 表 \* ARABIC \s 2 </w:instrText>
      </w:r>
      <w:r>
        <w:fldChar w:fldCharType="separate"/>
      </w:r>
      <w:r>
        <w:t>1</w:t>
      </w:r>
      <w:r>
        <w:fldChar w:fldCharType="end"/>
      </w:r>
      <w:r>
        <w:rPr>
          <w:rFonts w:hint="eastAsia"/>
        </w:rPr>
        <w:t>组织与制度符合性安全检查表</w:t>
      </w:r>
    </w:p>
    <w:tbl>
      <w:tblPr>
        <w:tblStyle w:val="29"/>
        <w:tblW w:w="509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45"/>
        <w:gridCol w:w="3850"/>
        <w:gridCol w:w="1948"/>
        <w:gridCol w:w="1562"/>
        <w:gridCol w:w="67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72" w:type="pct"/>
            <w:tcBorders>
              <w:tl2br w:val="nil"/>
              <w:tr2bl w:val="nil"/>
            </w:tcBorders>
            <w:vAlign w:val="center"/>
          </w:tcPr>
          <w:p>
            <w:pPr>
              <w:spacing w:line="240" w:lineRule="auto"/>
              <w:ind w:firstLine="0" w:firstLineChars="0"/>
              <w:jc w:val="center"/>
              <w:rPr>
                <w:rFonts w:ascii="宋体" w:hAnsi="宋体" w:cs="宋体"/>
                <w:b/>
                <w:bCs/>
                <w:sz w:val="21"/>
                <w:szCs w:val="21"/>
              </w:rPr>
            </w:pPr>
            <w:bookmarkStart w:id="353" w:name="_Toc498519870"/>
            <w:bookmarkStart w:id="354" w:name="_Toc498299400"/>
            <w:bookmarkStart w:id="355" w:name="_Toc500007205"/>
            <w:r>
              <w:rPr>
                <w:rFonts w:hint="eastAsia" w:ascii="宋体" w:hAnsi="宋体" w:cs="宋体"/>
                <w:b/>
                <w:bCs/>
                <w:sz w:val="21"/>
                <w:szCs w:val="21"/>
              </w:rPr>
              <w:t>序号</w:t>
            </w:r>
          </w:p>
        </w:tc>
        <w:tc>
          <w:tcPr>
            <w:tcW w:w="2218" w:type="pct"/>
            <w:tcBorders>
              <w:tl2br w:val="nil"/>
              <w:tr2bl w:val="nil"/>
            </w:tcBorders>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检查内容</w:t>
            </w:r>
          </w:p>
        </w:tc>
        <w:tc>
          <w:tcPr>
            <w:tcW w:w="1122" w:type="pct"/>
            <w:tcBorders>
              <w:tl2br w:val="nil"/>
              <w:tr2bl w:val="nil"/>
            </w:tcBorders>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依据标准</w:t>
            </w:r>
          </w:p>
        </w:tc>
        <w:tc>
          <w:tcPr>
            <w:tcW w:w="899" w:type="pct"/>
            <w:tcBorders>
              <w:tl2br w:val="nil"/>
              <w:tr2bl w:val="nil"/>
            </w:tcBorders>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检查情况</w:t>
            </w:r>
          </w:p>
        </w:tc>
        <w:tc>
          <w:tcPr>
            <w:tcW w:w="386" w:type="pct"/>
            <w:tcBorders>
              <w:tl2br w:val="nil"/>
              <w:tr2bl w:val="nil"/>
            </w:tcBorders>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结论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72" w:type="pct"/>
            <w:tcBorders>
              <w:tl2br w:val="nil"/>
              <w:tr2bl w:val="nil"/>
            </w:tcBorders>
            <w:vAlign w:val="center"/>
          </w:tcPr>
          <w:p>
            <w:pPr>
              <w:numPr>
                <w:ilvl w:val="0"/>
                <w:numId w:val="72"/>
              </w:numPr>
              <w:spacing w:line="240" w:lineRule="auto"/>
              <w:ind w:firstLine="0" w:firstLineChars="0"/>
              <w:jc w:val="center"/>
              <w:rPr>
                <w:rFonts w:ascii="宋体" w:hAnsi="宋体" w:cs="宋体"/>
                <w:b/>
                <w:bCs/>
                <w:sz w:val="21"/>
                <w:szCs w:val="21"/>
              </w:rPr>
            </w:pPr>
          </w:p>
        </w:tc>
        <w:tc>
          <w:tcPr>
            <w:tcW w:w="2218"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生产经营单位必须遵守本法和其他有关安全生产的法律法规，加强安全生产管理，建立健全全员安全生产责任制和安全生产规章制度，加大对安全生产资金、物资、技术、人员的投入保障力度，改善安全生产条件，加强安全生产标准化、信息化建设，构建安全风险分级管控和隐患排查治理双重预防机制，健全风险防范化解机制，提高安全生产水平，确保安全生产。</w:t>
            </w:r>
          </w:p>
        </w:tc>
        <w:tc>
          <w:tcPr>
            <w:tcW w:w="1122" w:type="pct"/>
            <w:tcBorders>
              <w:tl2br w:val="nil"/>
              <w:tr2bl w:val="nil"/>
            </w:tcBorders>
            <w:vAlign w:val="center"/>
          </w:tcPr>
          <w:p>
            <w:pPr>
              <w:spacing w:line="240" w:lineRule="auto"/>
              <w:ind w:firstLine="0" w:firstLineChars="0"/>
              <w:jc w:val="center"/>
              <w:rPr>
                <w:rFonts w:cs="Times New Roman"/>
                <w:sz w:val="20"/>
                <w:szCs w:val="20"/>
              </w:rPr>
            </w:pPr>
            <w:r>
              <w:rPr>
                <w:rFonts w:hint="eastAsia" w:cs="Times New Roman"/>
                <w:sz w:val="20"/>
                <w:szCs w:val="20"/>
              </w:rPr>
              <w:t>《中华人民共和国安全生产法》（中华人民共和国主席令第70号，主席令第13号修改，主席令第88号第三次修正）第四条</w:t>
            </w:r>
          </w:p>
        </w:tc>
        <w:tc>
          <w:tcPr>
            <w:tcW w:w="899"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公司按照国家法律法规，结合自身实际，制定了各级人员安全生产责任制。</w:t>
            </w:r>
          </w:p>
        </w:tc>
        <w:tc>
          <w:tcPr>
            <w:tcW w:w="386" w:type="pct"/>
            <w:tcBorders>
              <w:tl2br w:val="nil"/>
              <w:tr2bl w:val="nil"/>
            </w:tcBorders>
            <w:vAlign w:val="center"/>
          </w:tcPr>
          <w:p>
            <w:pPr>
              <w:spacing w:line="280" w:lineRule="exact"/>
              <w:ind w:firstLine="0" w:firstLineChars="0"/>
              <w:jc w:val="center"/>
              <w:rPr>
                <w:rFonts w:cs="Times New Roman"/>
                <w:bCs/>
                <w:sz w:val="20"/>
                <w:szCs w:val="20"/>
              </w:rPr>
            </w:pPr>
            <w:r>
              <w:rPr>
                <w:bCs/>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72" w:type="pct"/>
            <w:tcBorders>
              <w:tl2br w:val="nil"/>
              <w:tr2bl w:val="nil"/>
            </w:tcBorders>
            <w:vAlign w:val="center"/>
          </w:tcPr>
          <w:p>
            <w:pPr>
              <w:numPr>
                <w:ilvl w:val="0"/>
                <w:numId w:val="72"/>
              </w:numPr>
              <w:spacing w:line="240" w:lineRule="auto"/>
              <w:ind w:firstLine="0" w:firstLineChars="0"/>
              <w:jc w:val="center"/>
              <w:rPr>
                <w:rFonts w:ascii="宋体" w:hAnsi="宋体" w:cs="宋体"/>
                <w:b/>
                <w:bCs/>
                <w:sz w:val="21"/>
                <w:szCs w:val="21"/>
              </w:rPr>
            </w:pPr>
          </w:p>
        </w:tc>
        <w:tc>
          <w:tcPr>
            <w:tcW w:w="2218"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生产经营单位的主要负责人是本单位安全生产第一责任人，对本单位的安全生产工作全面负责。其他负责人对职责范围内的安全生产工作负责。</w:t>
            </w:r>
          </w:p>
        </w:tc>
        <w:tc>
          <w:tcPr>
            <w:tcW w:w="1122" w:type="pct"/>
            <w:tcBorders>
              <w:tl2br w:val="nil"/>
              <w:tr2bl w:val="nil"/>
            </w:tcBorders>
            <w:vAlign w:val="center"/>
          </w:tcPr>
          <w:p>
            <w:pPr>
              <w:spacing w:line="240" w:lineRule="auto"/>
              <w:ind w:firstLine="0" w:firstLineChars="0"/>
              <w:jc w:val="center"/>
              <w:rPr>
                <w:rFonts w:cs="Times New Roman"/>
                <w:sz w:val="20"/>
                <w:szCs w:val="20"/>
              </w:rPr>
            </w:pPr>
            <w:r>
              <w:rPr>
                <w:rFonts w:hint="eastAsia" w:cs="Times New Roman"/>
                <w:sz w:val="20"/>
                <w:szCs w:val="20"/>
              </w:rPr>
              <w:t>《中华人民共和国安全生产法》（中华人民共和国主席令第70号，主席令第13号修改，主席令第88号第三次修正）第五条</w:t>
            </w:r>
          </w:p>
        </w:tc>
        <w:tc>
          <w:tcPr>
            <w:tcW w:w="899"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公司的主要负责人对本单位的安全生产工作全面负责，其他负责人对职责范围内的安全生产工作负责。</w:t>
            </w:r>
          </w:p>
        </w:tc>
        <w:tc>
          <w:tcPr>
            <w:tcW w:w="386" w:type="pct"/>
            <w:tcBorders>
              <w:tl2br w:val="nil"/>
              <w:tr2bl w:val="nil"/>
            </w:tcBorders>
            <w:vAlign w:val="center"/>
          </w:tcPr>
          <w:p>
            <w:pPr>
              <w:spacing w:line="280" w:lineRule="exact"/>
              <w:ind w:firstLine="0" w:firstLineChars="0"/>
              <w:jc w:val="center"/>
              <w:rPr>
                <w:rFonts w:cs="Times New Roman"/>
                <w:bCs/>
                <w:sz w:val="20"/>
                <w:szCs w:val="20"/>
              </w:rPr>
            </w:pPr>
            <w:r>
              <w:rPr>
                <w:bCs/>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72" w:type="pct"/>
            <w:tcBorders>
              <w:tl2br w:val="nil"/>
              <w:tr2bl w:val="nil"/>
            </w:tcBorders>
            <w:vAlign w:val="center"/>
          </w:tcPr>
          <w:p>
            <w:pPr>
              <w:numPr>
                <w:ilvl w:val="0"/>
                <w:numId w:val="72"/>
              </w:numPr>
              <w:spacing w:line="240" w:lineRule="auto"/>
              <w:ind w:firstLine="0" w:firstLineChars="0"/>
              <w:jc w:val="center"/>
              <w:rPr>
                <w:rFonts w:ascii="宋体" w:hAnsi="宋体" w:cs="宋体"/>
                <w:b/>
                <w:bCs/>
                <w:sz w:val="21"/>
                <w:szCs w:val="21"/>
              </w:rPr>
            </w:pPr>
          </w:p>
        </w:tc>
        <w:tc>
          <w:tcPr>
            <w:tcW w:w="2218"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生产经营单位的主要负责人对本单位安全生产工作负有下列职责：</w:t>
            </w:r>
          </w:p>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（一）建立健全并落实本单位全员安全生产责任制，加强安全生产标准化建设；</w:t>
            </w:r>
          </w:p>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（二）组织制定并实施本单位安全生产规章制度和操作规程；</w:t>
            </w:r>
          </w:p>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（三）组织制定并实施本单位安全生产教育和培训计划；</w:t>
            </w:r>
          </w:p>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（四）保证本单位安全生产投入的有效实施；</w:t>
            </w:r>
          </w:p>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（五）组织建立并落实安全风险分级管控和隐患排查治理双重预防工作机制，督促、检查本单位的安全生产工作，及时消除生产安全事故隐患；</w:t>
            </w:r>
          </w:p>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（六）组织制定并实施本单位的生产安全事故应急救援预案；</w:t>
            </w:r>
          </w:p>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（七）及时、如实报告生产安全事故。</w:t>
            </w:r>
          </w:p>
        </w:tc>
        <w:tc>
          <w:tcPr>
            <w:tcW w:w="1122" w:type="pct"/>
            <w:tcBorders>
              <w:tl2br w:val="nil"/>
              <w:tr2bl w:val="nil"/>
            </w:tcBorders>
            <w:vAlign w:val="center"/>
          </w:tcPr>
          <w:p>
            <w:pPr>
              <w:spacing w:line="240" w:lineRule="auto"/>
              <w:ind w:firstLine="0" w:firstLineChars="0"/>
              <w:jc w:val="center"/>
              <w:rPr>
                <w:rFonts w:cs="Times New Roman"/>
                <w:sz w:val="20"/>
                <w:szCs w:val="20"/>
              </w:rPr>
            </w:pPr>
            <w:r>
              <w:rPr>
                <w:rFonts w:hint="eastAsia" w:cs="Times New Roman"/>
                <w:sz w:val="20"/>
                <w:szCs w:val="20"/>
              </w:rPr>
              <w:t>《中华人民共和国安全生产法》（中华人民共和国主席令第70号，主席令第13号修改，主席令第88号第三次修正）第二十一条</w:t>
            </w:r>
          </w:p>
        </w:tc>
        <w:tc>
          <w:tcPr>
            <w:tcW w:w="899"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公司的主要负责人对该单位的安全生产工作负相关职责，按照国家法律法规，结合自身实际，制定了各级人员安全生产责任制和安全管理制度，并根据生产特点制定了相应的操作规程。</w:t>
            </w:r>
          </w:p>
        </w:tc>
        <w:tc>
          <w:tcPr>
            <w:tcW w:w="386" w:type="pct"/>
            <w:tcBorders>
              <w:tl2br w:val="nil"/>
              <w:tr2bl w:val="nil"/>
            </w:tcBorders>
            <w:vAlign w:val="center"/>
          </w:tcPr>
          <w:p>
            <w:pPr>
              <w:spacing w:line="280" w:lineRule="exact"/>
              <w:ind w:firstLine="0" w:firstLineChars="0"/>
              <w:jc w:val="center"/>
              <w:rPr>
                <w:rFonts w:cs="Times New Roman"/>
                <w:bCs/>
                <w:sz w:val="20"/>
                <w:szCs w:val="20"/>
              </w:rPr>
            </w:pPr>
            <w:r>
              <w:rPr>
                <w:bCs/>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72" w:type="pct"/>
            <w:tcBorders>
              <w:tl2br w:val="nil"/>
              <w:tr2bl w:val="nil"/>
            </w:tcBorders>
            <w:vAlign w:val="center"/>
          </w:tcPr>
          <w:p>
            <w:pPr>
              <w:numPr>
                <w:ilvl w:val="0"/>
                <w:numId w:val="72"/>
              </w:numPr>
              <w:spacing w:line="240" w:lineRule="auto"/>
              <w:ind w:firstLine="0" w:firstLineChars="0"/>
              <w:jc w:val="center"/>
              <w:rPr>
                <w:rFonts w:ascii="宋体" w:hAnsi="宋体" w:cs="宋体"/>
                <w:b/>
                <w:bCs/>
                <w:sz w:val="21"/>
                <w:szCs w:val="21"/>
              </w:rPr>
            </w:pPr>
          </w:p>
        </w:tc>
        <w:tc>
          <w:tcPr>
            <w:tcW w:w="2218"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生产经营单位的全员安全生产责任制应当明确各岗位的责任人员、责任范围和考核标准等内容。</w:t>
            </w:r>
          </w:p>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生产经营单位应当建立相应的机制，加强对全员安全生产责任制落实情况的监督考核，保证全员安全生产责任制的落实。</w:t>
            </w:r>
          </w:p>
        </w:tc>
        <w:tc>
          <w:tcPr>
            <w:tcW w:w="1122" w:type="pct"/>
            <w:tcBorders>
              <w:tl2br w:val="nil"/>
              <w:tr2bl w:val="nil"/>
            </w:tcBorders>
            <w:vAlign w:val="center"/>
          </w:tcPr>
          <w:p>
            <w:pPr>
              <w:spacing w:line="240" w:lineRule="auto"/>
              <w:ind w:firstLine="0" w:firstLineChars="0"/>
              <w:jc w:val="center"/>
              <w:rPr>
                <w:rFonts w:cs="Times New Roman"/>
                <w:sz w:val="20"/>
                <w:szCs w:val="20"/>
              </w:rPr>
            </w:pPr>
            <w:r>
              <w:rPr>
                <w:rFonts w:hint="eastAsia" w:cs="Times New Roman"/>
                <w:sz w:val="20"/>
                <w:szCs w:val="20"/>
              </w:rPr>
              <w:t>《中华人民共和国安全生产法》（中华人民共和国主席令第70号，主席令第13号修改，主席令第88号第三次修正）第二十三条</w:t>
            </w:r>
          </w:p>
        </w:tc>
        <w:tc>
          <w:tcPr>
            <w:tcW w:w="899"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公司安全生产责任制明确了各岗位的责任人员、责任范围和考核标准等内容。</w:t>
            </w:r>
          </w:p>
        </w:tc>
        <w:tc>
          <w:tcPr>
            <w:tcW w:w="386" w:type="pct"/>
            <w:tcBorders>
              <w:tl2br w:val="nil"/>
              <w:tr2bl w:val="nil"/>
            </w:tcBorders>
            <w:vAlign w:val="center"/>
          </w:tcPr>
          <w:p>
            <w:pPr>
              <w:spacing w:line="280" w:lineRule="exact"/>
              <w:ind w:firstLine="0" w:firstLineChars="0"/>
              <w:jc w:val="center"/>
              <w:rPr>
                <w:rFonts w:cs="Times New Roman"/>
                <w:bCs/>
                <w:sz w:val="20"/>
                <w:szCs w:val="20"/>
              </w:rPr>
            </w:pPr>
            <w:r>
              <w:rPr>
                <w:bCs/>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72" w:type="pct"/>
            <w:tcBorders>
              <w:tl2br w:val="nil"/>
              <w:tr2bl w:val="nil"/>
            </w:tcBorders>
            <w:vAlign w:val="center"/>
          </w:tcPr>
          <w:p>
            <w:pPr>
              <w:numPr>
                <w:ilvl w:val="0"/>
                <w:numId w:val="72"/>
              </w:numPr>
              <w:spacing w:line="240" w:lineRule="auto"/>
              <w:ind w:firstLine="0" w:firstLineChars="0"/>
              <w:jc w:val="center"/>
              <w:rPr>
                <w:rFonts w:ascii="宋体" w:hAnsi="宋体" w:cs="宋体"/>
                <w:b/>
                <w:bCs/>
                <w:sz w:val="21"/>
                <w:szCs w:val="21"/>
              </w:rPr>
            </w:pPr>
          </w:p>
        </w:tc>
        <w:tc>
          <w:tcPr>
            <w:tcW w:w="2218"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生产经营单位应当具备的安全生产条件所必需的资金投入，由生产经营单位的决策机构、主要负责人或者个人经营的投资人予以保证，并对由于安全生产所必需的资金投入不足导致的后果承担责任。</w:t>
            </w:r>
          </w:p>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有关生产经营单位应当按照规定提取和使用安全生产费用，专门用于改善安全生产条件。安全生产费用在成本中据实列支。安全生产费用提取、使用和监督管理的具体办法由国务院财政部门会同国务院应急管理部门征求国务院有关部门意见后制定。</w:t>
            </w:r>
          </w:p>
        </w:tc>
        <w:tc>
          <w:tcPr>
            <w:tcW w:w="1122" w:type="pct"/>
            <w:tcBorders>
              <w:tl2br w:val="nil"/>
              <w:tr2bl w:val="nil"/>
            </w:tcBorders>
            <w:vAlign w:val="center"/>
          </w:tcPr>
          <w:p>
            <w:pPr>
              <w:spacing w:line="240" w:lineRule="auto"/>
              <w:ind w:firstLine="0" w:firstLineChars="0"/>
              <w:jc w:val="center"/>
              <w:rPr>
                <w:rFonts w:cs="Times New Roman"/>
                <w:sz w:val="20"/>
                <w:szCs w:val="20"/>
              </w:rPr>
            </w:pPr>
            <w:r>
              <w:rPr>
                <w:rFonts w:hint="eastAsia" w:cs="Times New Roman"/>
                <w:sz w:val="20"/>
                <w:szCs w:val="20"/>
              </w:rPr>
              <w:t>《中华人民共和国安全生产法》（中华人民共和国主席令第70号，主席令第13号修改，主席令第88号第三次修正）第二十三条</w:t>
            </w:r>
          </w:p>
        </w:tc>
        <w:tc>
          <w:tcPr>
            <w:tcW w:w="899"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本项目有相应的安全生产资金投入。</w:t>
            </w:r>
          </w:p>
        </w:tc>
        <w:tc>
          <w:tcPr>
            <w:tcW w:w="386" w:type="pct"/>
            <w:tcBorders>
              <w:tl2br w:val="nil"/>
              <w:tr2bl w:val="nil"/>
            </w:tcBorders>
            <w:vAlign w:val="center"/>
          </w:tcPr>
          <w:p>
            <w:pPr>
              <w:spacing w:line="280" w:lineRule="exact"/>
              <w:ind w:firstLine="0" w:firstLineChars="0"/>
              <w:jc w:val="center"/>
              <w:rPr>
                <w:rFonts w:cs="Times New Roman"/>
                <w:bCs/>
                <w:sz w:val="20"/>
                <w:szCs w:val="20"/>
              </w:rPr>
            </w:pPr>
            <w:r>
              <w:rPr>
                <w:bCs/>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72" w:type="pct"/>
            <w:tcBorders>
              <w:tl2br w:val="nil"/>
              <w:tr2bl w:val="nil"/>
            </w:tcBorders>
            <w:vAlign w:val="center"/>
          </w:tcPr>
          <w:p>
            <w:pPr>
              <w:numPr>
                <w:ilvl w:val="0"/>
                <w:numId w:val="72"/>
              </w:numPr>
              <w:spacing w:line="240" w:lineRule="auto"/>
              <w:ind w:firstLine="0" w:firstLineChars="0"/>
              <w:jc w:val="center"/>
              <w:rPr>
                <w:rFonts w:ascii="宋体" w:hAnsi="宋体" w:cs="宋体"/>
                <w:b/>
                <w:bCs/>
                <w:sz w:val="21"/>
                <w:szCs w:val="21"/>
              </w:rPr>
            </w:pPr>
          </w:p>
        </w:tc>
        <w:tc>
          <w:tcPr>
            <w:tcW w:w="2218"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生产经营单位必须依法参加工伤保险，为从业人员缴纳保险费。</w:t>
            </w:r>
          </w:p>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国家鼓励生产经营单位投保安全生产责任保险；属于国家规定的高危行业、领域的生产经营单位，应当投保安全生产责任保险。具体范围和实施办法由国务院应急管理部门会同国务院财政部门、国务院保险监督管理机构和相关行业主管部门制定。</w:t>
            </w:r>
          </w:p>
        </w:tc>
        <w:tc>
          <w:tcPr>
            <w:tcW w:w="1122" w:type="pct"/>
            <w:tcBorders>
              <w:tl2br w:val="nil"/>
              <w:tr2bl w:val="nil"/>
            </w:tcBorders>
            <w:vAlign w:val="center"/>
          </w:tcPr>
          <w:p>
            <w:pPr>
              <w:spacing w:line="240" w:lineRule="auto"/>
              <w:ind w:firstLine="0" w:firstLineChars="0"/>
              <w:jc w:val="center"/>
              <w:rPr>
                <w:rFonts w:cs="Times New Roman"/>
                <w:sz w:val="20"/>
                <w:szCs w:val="20"/>
              </w:rPr>
            </w:pPr>
            <w:r>
              <w:rPr>
                <w:rFonts w:hint="eastAsia" w:cs="Times New Roman"/>
                <w:sz w:val="20"/>
                <w:szCs w:val="20"/>
              </w:rPr>
              <w:t>《中华人民共和国安全生产法》（中华人民共和国主席令第70号，主席令第13号修改，主席令第88号第三次修正）第五十一条</w:t>
            </w:r>
          </w:p>
        </w:tc>
        <w:tc>
          <w:tcPr>
            <w:tcW w:w="899"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公司为员工办理了工伤保险，缴纳了保险费。</w:t>
            </w:r>
          </w:p>
        </w:tc>
        <w:tc>
          <w:tcPr>
            <w:tcW w:w="386" w:type="pct"/>
            <w:tcBorders>
              <w:tl2br w:val="nil"/>
              <w:tr2bl w:val="nil"/>
            </w:tcBorders>
            <w:vAlign w:val="center"/>
          </w:tcPr>
          <w:p>
            <w:pPr>
              <w:spacing w:line="280" w:lineRule="exact"/>
              <w:ind w:firstLine="0" w:firstLineChars="0"/>
              <w:jc w:val="center"/>
              <w:rPr>
                <w:rFonts w:cs="Times New Roman"/>
                <w:bCs/>
                <w:sz w:val="20"/>
                <w:szCs w:val="20"/>
              </w:rPr>
            </w:pPr>
            <w:r>
              <w:rPr>
                <w:bCs/>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72" w:type="pct"/>
            <w:tcBorders>
              <w:tl2br w:val="nil"/>
              <w:tr2bl w:val="nil"/>
            </w:tcBorders>
            <w:vAlign w:val="center"/>
          </w:tcPr>
          <w:p>
            <w:pPr>
              <w:numPr>
                <w:ilvl w:val="0"/>
                <w:numId w:val="72"/>
              </w:numPr>
              <w:spacing w:line="240" w:lineRule="auto"/>
              <w:ind w:firstLine="0" w:firstLineChars="0"/>
              <w:jc w:val="center"/>
              <w:rPr>
                <w:rFonts w:ascii="宋体" w:hAnsi="宋体" w:cs="宋体"/>
                <w:b/>
                <w:bCs/>
                <w:sz w:val="21"/>
                <w:szCs w:val="21"/>
              </w:rPr>
            </w:pPr>
          </w:p>
        </w:tc>
        <w:tc>
          <w:tcPr>
            <w:tcW w:w="2218"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生产经营单位应当按照规定推进安全生产标准化建设并持续规范运行，建立健全并实施安全生产规章制度和操作规程，落实安全生产责任制，明确各岗位的责任人员、责任范围和考核标准等内容，并严格监督和考核。</w:t>
            </w:r>
          </w:p>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鼓励生产经营单位制定并执行严于国家标准、行业标准或者地方标准的企业安全生产标准。</w:t>
            </w:r>
          </w:p>
        </w:tc>
        <w:tc>
          <w:tcPr>
            <w:tcW w:w="1122" w:type="pct"/>
            <w:tcBorders>
              <w:tl2br w:val="nil"/>
              <w:tr2bl w:val="nil"/>
            </w:tcBorders>
            <w:vAlign w:val="center"/>
          </w:tcPr>
          <w:p>
            <w:pPr>
              <w:spacing w:line="240" w:lineRule="auto"/>
              <w:ind w:firstLine="0" w:firstLineChars="0"/>
              <w:jc w:val="center"/>
              <w:rPr>
                <w:rFonts w:cs="Times New Roman"/>
                <w:sz w:val="20"/>
                <w:szCs w:val="20"/>
              </w:rPr>
            </w:pPr>
            <w:r>
              <w:rPr>
                <w:rFonts w:hint="eastAsia" w:cs="Times New Roman"/>
                <w:sz w:val="20"/>
                <w:szCs w:val="20"/>
              </w:rPr>
              <w:t>《云南省安全生产条例》（云南省第十二届人民代表大会常务委员会公告第63号）第十二条</w:t>
            </w:r>
          </w:p>
        </w:tc>
        <w:tc>
          <w:tcPr>
            <w:tcW w:w="899"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公司的主要负责人对该单位的安全生产工作负相关职责，按照国家法律法规，结合自身实际，制定了各级人员安全生产责任制和安全管理制度，并根据生产特点制定了相应的操作规程。</w:t>
            </w:r>
          </w:p>
        </w:tc>
        <w:tc>
          <w:tcPr>
            <w:tcW w:w="386" w:type="pct"/>
            <w:tcBorders>
              <w:tl2br w:val="nil"/>
              <w:tr2bl w:val="nil"/>
            </w:tcBorders>
            <w:vAlign w:val="center"/>
          </w:tcPr>
          <w:p>
            <w:pPr>
              <w:spacing w:line="280" w:lineRule="exact"/>
              <w:ind w:firstLine="0" w:firstLineChars="0"/>
              <w:jc w:val="center"/>
              <w:rPr>
                <w:rFonts w:cs="Times New Roman"/>
                <w:bCs/>
                <w:sz w:val="20"/>
                <w:szCs w:val="20"/>
              </w:rPr>
            </w:pPr>
            <w:r>
              <w:rPr>
                <w:bCs/>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72" w:type="pct"/>
            <w:tcBorders>
              <w:tl2br w:val="nil"/>
              <w:tr2bl w:val="nil"/>
            </w:tcBorders>
            <w:vAlign w:val="center"/>
          </w:tcPr>
          <w:p>
            <w:pPr>
              <w:numPr>
                <w:ilvl w:val="0"/>
                <w:numId w:val="72"/>
              </w:numPr>
              <w:spacing w:line="240" w:lineRule="auto"/>
              <w:ind w:firstLine="0" w:firstLineChars="0"/>
              <w:jc w:val="center"/>
              <w:rPr>
                <w:rFonts w:ascii="宋体" w:hAnsi="宋体" w:cs="宋体"/>
                <w:b/>
                <w:bCs/>
                <w:sz w:val="21"/>
                <w:szCs w:val="21"/>
              </w:rPr>
            </w:pPr>
          </w:p>
        </w:tc>
        <w:tc>
          <w:tcPr>
            <w:tcW w:w="2218"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生产经营单位应当保证安全生产所必需的资金投入。有关生产经营单位应当按照规定提取、使用安全生产费用，在成本中据实列支，专门用于改善安全生产条件。</w:t>
            </w:r>
          </w:p>
        </w:tc>
        <w:tc>
          <w:tcPr>
            <w:tcW w:w="1122" w:type="pct"/>
            <w:tcBorders>
              <w:tl2br w:val="nil"/>
              <w:tr2bl w:val="nil"/>
            </w:tcBorders>
            <w:vAlign w:val="center"/>
          </w:tcPr>
          <w:p>
            <w:pPr>
              <w:spacing w:line="240" w:lineRule="auto"/>
              <w:ind w:firstLine="0" w:firstLineChars="0"/>
              <w:jc w:val="center"/>
              <w:rPr>
                <w:rFonts w:cs="Times New Roman"/>
                <w:sz w:val="20"/>
                <w:szCs w:val="20"/>
              </w:rPr>
            </w:pPr>
            <w:r>
              <w:rPr>
                <w:rFonts w:hint="eastAsia" w:cs="Times New Roman"/>
                <w:sz w:val="20"/>
                <w:szCs w:val="20"/>
              </w:rPr>
              <w:t>《云南省安全生产条例》（云南省第十二届人民代表大会常务委员会公告第63号）第十三条</w:t>
            </w:r>
          </w:p>
        </w:tc>
        <w:tc>
          <w:tcPr>
            <w:tcW w:w="899"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本项目有相应的安全生产资金投入。</w:t>
            </w:r>
          </w:p>
        </w:tc>
        <w:tc>
          <w:tcPr>
            <w:tcW w:w="386" w:type="pct"/>
            <w:tcBorders>
              <w:tl2br w:val="nil"/>
              <w:tr2bl w:val="nil"/>
            </w:tcBorders>
            <w:vAlign w:val="center"/>
          </w:tcPr>
          <w:p>
            <w:pPr>
              <w:spacing w:line="280" w:lineRule="exact"/>
              <w:ind w:firstLine="0" w:firstLineChars="0"/>
              <w:jc w:val="center"/>
              <w:rPr>
                <w:rFonts w:cs="Times New Roman"/>
                <w:bCs/>
                <w:sz w:val="20"/>
                <w:szCs w:val="20"/>
              </w:rPr>
            </w:pPr>
            <w:r>
              <w:rPr>
                <w:bCs/>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vAlign w:val="center"/>
          </w:tcPr>
          <w:p>
            <w:pPr>
              <w:numPr>
                <w:ilvl w:val="0"/>
                <w:numId w:val="72"/>
              </w:numPr>
              <w:spacing w:line="240" w:lineRule="auto"/>
              <w:ind w:firstLine="0" w:firstLineChars="0"/>
              <w:jc w:val="center"/>
              <w:rPr>
                <w:rFonts w:ascii="宋体" w:hAnsi="宋体" w:cs="宋体"/>
                <w:b/>
                <w:bCs/>
                <w:sz w:val="21"/>
                <w:szCs w:val="21"/>
              </w:rPr>
            </w:pPr>
          </w:p>
        </w:tc>
        <w:tc>
          <w:tcPr>
            <w:tcW w:w="2218" w:type="pct"/>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生产经营单位新建、改建、扩建工程项目的，安全设施应当与主体工程同时设计、同时施工、同时投入生产和使用，安全设施投资应当纳入建设项目概算。</w:t>
            </w:r>
          </w:p>
        </w:tc>
        <w:tc>
          <w:tcPr>
            <w:tcW w:w="1122" w:type="pct"/>
            <w:vAlign w:val="center"/>
          </w:tcPr>
          <w:p>
            <w:pPr>
              <w:spacing w:line="240" w:lineRule="auto"/>
              <w:ind w:firstLine="0" w:firstLineChars="0"/>
              <w:jc w:val="center"/>
              <w:rPr>
                <w:rFonts w:cs="Times New Roman"/>
                <w:sz w:val="20"/>
                <w:szCs w:val="20"/>
              </w:rPr>
            </w:pPr>
            <w:r>
              <w:rPr>
                <w:rFonts w:hint="eastAsia" w:cs="Times New Roman"/>
                <w:sz w:val="20"/>
                <w:szCs w:val="20"/>
              </w:rPr>
              <w:t>《云南省安全生产条例》（云南省第十二届人民代表大会常务委员会公告第63号）第十四条</w:t>
            </w:r>
          </w:p>
        </w:tc>
        <w:tc>
          <w:tcPr>
            <w:tcW w:w="899" w:type="pct"/>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本项目为新建项目，安全设施投资</w:t>
            </w:r>
            <w:r>
              <w:rPr>
                <w:rFonts w:hint="eastAsia" w:ascii="宋体" w:hAnsi="宋体" w:cs="宋体"/>
                <w:bCs/>
                <w:kern w:val="0"/>
                <w:sz w:val="21"/>
                <w:szCs w:val="21"/>
                <w:lang w:eastAsia="zh-CN"/>
              </w:rPr>
              <w:t>纳入</w:t>
            </w:r>
            <w:r>
              <w:rPr>
                <w:rFonts w:hint="eastAsia" w:ascii="宋体" w:hAnsi="宋体" w:cs="宋体"/>
                <w:bCs/>
                <w:kern w:val="0"/>
                <w:sz w:val="21"/>
                <w:szCs w:val="21"/>
              </w:rPr>
              <w:t>建设项目概算。</w:t>
            </w:r>
          </w:p>
        </w:tc>
        <w:tc>
          <w:tcPr>
            <w:tcW w:w="386" w:type="pct"/>
            <w:vAlign w:val="center"/>
          </w:tcPr>
          <w:p>
            <w:pPr>
              <w:spacing w:line="280" w:lineRule="exact"/>
              <w:ind w:firstLine="0" w:firstLineChars="0"/>
              <w:jc w:val="center"/>
              <w:rPr>
                <w:rFonts w:cs="Times New Roman"/>
                <w:bCs/>
                <w:sz w:val="20"/>
                <w:szCs w:val="20"/>
              </w:rPr>
            </w:pPr>
            <w:r>
              <w:rPr>
                <w:bCs/>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vAlign w:val="center"/>
          </w:tcPr>
          <w:p>
            <w:pPr>
              <w:numPr>
                <w:ilvl w:val="0"/>
                <w:numId w:val="72"/>
              </w:numPr>
              <w:spacing w:line="240" w:lineRule="auto"/>
              <w:ind w:firstLine="0" w:firstLineChars="0"/>
              <w:jc w:val="center"/>
              <w:rPr>
                <w:rFonts w:ascii="宋体" w:hAnsi="宋体" w:cs="宋体"/>
                <w:b/>
                <w:bCs/>
                <w:sz w:val="21"/>
                <w:szCs w:val="21"/>
              </w:rPr>
            </w:pPr>
          </w:p>
        </w:tc>
        <w:tc>
          <w:tcPr>
            <w:tcW w:w="2218" w:type="pct"/>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企业应当建立健全全员安全生产责任制，主要负责人（包括法定代表人和实际控制人，下同）是本企业安全生产的第一责任人，对本企业的安全生产工作全面负责；其他负责人对分管范围内的安全生产工作负责；各职能部门负责人对职责范围内的安全生产工作负责。</w:t>
            </w:r>
          </w:p>
        </w:tc>
        <w:tc>
          <w:tcPr>
            <w:tcW w:w="1122" w:type="pct"/>
            <w:vAlign w:val="center"/>
          </w:tcPr>
          <w:p>
            <w:pPr>
              <w:spacing w:line="240" w:lineRule="auto"/>
              <w:ind w:firstLine="0" w:firstLineChars="0"/>
              <w:jc w:val="center"/>
              <w:rPr>
                <w:rFonts w:cs="Times New Roman"/>
                <w:sz w:val="20"/>
                <w:szCs w:val="20"/>
              </w:rPr>
            </w:pPr>
            <w:r>
              <w:rPr>
                <w:rFonts w:hint="eastAsia" w:cs="Times New Roman"/>
                <w:sz w:val="20"/>
                <w:szCs w:val="20"/>
              </w:rPr>
              <w:t>《冶金企业和有色金属企业安全生产规定》（国家安全生产监督管理总局令第91号）第八条</w:t>
            </w:r>
          </w:p>
        </w:tc>
        <w:tc>
          <w:tcPr>
            <w:tcW w:w="899" w:type="pct"/>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公司建立了全员安全生产责任制。</w:t>
            </w:r>
          </w:p>
        </w:tc>
        <w:tc>
          <w:tcPr>
            <w:tcW w:w="386" w:type="pct"/>
            <w:vAlign w:val="center"/>
          </w:tcPr>
          <w:p>
            <w:pPr>
              <w:spacing w:line="280" w:lineRule="exact"/>
              <w:ind w:firstLine="0" w:firstLineChars="0"/>
              <w:jc w:val="center"/>
              <w:rPr>
                <w:rFonts w:cs="Times New Roman"/>
                <w:bCs/>
                <w:sz w:val="20"/>
                <w:szCs w:val="20"/>
              </w:rPr>
            </w:pPr>
            <w:r>
              <w:rPr>
                <w:bCs/>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vAlign w:val="center"/>
          </w:tcPr>
          <w:p>
            <w:pPr>
              <w:numPr>
                <w:ilvl w:val="0"/>
                <w:numId w:val="72"/>
              </w:numPr>
              <w:spacing w:line="240" w:lineRule="auto"/>
              <w:ind w:firstLine="0" w:firstLineChars="0"/>
              <w:jc w:val="center"/>
              <w:rPr>
                <w:rFonts w:ascii="宋体" w:hAnsi="宋体" w:cs="宋体"/>
                <w:b/>
                <w:bCs/>
                <w:sz w:val="21"/>
                <w:szCs w:val="21"/>
              </w:rPr>
            </w:pPr>
          </w:p>
        </w:tc>
        <w:tc>
          <w:tcPr>
            <w:tcW w:w="2218" w:type="pct"/>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企业应当建立有限空间、动火、高处作业、能源介质停送等较大危险作业和检修、维修作业审批制度，实施工作票（作业票）和操作票管理，严格履行内部审批手续，并安排专门人员进行现场安全管理，确保作业安全。</w:t>
            </w:r>
          </w:p>
        </w:tc>
        <w:tc>
          <w:tcPr>
            <w:tcW w:w="1122" w:type="pct"/>
            <w:vAlign w:val="center"/>
          </w:tcPr>
          <w:p>
            <w:pPr>
              <w:spacing w:line="240" w:lineRule="auto"/>
              <w:ind w:firstLine="0" w:firstLineChars="0"/>
              <w:rPr>
                <w:rFonts w:cs="Times New Roman"/>
                <w:sz w:val="20"/>
                <w:szCs w:val="20"/>
              </w:rPr>
            </w:pPr>
            <w:r>
              <w:rPr>
                <w:rFonts w:hint="eastAsia" w:cs="Times New Roman"/>
                <w:sz w:val="20"/>
                <w:szCs w:val="20"/>
              </w:rPr>
              <w:t>《冶金企业和有色金属企业安全生产规定》（国家安全生产监督管理总局令第91号）第三十八条</w:t>
            </w:r>
          </w:p>
        </w:tc>
        <w:tc>
          <w:tcPr>
            <w:tcW w:w="899" w:type="pct"/>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公司建立了特殊作业管理制度，并严格执行作业票审批制度。</w:t>
            </w:r>
          </w:p>
        </w:tc>
        <w:tc>
          <w:tcPr>
            <w:tcW w:w="386" w:type="pct"/>
            <w:vAlign w:val="center"/>
          </w:tcPr>
          <w:p>
            <w:pPr>
              <w:spacing w:line="280" w:lineRule="exact"/>
              <w:ind w:firstLine="0" w:firstLineChars="0"/>
              <w:jc w:val="center"/>
              <w:rPr>
                <w:rFonts w:cs="Times New Roman"/>
                <w:bCs/>
                <w:sz w:val="20"/>
                <w:szCs w:val="20"/>
              </w:rPr>
            </w:pPr>
            <w:r>
              <w:rPr>
                <w:bCs/>
                <w:sz w:val="20"/>
                <w:szCs w:val="20"/>
              </w:rPr>
              <w:t>符合</w:t>
            </w:r>
          </w:p>
        </w:tc>
      </w:tr>
    </w:tbl>
    <w:p>
      <w:pPr>
        <w:ind w:firstLine="560"/>
        <w:rPr>
          <w:rFonts w:ascii="宋体" w:hAnsi="宋体" w:cs="宋体"/>
        </w:rPr>
      </w:pPr>
      <w:r>
        <w:rPr>
          <w:rFonts w:hint="eastAsia" w:ascii="宋体" w:hAnsi="宋体" w:cs="宋体"/>
        </w:rPr>
        <w:t>公司项目组织机构与制度符合《中华人民共和国安全生产法》（中华人民共和国主席令第70号，主席令第13号修改，主席令第88号第三次修正）、《云南省安全生产条例》（云南省第十二届人民代表大会常务委员会公告第63号）、《冶金企业和有色金属企业安全生产规定》（国家安全生产监督管理总局令第91号）等国家标准规范的要求。</w:t>
      </w:r>
    </w:p>
    <w:p>
      <w:pPr>
        <w:pStyle w:val="6"/>
        <w:tabs>
          <w:tab w:val="left" w:pos="420"/>
          <w:tab w:val="clear" w:pos="2101"/>
        </w:tabs>
        <w:spacing w:before="156" w:after="156"/>
      </w:pPr>
      <w:bookmarkStart w:id="356" w:name="_Toc6293"/>
      <w:bookmarkStart w:id="357" w:name="_Toc17328"/>
      <w:bookmarkStart w:id="358" w:name="_Toc32754"/>
      <w:r>
        <w:t>机构设置</w:t>
      </w:r>
      <w:bookmarkEnd w:id="356"/>
      <w:bookmarkEnd w:id="357"/>
    </w:p>
    <w:p>
      <w:pPr>
        <w:pStyle w:val="14"/>
        <w:spacing w:before="156" w:after="156"/>
      </w:pPr>
      <w:r>
        <w:t xml:space="preserve">表 </w:t>
      </w:r>
      <w:r>
        <w:fldChar w:fldCharType="begin"/>
      </w:r>
      <w:r>
        <w:instrText xml:space="preserve"> STYLEREF 1 \s </w:instrText>
      </w:r>
      <w:r>
        <w:fldChar w:fldCharType="separate"/>
      </w:r>
      <w:r>
        <w:t>5</w:t>
      </w:r>
      <w:r>
        <w:fldChar w:fldCharType="end"/>
      </w:r>
      <w:r>
        <w:rPr>
          <w:rFonts w:hint="eastAsia"/>
        </w:rPr>
        <w:t>.9-2机构设置情况安全检查表</w:t>
      </w:r>
    </w:p>
    <w:tbl>
      <w:tblPr>
        <w:tblStyle w:val="29"/>
        <w:tblW w:w="508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44"/>
        <w:gridCol w:w="3385"/>
        <w:gridCol w:w="2214"/>
        <w:gridCol w:w="1761"/>
        <w:gridCol w:w="67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6" w:hRule="atLeast"/>
          <w:tblHeader/>
          <w:jc w:val="center"/>
        </w:trPr>
        <w:tc>
          <w:tcPr>
            <w:tcW w:w="372" w:type="pct"/>
            <w:tcBorders>
              <w:tl2br w:val="nil"/>
              <w:tr2bl w:val="nil"/>
            </w:tcBorders>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序号</w:t>
            </w:r>
          </w:p>
        </w:tc>
        <w:tc>
          <w:tcPr>
            <w:tcW w:w="1950" w:type="pct"/>
            <w:tcBorders>
              <w:tl2br w:val="nil"/>
              <w:tr2bl w:val="nil"/>
            </w:tcBorders>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检查内容</w:t>
            </w:r>
          </w:p>
        </w:tc>
        <w:tc>
          <w:tcPr>
            <w:tcW w:w="1275" w:type="pct"/>
            <w:tcBorders>
              <w:tl2br w:val="nil"/>
              <w:tr2bl w:val="nil"/>
            </w:tcBorders>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依据标准</w:t>
            </w:r>
          </w:p>
        </w:tc>
        <w:tc>
          <w:tcPr>
            <w:tcW w:w="1014" w:type="pct"/>
            <w:tcBorders>
              <w:tl2br w:val="nil"/>
              <w:tr2bl w:val="nil"/>
            </w:tcBorders>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检查情况</w:t>
            </w:r>
          </w:p>
        </w:tc>
        <w:tc>
          <w:tcPr>
            <w:tcW w:w="386" w:type="pct"/>
            <w:tcBorders>
              <w:tl2br w:val="nil"/>
              <w:tr2bl w:val="nil"/>
            </w:tcBorders>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结论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83" w:hRule="atLeast"/>
          <w:jc w:val="center"/>
        </w:trPr>
        <w:tc>
          <w:tcPr>
            <w:tcW w:w="372" w:type="pct"/>
            <w:tcBorders>
              <w:tl2br w:val="nil"/>
              <w:tr2bl w:val="nil"/>
            </w:tcBorders>
            <w:vAlign w:val="center"/>
          </w:tcPr>
          <w:p>
            <w:pPr>
              <w:numPr>
                <w:ilvl w:val="0"/>
                <w:numId w:val="73"/>
              </w:numPr>
              <w:spacing w:line="240" w:lineRule="auto"/>
              <w:ind w:firstLine="0" w:firstLineChars="0"/>
              <w:jc w:val="center"/>
              <w:rPr>
                <w:rFonts w:ascii="宋体" w:hAnsi="宋体" w:cs="宋体"/>
                <w:b/>
                <w:bCs/>
                <w:sz w:val="21"/>
                <w:szCs w:val="21"/>
              </w:rPr>
            </w:pPr>
          </w:p>
        </w:tc>
        <w:tc>
          <w:tcPr>
            <w:tcW w:w="1950"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矿山、金属冶炼、建筑施工、运输单位和危险物品的生产、经营、储存、装卸单位，应当设置安全生产管理机构或者配备专职安全生产管理人员。</w:t>
            </w:r>
          </w:p>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前款规定以外的其他生产经营单位，从业人员超过一百人的，应当设置安全生产管理机构或者配备专职安全生产管理人员；从业人员在一百人以下的，应当配备专职或者兼职的安全生产管理人员。</w:t>
            </w:r>
          </w:p>
        </w:tc>
        <w:tc>
          <w:tcPr>
            <w:tcW w:w="1275" w:type="pct"/>
            <w:tcBorders>
              <w:tl2br w:val="nil"/>
              <w:tr2bl w:val="nil"/>
            </w:tcBorders>
            <w:vAlign w:val="center"/>
          </w:tcPr>
          <w:p>
            <w:pPr>
              <w:spacing w:line="240" w:lineRule="auto"/>
              <w:ind w:firstLine="0" w:firstLineChars="0"/>
              <w:jc w:val="center"/>
              <w:rPr>
                <w:rFonts w:cs="Times New Roman"/>
                <w:sz w:val="20"/>
                <w:szCs w:val="20"/>
              </w:rPr>
            </w:pPr>
            <w:r>
              <w:rPr>
                <w:rFonts w:hint="eastAsia" w:cs="Times New Roman"/>
                <w:sz w:val="20"/>
                <w:szCs w:val="20"/>
              </w:rPr>
              <w:t>《中华人民共和国安全生产法》（中华人民共和国主席令第70号，主席令第13号修改，主席令第88号第三次修正修改）第二十四条</w:t>
            </w:r>
          </w:p>
        </w:tc>
        <w:tc>
          <w:tcPr>
            <w:tcW w:w="1014"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公司成立安全领导小组作为安全生产管理机构，并任命了专职安全生产管理员。</w:t>
            </w:r>
          </w:p>
        </w:tc>
        <w:tc>
          <w:tcPr>
            <w:tcW w:w="386" w:type="pct"/>
            <w:tcBorders>
              <w:tl2br w:val="nil"/>
              <w:tr2bl w:val="nil"/>
            </w:tcBorders>
            <w:vAlign w:val="center"/>
          </w:tcPr>
          <w:p>
            <w:pPr>
              <w:spacing w:line="280" w:lineRule="exact"/>
              <w:ind w:firstLine="0" w:firstLineChars="0"/>
              <w:jc w:val="center"/>
              <w:rPr>
                <w:rFonts w:cs="Times New Roman"/>
                <w:bCs/>
                <w:sz w:val="20"/>
                <w:szCs w:val="20"/>
              </w:rPr>
            </w:pPr>
            <w:r>
              <w:rPr>
                <w:bCs/>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372" w:type="pct"/>
            <w:tcBorders>
              <w:tl2br w:val="nil"/>
              <w:tr2bl w:val="nil"/>
            </w:tcBorders>
            <w:vAlign w:val="center"/>
          </w:tcPr>
          <w:p>
            <w:pPr>
              <w:numPr>
                <w:ilvl w:val="0"/>
                <w:numId w:val="73"/>
              </w:numPr>
              <w:spacing w:line="240" w:lineRule="auto"/>
              <w:ind w:firstLine="0" w:firstLineChars="0"/>
              <w:jc w:val="center"/>
              <w:rPr>
                <w:rFonts w:ascii="宋体" w:hAnsi="宋体" w:cs="宋体"/>
                <w:b/>
                <w:bCs/>
                <w:sz w:val="21"/>
                <w:szCs w:val="21"/>
              </w:rPr>
            </w:pPr>
          </w:p>
        </w:tc>
        <w:tc>
          <w:tcPr>
            <w:tcW w:w="1950"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生产经营单位的安全生产管理机构以及安全生产管理人员履行下列职责：</w:t>
            </w:r>
          </w:p>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（一）组织或者参与拟订本单位安全生产规章制度、操作规程和生产安全事故应急救援预案；</w:t>
            </w:r>
          </w:p>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（二）组织或者参与本单位安全生产教育和培训，如实记录安全生产教育和培训情况；</w:t>
            </w:r>
          </w:p>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（三）组织开展危险源辨识和评估，督促落实本单位重大危险源的安全管理措施；</w:t>
            </w:r>
          </w:p>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（四）组织或者参与本单位应急救援演练；</w:t>
            </w:r>
          </w:p>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（五）检查本单位的安全生产状况，及时排查生产安全事故隐患，提出改进安全生产管理的建议；</w:t>
            </w:r>
          </w:p>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（六）制止和纠正违章指挥、强令冒险作业、违反操作规程的行为；</w:t>
            </w:r>
          </w:p>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（七）督促落实本单位安全生产整改措施。</w:t>
            </w:r>
          </w:p>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生产经营单位可以设置专职安全生产分管负责人，协助本单位主要负责人履行安全生产管理职责。</w:t>
            </w:r>
          </w:p>
        </w:tc>
        <w:tc>
          <w:tcPr>
            <w:tcW w:w="1275" w:type="pct"/>
            <w:tcBorders>
              <w:tl2br w:val="nil"/>
              <w:tr2bl w:val="nil"/>
            </w:tcBorders>
            <w:vAlign w:val="center"/>
          </w:tcPr>
          <w:p>
            <w:pPr>
              <w:spacing w:line="240" w:lineRule="auto"/>
              <w:ind w:firstLine="0" w:firstLineChars="0"/>
              <w:jc w:val="center"/>
              <w:rPr>
                <w:rFonts w:cs="Times New Roman"/>
                <w:sz w:val="20"/>
                <w:szCs w:val="20"/>
              </w:rPr>
            </w:pPr>
            <w:r>
              <w:rPr>
                <w:rFonts w:hint="eastAsia" w:cs="Times New Roman"/>
                <w:sz w:val="20"/>
                <w:szCs w:val="20"/>
              </w:rPr>
              <w:t>《中华人民共和国安全生产法》（中华人民共和国主席令第70号，主席令第13号修改，主席令第88号第三次修正）</w:t>
            </w:r>
          </w:p>
          <w:p>
            <w:pPr>
              <w:spacing w:line="240" w:lineRule="auto"/>
              <w:ind w:firstLine="0" w:firstLineChars="0"/>
              <w:jc w:val="center"/>
              <w:rPr>
                <w:rFonts w:cs="Times New Roman"/>
                <w:sz w:val="20"/>
                <w:szCs w:val="20"/>
              </w:rPr>
            </w:pPr>
            <w:r>
              <w:rPr>
                <w:rFonts w:hint="eastAsia" w:cs="Times New Roman"/>
                <w:sz w:val="20"/>
                <w:szCs w:val="20"/>
              </w:rPr>
              <w:t>第二十五条</w:t>
            </w:r>
          </w:p>
        </w:tc>
        <w:tc>
          <w:tcPr>
            <w:tcW w:w="1014"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安全生产管理机构以及安全生产管理人员履行所述职责。</w:t>
            </w:r>
          </w:p>
        </w:tc>
        <w:tc>
          <w:tcPr>
            <w:tcW w:w="386" w:type="pct"/>
            <w:tcBorders>
              <w:tl2br w:val="nil"/>
              <w:tr2bl w:val="nil"/>
            </w:tcBorders>
            <w:vAlign w:val="center"/>
          </w:tcPr>
          <w:p>
            <w:pPr>
              <w:spacing w:line="280" w:lineRule="exact"/>
              <w:ind w:firstLine="0" w:firstLineChars="0"/>
              <w:jc w:val="center"/>
              <w:rPr>
                <w:rFonts w:cs="Times New Roman"/>
                <w:bCs/>
                <w:sz w:val="20"/>
                <w:szCs w:val="20"/>
              </w:rPr>
            </w:pPr>
            <w:r>
              <w:rPr>
                <w:bCs/>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92" w:hRule="atLeast"/>
          <w:jc w:val="center"/>
        </w:trPr>
        <w:tc>
          <w:tcPr>
            <w:tcW w:w="372" w:type="pct"/>
            <w:tcBorders>
              <w:tl2br w:val="nil"/>
              <w:tr2bl w:val="nil"/>
            </w:tcBorders>
            <w:vAlign w:val="center"/>
          </w:tcPr>
          <w:p>
            <w:pPr>
              <w:numPr>
                <w:ilvl w:val="0"/>
                <w:numId w:val="73"/>
              </w:numPr>
              <w:spacing w:line="240" w:lineRule="auto"/>
              <w:ind w:firstLine="0" w:firstLineChars="0"/>
              <w:jc w:val="center"/>
              <w:rPr>
                <w:rFonts w:ascii="宋体" w:hAnsi="宋体" w:cs="宋体"/>
                <w:b/>
                <w:bCs/>
                <w:sz w:val="21"/>
                <w:szCs w:val="21"/>
              </w:rPr>
            </w:pPr>
          </w:p>
        </w:tc>
        <w:tc>
          <w:tcPr>
            <w:tcW w:w="1950"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生产经营单位的安全生产管理机构以及安全生产管理人员应当恪尽职守，依法履行职责。</w:t>
            </w:r>
          </w:p>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生产经营单位作出涉及安全生产的经营决策，应当听取安全生产管理机构以及安全生产管理人员的意见。</w:t>
            </w:r>
          </w:p>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生产经营单位不得因安全生产管理人员依法履行职责而降低其工资、福利等待遇或者解除与其订立的劳动合同。</w:t>
            </w:r>
          </w:p>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危险物品的生产、储存单位以及矿山、金属冶炼单位的安全生产管理人员的任免，应当告知主管的负有安全生产监督管理职责的部门。</w:t>
            </w:r>
          </w:p>
        </w:tc>
        <w:tc>
          <w:tcPr>
            <w:tcW w:w="1275" w:type="pct"/>
            <w:tcBorders>
              <w:tl2br w:val="nil"/>
              <w:tr2bl w:val="nil"/>
            </w:tcBorders>
            <w:vAlign w:val="center"/>
          </w:tcPr>
          <w:p>
            <w:pPr>
              <w:spacing w:line="240" w:lineRule="auto"/>
              <w:ind w:firstLine="0" w:firstLineChars="0"/>
              <w:jc w:val="center"/>
              <w:rPr>
                <w:rFonts w:cs="Times New Roman"/>
                <w:sz w:val="20"/>
                <w:szCs w:val="20"/>
              </w:rPr>
            </w:pPr>
            <w:r>
              <w:rPr>
                <w:rFonts w:hint="eastAsia" w:cs="Times New Roman"/>
                <w:sz w:val="20"/>
                <w:szCs w:val="20"/>
              </w:rPr>
              <w:t>《中华人民共和国安全生产法》（中华人民共和国主席令第70号，主席令第13号修改，主席令第88号第三次修正）</w:t>
            </w:r>
          </w:p>
          <w:p>
            <w:pPr>
              <w:spacing w:line="240" w:lineRule="auto"/>
              <w:ind w:firstLine="0" w:firstLineChars="0"/>
              <w:jc w:val="center"/>
              <w:rPr>
                <w:rFonts w:cs="Times New Roman"/>
                <w:sz w:val="20"/>
                <w:szCs w:val="20"/>
              </w:rPr>
            </w:pPr>
            <w:r>
              <w:rPr>
                <w:rFonts w:hint="eastAsia" w:cs="Times New Roman"/>
                <w:sz w:val="20"/>
                <w:szCs w:val="20"/>
              </w:rPr>
              <w:t>第二十六条</w:t>
            </w:r>
          </w:p>
        </w:tc>
        <w:tc>
          <w:tcPr>
            <w:tcW w:w="1014"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安全生产管理机构以及安全生产管理人员履行所述职责。</w:t>
            </w:r>
          </w:p>
        </w:tc>
        <w:tc>
          <w:tcPr>
            <w:tcW w:w="386" w:type="pct"/>
            <w:tcBorders>
              <w:tl2br w:val="nil"/>
              <w:tr2bl w:val="nil"/>
            </w:tcBorders>
            <w:vAlign w:val="center"/>
          </w:tcPr>
          <w:p>
            <w:pPr>
              <w:spacing w:line="280" w:lineRule="exact"/>
              <w:ind w:firstLine="0" w:firstLineChars="0"/>
              <w:jc w:val="center"/>
              <w:rPr>
                <w:rFonts w:cs="Times New Roman"/>
                <w:bCs/>
                <w:sz w:val="20"/>
                <w:szCs w:val="20"/>
              </w:rPr>
            </w:pPr>
            <w:r>
              <w:rPr>
                <w:bCs/>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44" w:hRule="atLeast"/>
          <w:jc w:val="center"/>
        </w:trPr>
        <w:tc>
          <w:tcPr>
            <w:tcW w:w="372" w:type="pct"/>
            <w:tcBorders>
              <w:tl2br w:val="nil"/>
              <w:tr2bl w:val="nil"/>
            </w:tcBorders>
            <w:vAlign w:val="center"/>
          </w:tcPr>
          <w:p>
            <w:pPr>
              <w:numPr>
                <w:ilvl w:val="0"/>
                <w:numId w:val="73"/>
              </w:numPr>
              <w:spacing w:line="240" w:lineRule="auto"/>
              <w:ind w:firstLine="0" w:firstLineChars="0"/>
              <w:jc w:val="center"/>
              <w:rPr>
                <w:rFonts w:ascii="宋体" w:hAnsi="宋体" w:cs="宋体"/>
                <w:b/>
                <w:bCs/>
                <w:sz w:val="21"/>
                <w:szCs w:val="21"/>
              </w:rPr>
            </w:pPr>
          </w:p>
        </w:tc>
        <w:tc>
          <w:tcPr>
            <w:tcW w:w="1950"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矿山、金属冶炼、建筑施工、道路运输单位和危险物品的生产、经营、储存、废弃处置单位，应当设置专门的安全生产管理机构或者配备相应的专职安全生产管理人员。</w:t>
            </w:r>
          </w:p>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前款规定以外的其他生产经营单位，从业人员超过100人的，应当设置安全生产管理机构，专职安全生产管理人员不得少于2人；从业人员在100人以下的，应当配备专职或者兼职安全生产管理人员，或者委托依法设立的机构提供安全生产管理服务。</w:t>
            </w:r>
          </w:p>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生产经营单位的分支机构或者所属单位，应当按照本条规定设置、配备安全生产管理机构和人员。</w:t>
            </w:r>
          </w:p>
        </w:tc>
        <w:tc>
          <w:tcPr>
            <w:tcW w:w="1275" w:type="pct"/>
            <w:tcBorders>
              <w:tl2br w:val="nil"/>
              <w:tr2bl w:val="nil"/>
            </w:tcBorders>
            <w:vAlign w:val="center"/>
          </w:tcPr>
          <w:p>
            <w:pPr>
              <w:spacing w:line="240" w:lineRule="auto"/>
              <w:ind w:firstLine="0" w:firstLineChars="0"/>
              <w:jc w:val="center"/>
              <w:rPr>
                <w:rFonts w:cs="Times New Roman"/>
                <w:sz w:val="20"/>
                <w:szCs w:val="20"/>
              </w:rPr>
            </w:pPr>
            <w:r>
              <w:rPr>
                <w:rFonts w:hint="eastAsia" w:cs="Times New Roman"/>
                <w:sz w:val="20"/>
                <w:szCs w:val="20"/>
              </w:rPr>
              <w:t>《云南省安全生产条例》（云南省第十二届人民代表大会常务委员会公告第63号）</w:t>
            </w:r>
          </w:p>
          <w:p>
            <w:pPr>
              <w:spacing w:line="240" w:lineRule="auto"/>
              <w:ind w:firstLine="0" w:firstLineChars="0"/>
              <w:jc w:val="center"/>
              <w:rPr>
                <w:rFonts w:cs="Times New Roman"/>
                <w:sz w:val="20"/>
                <w:szCs w:val="20"/>
              </w:rPr>
            </w:pPr>
            <w:r>
              <w:rPr>
                <w:rFonts w:hint="eastAsia" w:cs="Times New Roman"/>
                <w:sz w:val="20"/>
                <w:szCs w:val="20"/>
              </w:rPr>
              <w:t>第十五条</w:t>
            </w:r>
          </w:p>
        </w:tc>
        <w:tc>
          <w:tcPr>
            <w:tcW w:w="1014"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公司成立安全领导小组作为安全生产管理机构，并任命了专职安全生产管理员。专职安全生产管理人员3人。</w:t>
            </w:r>
          </w:p>
        </w:tc>
        <w:tc>
          <w:tcPr>
            <w:tcW w:w="386" w:type="pct"/>
            <w:tcBorders>
              <w:tl2br w:val="nil"/>
              <w:tr2bl w:val="nil"/>
            </w:tcBorders>
            <w:vAlign w:val="center"/>
          </w:tcPr>
          <w:p>
            <w:pPr>
              <w:spacing w:line="280" w:lineRule="exact"/>
              <w:ind w:firstLine="0" w:firstLineChars="0"/>
              <w:jc w:val="center"/>
              <w:rPr>
                <w:rFonts w:cs="Times New Roman"/>
                <w:bCs/>
                <w:sz w:val="20"/>
                <w:szCs w:val="20"/>
              </w:rPr>
            </w:pPr>
            <w:r>
              <w:rPr>
                <w:bCs/>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26" w:hRule="atLeast"/>
          <w:jc w:val="center"/>
        </w:trPr>
        <w:tc>
          <w:tcPr>
            <w:tcW w:w="372" w:type="pct"/>
            <w:tcBorders>
              <w:tl2br w:val="nil"/>
              <w:tr2bl w:val="nil"/>
            </w:tcBorders>
            <w:vAlign w:val="center"/>
          </w:tcPr>
          <w:p>
            <w:pPr>
              <w:numPr>
                <w:ilvl w:val="0"/>
                <w:numId w:val="73"/>
              </w:numPr>
              <w:spacing w:line="240" w:lineRule="auto"/>
              <w:ind w:firstLine="0" w:firstLineChars="0"/>
              <w:jc w:val="center"/>
              <w:rPr>
                <w:rFonts w:ascii="宋体" w:hAnsi="宋体" w:cs="宋体"/>
                <w:b/>
                <w:bCs/>
                <w:sz w:val="21"/>
                <w:szCs w:val="21"/>
              </w:rPr>
            </w:pPr>
          </w:p>
        </w:tc>
        <w:tc>
          <w:tcPr>
            <w:tcW w:w="1950"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企业存在金属冶炼工艺，从业人员在一百人以上的，应当设置安全生产管理机构或者配备不低于从业人员千分之三的专职安全生产管理人员，但最低不少于三人；从业人员在一百人以下的，应当设置安全生产管理机构或者配备专职安全生产管理人员。</w:t>
            </w:r>
          </w:p>
        </w:tc>
        <w:tc>
          <w:tcPr>
            <w:tcW w:w="1275" w:type="pct"/>
            <w:tcBorders>
              <w:tl2br w:val="nil"/>
              <w:tr2bl w:val="nil"/>
            </w:tcBorders>
            <w:vAlign w:val="center"/>
          </w:tcPr>
          <w:p>
            <w:pPr>
              <w:spacing w:line="240" w:lineRule="auto"/>
              <w:ind w:firstLine="0" w:firstLineChars="0"/>
              <w:jc w:val="center"/>
              <w:rPr>
                <w:rFonts w:cs="Times New Roman"/>
                <w:sz w:val="20"/>
                <w:szCs w:val="20"/>
              </w:rPr>
            </w:pPr>
            <w:r>
              <w:rPr>
                <w:rFonts w:hint="eastAsia" w:cs="Times New Roman"/>
                <w:sz w:val="20"/>
                <w:szCs w:val="20"/>
              </w:rPr>
              <w:t>《冶金企业和有色金属企业安全生产规定》（国家安全生产监督管理总局令第91号）</w:t>
            </w:r>
          </w:p>
          <w:p>
            <w:pPr>
              <w:spacing w:line="240" w:lineRule="auto"/>
              <w:ind w:firstLine="0" w:firstLineChars="0"/>
              <w:jc w:val="center"/>
              <w:rPr>
                <w:rFonts w:cs="Times New Roman"/>
                <w:sz w:val="20"/>
                <w:szCs w:val="20"/>
              </w:rPr>
            </w:pPr>
            <w:r>
              <w:rPr>
                <w:rFonts w:hint="eastAsia" w:cs="Times New Roman"/>
                <w:sz w:val="20"/>
                <w:szCs w:val="20"/>
              </w:rPr>
              <w:t>第十条</w:t>
            </w:r>
          </w:p>
        </w:tc>
        <w:tc>
          <w:tcPr>
            <w:tcW w:w="1014"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公司成立安全领导小组作为安全生产管理机构，并任命了专职安全生产管理员。专职安全生产管理人员3人。</w:t>
            </w:r>
          </w:p>
        </w:tc>
        <w:tc>
          <w:tcPr>
            <w:tcW w:w="386" w:type="pct"/>
            <w:tcBorders>
              <w:tl2br w:val="nil"/>
              <w:tr2bl w:val="nil"/>
            </w:tcBorders>
            <w:vAlign w:val="center"/>
          </w:tcPr>
          <w:p>
            <w:pPr>
              <w:spacing w:line="280" w:lineRule="exact"/>
              <w:ind w:firstLine="0" w:firstLineChars="0"/>
              <w:jc w:val="center"/>
              <w:rPr>
                <w:rFonts w:cs="Times New Roman"/>
                <w:bCs/>
                <w:sz w:val="20"/>
                <w:szCs w:val="20"/>
              </w:rPr>
            </w:pPr>
            <w:r>
              <w:rPr>
                <w:bCs/>
                <w:sz w:val="20"/>
                <w:szCs w:val="20"/>
              </w:rPr>
              <w:t>符合</w:t>
            </w:r>
          </w:p>
        </w:tc>
      </w:tr>
    </w:tbl>
    <w:p>
      <w:pPr>
        <w:ind w:firstLine="560"/>
        <w:rPr>
          <w:rFonts w:ascii="宋体" w:hAnsi="宋体" w:cs="宋体"/>
        </w:rPr>
      </w:pPr>
      <w:r>
        <w:rPr>
          <w:rFonts w:hint="eastAsia" w:ascii="宋体" w:hAnsi="宋体" w:cs="宋体"/>
        </w:rPr>
        <w:t>根据以上检查结果可知，公司安全管理机构设置符合《中华人民共和国安全生产法》（中华人民共和国主席令第70号，主席令第13号修改，主席令第88号第三次修正）、《云南省安全生产条例》（云南省第十二届人民代表大会常务委员会公告第63号）等国家标准规范的要求。</w:t>
      </w:r>
    </w:p>
    <w:p>
      <w:pPr>
        <w:pStyle w:val="6"/>
        <w:tabs>
          <w:tab w:val="left" w:pos="420"/>
          <w:tab w:val="clear" w:pos="2101"/>
        </w:tabs>
        <w:spacing w:before="156" w:after="156"/>
      </w:pPr>
      <w:bookmarkStart w:id="359" w:name="_Toc4067"/>
      <w:r>
        <w:t>安全教育培训</w:t>
      </w:r>
      <w:bookmarkEnd w:id="358"/>
      <w:bookmarkEnd w:id="359"/>
    </w:p>
    <w:p>
      <w:pPr>
        <w:pStyle w:val="14"/>
        <w:spacing w:before="156" w:after="156"/>
      </w:pPr>
      <w:r>
        <w:t xml:space="preserve">表 </w:t>
      </w:r>
      <w:r>
        <w:fldChar w:fldCharType="begin"/>
      </w:r>
      <w:r>
        <w:instrText xml:space="preserve"> STYLEREF 1 \s </w:instrText>
      </w:r>
      <w:r>
        <w:fldChar w:fldCharType="separate"/>
      </w:r>
      <w:r>
        <w:t>5</w:t>
      </w:r>
      <w:r>
        <w:fldChar w:fldCharType="end"/>
      </w:r>
      <w:r>
        <w:rPr>
          <w:rFonts w:hint="eastAsia"/>
        </w:rPr>
        <w:t>.9-3安全教育培训情况安全检查表</w:t>
      </w:r>
    </w:p>
    <w:tbl>
      <w:tblPr>
        <w:tblStyle w:val="29"/>
        <w:tblW w:w="5096"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49"/>
        <w:gridCol w:w="4023"/>
        <w:gridCol w:w="1973"/>
        <w:gridCol w:w="1391"/>
        <w:gridCol w:w="65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373" w:type="pct"/>
            <w:tcBorders>
              <w:tl2br w:val="nil"/>
              <w:tr2bl w:val="nil"/>
            </w:tcBorders>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序号</w:t>
            </w:r>
          </w:p>
        </w:tc>
        <w:tc>
          <w:tcPr>
            <w:tcW w:w="2314" w:type="pct"/>
            <w:tcBorders>
              <w:tl2br w:val="nil"/>
              <w:tr2bl w:val="nil"/>
            </w:tcBorders>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检查内容</w:t>
            </w:r>
          </w:p>
        </w:tc>
        <w:tc>
          <w:tcPr>
            <w:tcW w:w="1136" w:type="pct"/>
            <w:tcBorders>
              <w:tl2br w:val="nil"/>
              <w:tr2bl w:val="nil"/>
            </w:tcBorders>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依据标准</w:t>
            </w:r>
          </w:p>
        </w:tc>
        <w:tc>
          <w:tcPr>
            <w:tcW w:w="801" w:type="pct"/>
            <w:tcBorders>
              <w:tl2br w:val="nil"/>
              <w:tr2bl w:val="nil"/>
            </w:tcBorders>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检查情况</w:t>
            </w:r>
          </w:p>
        </w:tc>
        <w:tc>
          <w:tcPr>
            <w:tcW w:w="374" w:type="pct"/>
            <w:tcBorders>
              <w:tl2br w:val="nil"/>
              <w:tr2bl w:val="nil"/>
            </w:tcBorders>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结论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3" w:type="pct"/>
            <w:tcBorders>
              <w:tl2br w:val="nil"/>
              <w:tr2bl w:val="nil"/>
            </w:tcBorders>
            <w:vAlign w:val="center"/>
          </w:tcPr>
          <w:p>
            <w:pPr>
              <w:numPr>
                <w:ilvl w:val="0"/>
                <w:numId w:val="74"/>
              </w:numPr>
              <w:spacing w:line="240" w:lineRule="auto"/>
              <w:ind w:firstLine="0" w:firstLineChars="0"/>
              <w:jc w:val="center"/>
              <w:rPr>
                <w:rFonts w:ascii="宋体" w:hAnsi="宋体" w:cs="宋体"/>
                <w:b/>
                <w:bCs/>
                <w:sz w:val="21"/>
                <w:szCs w:val="21"/>
              </w:rPr>
            </w:pPr>
          </w:p>
        </w:tc>
        <w:tc>
          <w:tcPr>
            <w:tcW w:w="2314"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生产经营单位应当对从业人员进行安全生产教育和培训，保证从业人员具备必要的安全生产知识，熟悉有关的安全生产规章制度和安全操作规程，掌握本岗位的安全操作技能，了解事故应急处理措施，知悉自身在安全生产方面的权利和义务。未经安全生产教育和培训合格的从业人员，不得上岗作业。</w:t>
            </w:r>
          </w:p>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生产经营单位使用被派遣劳动者的，应当将被派遣劳动者纳入本单位从业人员统一管理，对被派遣劳动者进行岗位安全操作规程和安全操作技能的教育和培训。劳务派遣单位应当对被派遣劳动者进行必要的安全生产教育和培训。</w:t>
            </w:r>
          </w:p>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生产经营单位接收中等职业学校、高等学校学生实习的，应当对实习学生进行相应的安全生产教育和培训，提供必要的劳动防护用品。学校应当协助生产经营单位对实习学生进行安全生产教育和培训。</w:t>
            </w:r>
          </w:p>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生产经营单位应当建立安全生产教育和培训档案，如实记录安全生产教育和培训的时间、内容、参加人员以及考核结果等情况。</w:t>
            </w:r>
          </w:p>
        </w:tc>
        <w:tc>
          <w:tcPr>
            <w:tcW w:w="1136" w:type="pct"/>
            <w:tcBorders>
              <w:tl2br w:val="nil"/>
              <w:tr2bl w:val="nil"/>
            </w:tcBorders>
            <w:vAlign w:val="center"/>
          </w:tcPr>
          <w:p>
            <w:pPr>
              <w:spacing w:line="240" w:lineRule="auto"/>
              <w:ind w:firstLine="0" w:firstLineChars="0"/>
              <w:jc w:val="center"/>
              <w:rPr>
                <w:rFonts w:cs="Times New Roman"/>
                <w:sz w:val="20"/>
                <w:szCs w:val="20"/>
              </w:rPr>
            </w:pPr>
            <w:r>
              <w:rPr>
                <w:rFonts w:hint="eastAsia" w:cs="Times New Roman"/>
                <w:sz w:val="20"/>
                <w:szCs w:val="20"/>
              </w:rPr>
              <w:t>《中华人民共和国安全生产法》（中华人民共和国主席令第70号，主席令第13号修改，主席令第88号第三次修正）第二十八条</w:t>
            </w:r>
          </w:p>
        </w:tc>
        <w:tc>
          <w:tcPr>
            <w:tcW w:w="801"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公司对本项目从业人员进行安全生产教育和培训，培训合格后上岗。</w:t>
            </w:r>
          </w:p>
        </w:tc>
        <w:tc>
          <w:tcPr>
            <w:tcW w:w="374" w:type="pct"/>
            <w:tcBorders>
              <w:tl2br w:val="nil"/>
              <w:tr2bl w:val="nil"/>
            </w:tcBorders>
            <w:vAlign w:val="center"/>
          </w:tcPr>
          <w:p>
            <w:pPr>
              <w:spacing w:line="280" w:lineRule="exact"/>
              <w:ind w:firstLine="0" w:firstLineChars="0"/>
              <w:jc w:val="center"/>
              <w:rPr>
                <w:rFonts w:cs="Times New Roman"/>
                <w:bCs/>
                <w:sz w:val="20"/>
                <w:szCs w:val="20"/>
              </w:rPr>
            </w:pPr>
            <w:r>
              <w:rPr>
                <w:bCs/>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3" w:type="pct"/>
            <w:tcBorders>
              <w:tl2br w:val="nil"/>
              <w:tr2bl w:val="nil"/>
            </w:tcBorders>
            <w:vAlign w:val="center"/>
          </w:tcPr>
          <w:p>
            <w:pPr>
              <w:numPr>
                <w:ilvl w:val="0"/>
                <w:numId w:val="74"/>
              </w:numPr>
              <w:spacing w:line="240" w:lineRule="auto"/>
              <w:ind w:firstLine="0" w:firstLineChars="0"/>
              <w:jc w:val="center"/>
              <w:rPr>
                <w:rFonts w:ascii="宋体" w:hAnsi="宋体" w:cs="宋体"/>
                <w:b/>
                <w:bCs/>
                <w:sz w:val="21"/>
                <w:szCs w:val="21"/>
              </w:rPr>
            </w:pPr>
          </w:p>
        </w:tc>
        <w:tc>
          <w:tcPr>
            <w:tcW w:w="2314"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生产经营单位采用新工艺、新技术、新材料或者使用新设备，必须了解、掌握其安全技术特性，采取有效的安全防护措施，并对从业人员进行专门的安全生产教育和培训。</w:t>
            </w:r>
          </w:p>
        </w:tc>
        <w:tc>
          <w:tcPr>
            <w:tcW w:w="1136"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《中华人民共和国安全生产法》（中华人民共和国主席令第70号，主席令第13号修改，主席令第88号第三次修正）第二十九条</w:t>
            </w:r>
          </w:p>
        </w:tc>
        <w:tc>
          <w:tcPr>
            <w:tcW w:w="801"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公司对本项目从业人员进行“四新”安全生产教育和培训，培训合格后上岗。</w:t>
            </w:r>
          </w:p>
        </w:tc>
        <w:tc>
          <w:tcPr>
            <w:tcW w:w="374"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3" w:type="pct"/>
            <w:tcBorders>
              <w:tl2br w:val="nil"/>
              <w:tr2bl w:val="nil"/>
            </w:tcBorders>
            <w:vAlign w:val="center"/>
          </w:tcPr>
          <w:p>
            <w:pPr>
              <w:numPr>
                <w:ilvl w:val="0"/>
                <w:numId w:val="74"/>
              </w:numPr>
              <w:spacing w:line="240" w:lineRule="auto"/>
              <w:ind w:firstLine="0" w:firstLineChars="0"/>
              <w:jc w:val="center"/>
              <w:rPr>
                <w:rFonts w:ascii="宋体" w:hAnsi="宋体" w:cs="宋体"/>
                <w:b/>
                <w:bCs/>
                <w:sz w:val="21"/>
                <w:szCs w:val="21"/>
              </w:rPr>
            </w:pPr>
          </w:p>
        </w:tc>
        <w:tc>
          <w:tcPr>
            <w:tcW w:w="2314"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生产经营单位的特种作业人员必须按照国家有关规定经专门的安全作业培训，取得相应资格，方可上岗作业。</w:t>
            </w:r>
          </w:p>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特种作业人员的范围由国务院应急管理部门会同国务院有关部门确定。</w:t>
            </w:r>
          </w:p>
        </w:tc>
        <w:tc>
          <w:tcPr>
            <w:tcW w:w="1136"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《中华人民共和国安全生产法》（中华人民共和国主席令第70号，主席令第13号修改，主席令第88号第三次修正）第三十条</w:t>
            </w:r>
          </w:p>
        </w:tc>
        <w:tc>
          <w:tcPr>
            <w:tcW w:w="801"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该项目涉及的特种作业有低压电工、焊工、起重机司机、叉车司机等特种作业人员，经培训后持证上岗。</w:t>
            </w:r>
          </w:p>
        </w:tc>
        <w:tc>
          <w:tcPr>
            <w:tcW w:w="374"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3" w:type="pct"/>
            <w:tcBorders>
              <w:tl2br w:val="nil"/>
              <w:tr2bl w:val="nil"/>
            </w:tcBorders>
            <w:vAlign w:val="center"/>
          </w:tcPr>
          <w:p>
            <w:pPr>
              <w:numPr>
                <w:ilvl w:val="0"/>
                <w:numId w:val="74"/>
              </w:numPr>
              <w:spacing w:line="240" w:lineRule="auto"/>
              <w:ind w:firstLine="0" w:firstLineChars="0"/>
              <w:jc w:val="center"/>
              <w:rPr>
                <w:rFonts w:ascii="宋体" w:hAnsi="宋体" w:cs="宋体"/>
                <w:b/>
                <w:bCs/>
                <w:sz w:val="21"/>
                <w:szCs w:val="21"/>
              </w:rPr>
            </w:pPr>
          </w:p>
        </w:tc>
        <w:tc>
          <w:tcPr>
            <w:tcW w:w="2314"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 xml:space="preserve">生产经营单位主要负责人和安全生产管理人员初次安全培训时间不得少于32学时。每年再培训时间不得少于12学时。 </w:t>
            </w:r>
          </w:p>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煤矿、非煤矿山、危险化学品、烟花爆竹、金属冶炼等生产经营单位主要负责人和安全生产管理人员初次安全培训时间不得少于48学时，每年再培训时间不得少于16学时。</w:t>
            </w:r>
          </w:p>
        </w:tc>
        <w:tc>
          <w:tcPr>
            <w:tcW w:w="1136"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《生产经营单位安全培训规定》（国家安全生产监督管理总局令第3号，根据国家安全生产监督管理总局令第80号第二次修正）</w:t>
            </w:r>
          </w:p>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第九条</w:t>
            </w:r>
          </w:p>
        </w:tc>
        <w:tc>
          <w:tcPr>
            <w:tcW w:w="801"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公司主要负责人和安全生产管理人每年再培训时间不少于16学时。</w:t>
            </w:r>
          </w:p>
        </w:tc>
        <w:tc>
          <w:tcPr>
            <w:tcW w:w="374"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3" w:type="pct"/>
            <w:tcBorders>
              <w:tl2br w:val="nil"/>
              <w:tr2bl w:val="nil"/>
            </w:tcBorders>
            <w:vAlign w:val="center"/>
          </w:tcPr>
          <w:p>
            <w:pPr>
              <w:numPr>
                <w:ilvl w:val="0"/>
                <w:numId w:val="74"/>
              </w:numPr>
              <w:spacing w:line="240" w:lineRule="auto"/>
              <w:ind w:firstLine="0" w:firstLineChars="0"/>
              <w:jc w:val="center"/>
              <w:rPr>
                <w:rFonts w:ascii="宋体" w:hAnsi="宋体" w:cs="宋体"/>
                <w:b/>
                <w:bCs/>
                <w:sz w:val="21"/>
                <w:szCs w:val="21"/>
              </w:rPr>
            </w:pPr>
          </w:p>
        </w:tc>
        <w:tc>
          <w:tcPr>
            <w:tcW w:w="2314"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生产经营单位应当建立健全从业人员安全生产教育和培训档案，由生产经营单位的安全生产管理机构以及安全生产管理人员详细、准确记录培训的时间、内容、参加人员以及考核结果等情况。</w:t>
            </w:r>
          </w:p>
        </w:tc>
        <w:tc>
          <w:tcPr>
            <w:tcW w:w="1136" w:type="pct"/>
            <w:tcBorders>
              <w:tl2br w:val="nil"/>
              <w:tr2bl w:val="nil"/>
            </w:tcBorders>
            <w:vAlign w:val="center"/>
          </w:tcPr>
          <w:p>
            <w:pPr>
              <w:spacing w:line="240" w:lineRule="auto"/>
              <w:ind w:firstLine="0" w:firstLineChars="0"/>
              <w:jc w:val="center"/>
              <w:rPr>
                <w:rFonts w:cs="Times New Roman"/>
                <w:sz w:val="20"/>
                <w:szCs w:val="20"/>
              </w:rPr>
            </w:pPr>
            <w:r>
              <w:rPr>
                <w:rFonts w:hint="eastAsia" w:cs="Times New Roman"/>
                <w:sz w:val="20"/>
                <w:szCs w:val="20"/>
              </w:rPr>
              <w:t>《生产经营单位安全培训规定》（国家安全生产监督管理总局令第3号，根据国家安全生产监督管理总局令第80号第二次修正）</w:t>
            </w:r>
          </w:p>
          <w:p>
            <w:pPr>
              <w:spacing w:line="240" w:lineRule="auto"/>
              <w:ind w:firstLine="0" w:firstLineChars="0"/>
              <w:jc w:val="center"/>
              <w:rPr>
                <w:rFonts w:cs="Times New Roman"/>
                <w:sz w:val="20"/>
                <w:szCs w:val="20"/>
              </w:rPr>
            </w:pPr>
            <w:r>
              <w:rPr>
                <w:rFonts w:hint="eastAsia" w:cs="Times New Roman"/>
                <w:sz w:val="20"/>
                <w:szCs w:val="20"/>
              </w:rPr>
              <w:t>第二十二条</w:t>
            </w:r>
          </w:p>
        </w:tc>
        <w:tc>
          <w:tcPr>
            <w:tcW w:w="801"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公司有从业人员安全生产教育和培训档案。</w:t>
            </w:r>
          </w:p>
        </w:tc>
        <w:tc>
          <w:tcPr>
            <w:tcW w:w="374" w:type="pct"/>
            <w:tcBorders>
              <w:tl2br w:val="nil"/>
              <w:tr2bl w:val="nil"/>
            </w:tcBorders>
            <w:vAlign w:val="center"/>
          </w:tcPr>
          <w:p>
            <w:pPr>
              <w:spacing w:line="240" w:lineRule="auto"/>
              <w:ind w:firstLine="0" w:firstLineChars="0"/>
              <w:jc w:val="center"/>
              <w:rPr>
                <w:rFonts w:cs="Times New Roman"/>
                <w:bCs/>
                <w:sz w:val="20"/>
                <w:szCs w:val="20"/>
              </w:rPr>
            </w:pPr>
            <w:r>
              <w:rPr>
                <w:rFonts w:cs="Times New Roman"/>
                <w:bCs/>
                <w:sz w:val="20"/>
                <w:szCs w:val="20"/>
              </w:rPr>
              <w:t>符合</w:t>
            </w:r>
          </w:p>
        </w:tc>
      </w:tr>
    </w:tbl>
    <w:p>
      <w:pPr>
        <w:ind w:firstLine="560"/>
        <w:rPr>
          <w:rFonts w:ascii="宋体" w:hAnsi="宋体" w:cs="宋体"/>
        </w:rPr>
      </w:pPr>
      <w:r>
        <w:rPr>
          <w:rFonts w:hint="eastAsia" w:ascii="宋体" w:hAnsi="宋体" w:cs="宋体"/>
        </w:rPr>
        <w:t>根据以上检查结果可知，该项目安全教育培训符合《中华人民共和国安全生产法》《云南省安全生产条例》《生产经营单位安全培训规定》等国家法律法规的规定。</w:t>
      </w:r>
    </w:p>
    <w:p>
      <w:pPr>
        <w:pStyle w:val="6"/>
        <w:tabs>
          <w:tab w:val="left" w:pos="420"/>
          <w:tab w:val="clear" w:pos="2101"/>
        </w:tabs>
        <w:spacing w:before="156" w:after="156"/>
      </w:pPr>
      <w:bookmarkStart w:id="360" w:name="_Toc22030"/>
      <w:bookmarkStart w:id="361" w:name="_Toc13126"/>
      <w:r>
        <w:t>危险源管理</w:t>
      </w:r>
      <w:bookmarkEnd w:id="360"/>
      <w:bookmarkEnd w:id="361"/>
    </w:p>
    <w:p>
      <w:pPr>
        <w:pStyle w:val="14"/>
        <w:spacing w:before="156" w:after="156"/>
      </w:pPr>
      <w:r>
        <w:t xml:space="preserve">表 </w:t>
      </w:r>
      <w:r>
        <w:fldChar w:fldCharType="begin"/>
      </w:r>
      <w:r>
        <w:instrText xml:space="preserve"> STYLEREF 1 \s </w:instrText>
      </w:r>
      <w:r>
        <w:fldChar w:fldCharType="separate"/>
      </w:r>
      <w:r>
        <w:t>5</w:t>
      </w:r>
      <w:r>
        <w:fldChar w:fldCharType="end"/>
      </w:r>
      <w:r>
        <w:rPr>
          <w:rFonts w:hint="eastAsia"/>
        </w:rPr>
        <w:t>.9-4危险源管理情况安全检查表</w:t>
      </w:r>
    </w:p>
    <w:tbl>
      <w:tblPr>
        <w:tblStyle w:val="29"/>
        <w:tblW w:w="5096"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49"/>
        <w:gridCol w:w="4038"/>
        <w:gridCol w:w="1958"/>
        <w:gridCol w:w="1391"/>
        <w:gridCol w:w="65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373" w:type="pct"/>
            <w:tcBorders>
              <w:tl2br w:val="nil"/>
              <w:tr2bl w:val="nil"/>
            </w:tcBorders>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序号</w:t>
            </w:r>
          </w:p>
        </w:tc>
        <w:tc>
          <w:tcPr>
            <w:tcW w:w="2324" w:type="pct"/>
            <w:tcBorders>
              <w:tl2br w:val="nil"/>
              <w:tr2bl w:val="nil"/>
            </w:tcBorders>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检查内容</w:t>
            </w:r>
          </w:p>
        </w:tc>
        <w:tc>
          <w:tcPr>
            <w:tcW w:w="1127" w:type="pct"/>
            <w:tcBorders>
              <w:tl2br w:val="nil"/>
              <w:tr2bl w:val="nil"/>
            </w:tcBorders>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依据标准</w:t>
            </w:r>
          </w:p>
        </w:tc>
        <w:tc>
          <w:tcPr>
            <w:tcW w:w="801" w:type="pct"/>
            <w:tcBorders>
              <w:tl2br w:val="nil"/>
              <w:tr2bl w:val="nil"/>
            </w:tcBorders>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检查情况</w:t>
            </w:r>
          </w:p>
        </w:tc>
        <w:tc>
          <w:tcPr>
            <w:tcW w:w="374" w:type="pct"/>
            <w:tcBorders>
              <w:tl2br w:val="nil"/>
              <w:tr2bl w:val="nil"/>
            </w:tcBorders>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结论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3" w:type="pct"/>
            <w:tcBorders>
              <w:tl2br w:val="nil"/>
              <w:tr2bl w:val="nil"/>
            </w:tcBorders>
            <w:vAlign w:val="center"/>
          </w:tcPr>
          <w:p>
            <w:pPr>
              <w:numPr>
                <w:ilvl w:val="0"/>
                <w:numId w:val="75"/>
              </w:numPr>
              <w:spacing w:line="240" w:lineRule="auto"/>
              <w:ind w:firstLine="0" w:firstLineChars="0"/>
              <w:jc w:val="center"/>
              <w:rPr>
                <w:rFonts w:ascii="宋体" w:hAnsi="宋体" w:cs="宋体"/>
                <w:b/>
                <w:bCs/>
                <w:sz w:val="21"/>
                <w:szCs w:val="21"/>
              </w:rPr>
            </w:pPr>
          </w:p>
        </w:tc>
        <w:tc>
          <w:tcPr>
            <w:tcW w:w="2324"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安全设备的设计、制造、安装、使用、检测、维修、改造和报废，应当符合国家标准或者行业标准。</w:t>
            </w:r>
          </w:p>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生产经营单位必须对安全设备进行经常性维护、保养，并定期检测，保证正常运转。维护、保养、检测应当做好记录，并由有关人员签字。</w:t>
            </w:r>
          </w:p>
        </w:tc>
        <w:tc>
          <w:tcPr>
            <w:tcW w:w="1127" w:type="pct"/>
            <w:tcBorders>
              <w:tl2br w:val="nil"/>
              <w:tr2bl w:val="nil"/>
            </w:tcBorders>
            <w:vAlign w:val="center"/>
          </w:tcPr>
          <w:p>
            <w:pPr>
              <w:spacing w:line="240" w:lineRule="auto"/>
              <w:ind w:firstLine="0" w:firstLineChars="0"/>
              <w:jc w:val="center"/>
              <w:rPr>
                <w:rFonts w:cs="Times New Roman"/>
                <w:sz w:val="20"/>
                <w:szCs w:val="20"/>
              </w:rPr>
            </w:pPr>
            <w:r>
              <w:rPr>
                <w:rFonts w:hint="eastAsia" w:cs="Times New Roman"/>
                <w:sz w:val="20"/>
                <w:szCs w:val="20"/>
              </w:rPr>
              <w:t>《中华人民共和国安全生产法》（中华人民共和国主席令第70号，主席令第13号修改，主席令第88号第三次修正）第三十六条</w:t>
            </w:r>
          </w:p>
        </w:tc>
        <w:tc>
          <w:tcPr>
            <w:tcW w:w="801"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对安全设备进行经常性维护、保养，并定期检测，保证正常运转。</w:t>
            </w:r>
          </w:p>
        </w:tc>
        <w:tc>
          <w:tcPr>
            <w:tcW w:w="374" w:type="pct"/>
            <w:tcBorders>
              <w:tl2br w:val="nil"/>
              <w:tr2bl w:val="nil"/>
            </w:tcBorders>
            <w:vAlign w:val="center"/>
          </w:tcPr>
          <w:p>
            <w:pPr>
              <w:spacing w:line="280" w:lineRule="exact"/>
              <w:ind w:firstLine="0" w:firstLineChars="0"/>
              <w:jc w:val="center"/>
              <w:rPr>
                <w:rFonts w:cs="Times New Roman"/>
                <w:bCs/>
                <w:sz w:val="20"/>
                <w:szCs w:val="20"/>
              </w:rPr>
            </w:pPr>
            <w:r>
              <w:rPr>
                <w:bCs/>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3" w:type="pct"/>
            <w:tcBorders>
              <w:tl2br w:val="nil"/>
              <w:tr2bl w:val="nil"/>
            </w:tcBorders>
            <w:vAlign w:val="center"/>
          </w:tcPr>
          <w:p>
            <w:pPr>
              <w:numPr>
                <w:ilvl w:val="0"/>
                <w:numId w:val="75"/>
              </w:numPr>
              <w:spacing w:line="240" w:lineRule="auto"/>
              <w:ind w:firstLine="0" w:firstLineChars="0"/>
              <w:jc w:val="center"/>
              <w:rPr>
                <w:rFonts w:ascii="宋体" w:hAnsi="宋体" w:cs="宋体"/>
                <w:b/>
                <w:bCs/>
                <w:sz w:val="21"/>
                <w:szCs w:val="21"/>
              </w:rPr>
            </w:pPr>
          </w:p>
        </w:tc>
        <w:tc>
          <w:tcPr>
            <w:tcW w:w="2324"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生产经营单位应当建立安全风险分级管控制度，按照安全风险分级采取相应的管控措施。</w:t>
            </w:r>
          </w:p>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生产经营单位应当建立健全并落实生产安全事故隐患排查治理制度，采取技术、管理措施，及时发现并消除事故隐患。事故隐患排查治理情况应当如实记录，并通过职工大会或者职工代表大会、信息公示栏等方式向从业人员通报。其中，重大事故隐患排查治理情况应当及时向负有安全生产监督管理职责的部门和职工大会或者职工代表大会报告。</w:t>
            </w:r>
          </w:p>
        </w:tc>
        <w:tc>
          <w:tcPr>
            <w:tcW w:w="1127" w:type="pct"/>
            <w:tcBorders>
              <w:tl2br w:val="nil"/>
              <w:tr2bl w:val="nil"/>
            </w:tcBorders>
            <w:vAlign w:val="center"/>
          </w:tcPr>
          <w:p>
            <w:pPr>
              <w:spacing w:line="240" w:lineRule="auto"/>
              <w:ind w:firstLine="0" w:firstLineChars="0"/>
              <w:jc w:val="center"/>
              <w:rPr>
                <w:rFonts w:cs="Times New Roman"/>
                <w:sz w:val="20"/>
                <w:szCs w:val="20"/>
              </w:rPr>
            </w:pPr>
            <w:r>
              <w:rPr>
                <w:rFonts w:hint="eastAsia" w:cs="Times New Roman"/>
                <w:sz w:val="20"/>
                <w:szCs w:val="20"/>
              </w:rPr>
              <w:t>《中华人民共和国安全生产法》</w:t>
            </w:r>
          </w:p>
          <w:p>
            <w:pPr>
              <w:spacing w:line="240" w:lineRule="auto"/>
              <w:ind w:firstLine="0" w:firstLineChars="0"/>
              <w:jc w:val="center"/>
              <w:rPr>
                <w:rFonts w:cs="Times New Roman"/>
                <w:sz w:val="20"/>
                <w:szCs w:val="20"/>
              </w:rPr>
            </w:pPr>
            <w:r>
              <w:rPr>
                <w:rFonts w:hint="eastAsia" w:cs="Times New Roman"/>
                <w:sz w:val="20"/>
                <w:szCs w:val="20"/>
              </w:rPr>
              <w:t>（中华人民共和国主席令第70号，主席令第13号修改，主席令第88号第三次修正）</w:t>
            </w:r>
          </w:p>
          <w:p>
            <w:pPr>
              <w:spacing w:line="240" w:lineRule="auto"/>
              <w:ind w:firstLine="0" w:firstLineChars="0"/>
              <w:jc w:val="center"/>
              <w:rPr>
                <w:rFonts w:cs="Times New Roman"/>
                <w:sz w:val="20"/>
                <w:szCs w:val="20"/>
              </w:rPr>
            </w:pPr>
            <w:r>
              <w:rPr>
                <w:rFonts w:hint="eastAsia" w:cs="Times New Roman"/>
                <w:sz w:val="20"/>
                <w:szCs w:val="20"/>
              </w:rPr>
              <w:t>第四十一条</w:t>
            </w:r>
          </w:p>
        </w:tc>
        <w:tc>
          <w:tcPr>
            <w:tcW w:w="801"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该企业建立了生产安全事故隐患排查治理制度。</w:t>
            </w:r>
          </w:p>
        </w:tc>
        <w:tc>
          <w:tcPr>
            <w:tcW w:w="374" w:type="pct"/>
            <w:tcBorders>
              <w:tl2br w:val="nil"/>
              <w:tr2bl w:val="nil"/>
            </w:tcBorders>
            <w:vAlign w:val="center"/>
          </w:tcPr>
          <w:p>
            <w:pPr>
              <w:spacing w:line="280" w:lineRule="exact"/>
              <w:ind w:firstLine="0" w:firstLineChars="0"/>
              <w:jc w:val="center"/>
              <w:rPr>
                <w:rFonts w:cs="Times New Roman"/>
                <w:bCs/>
                <w:sz w:val="20"/>
                <w:szCs w:val="20"/>
              </w:rPr>
            </w:pPr>
            <w:r>
              <w:rPr>
                <w:bCs/>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3" w:type="pct"/>
            <w:tcBorders>
              <w:tl2br w:val="nil"/>
              <w:tr2bl w:val="nil"/>
            </w:tcBorders>
            <w:vAlign w:val="center"/>
          </w:tcPr>
          <w:p>
            <w:pPr>
              <w:numPr>
                <w:ilvl w:val="0"/>
                <w:numId w:val="75"/>
              </w:numPr>
              <w:spacing w:line="240" w:lineRule="auto"/>
              <w:ind w:firstLine="0" w:firstLineChars="0"/>
              <w:jc w:val="center"/>
              <w:rPr>
                <w:rFonts w:ascii="宋体" w:hAnsi="宋体" w:cs="宋体"/>
                <w:b/>
                <w:bCs/>
                <w:sz w:val="21"/>
                <w:szCs w:val="21"/>
              </w:rPr>
            </w:pPr>
          </w:p>
        </w:tc>
        <w:tc>
          <w:tcPr>
            <w:tcW w:w="2324"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生产经营单位的安全生产管理人员应当根据本单位的生产经营特点，对安全生产状况进行经常性检查；对检查中发现的安全问题，应当立即处理；不能处理的，应当及时报告本单位有关负责人，有关负责人应当及时处理。检查及处理情况应当如实记录在案。</w:t>
            </w:r>
          </w:p>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生产经营单位的安全生产管理人员在检查中发现重大事故隐患，依照前款规定向本单位有关负责人报告，有关负责人不及时处理的，安全生产管理人员可以向主管的负有安全生产监督管理职责的部门报告，接到报告的部门应当依法及时处理。</w:t>
            </w:r>
          </w:p>
        </w:tc>
        <w:tc>
          <w:tcPr>
            <w:tcW w:w="1127" w:type="pct"/>
            <w:tcBorders>
              <w:tl2br w:val="nil"/>
              <w:tr2bl w:val="nil"/>
            </w:tcBorders>
            <w:vAlign w:val="center"/>
          </w:tcPr>
          <w:p>
            <w:pPr>
              <w:spacing w:line="240" w:lineRule="auto"/>
              <w:ind w:firstLine="0" w:firstLineChars="0"/>
              <w:jc w:val="center"/>
              <w:rPr>
                <w:rFonts w:cs="Times New Roman"/>
                <w:sz w:val="20"/>
                <w:szCs w:val="20"/>
              </w:rPr>
            </w:pPr>
            <w:r>
              <w:rPr>
                <w:rFonts w:hint="eastAsia" w:cs="Times New Roman"/>
                <w:sz w:val="20"/>
                <w:szCs w:val="20"/>
              </w:rPr>
              <w:t>《中华人民共和国安全生产法》（中华人民共和国主席令第70号，主席令第13号修改，主席令第88号第三次修正）第四十六条</w:t>
            </w:r>
          </w:p>
        </w:tc>
        <w:tc>
          <w:tcPr>
            <w:tcW w:w="801"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该企业建立了安全检查制度，对安全生产状况进行经常性检查。</w:t>
            </w:r>
          </w:p>
        </w:tc>
        <w:tc>
          <w:tcPr>
            <w:tcW w:w="374" w:type="pct"/>
            <w:tcBorders>
              <w:tl2br w:val="nil"/>
              <w:tr2bl w:val="nil"/>
            </w:tcBorders>
            <w:vAlign w:val="center"/>
          </w:tcPr>
          <w:p>
            <w:pPr>
              <w:spacing w:line="280" w:lineRule="exact"/>
              <w:ind w:firstLine="0" w:firstLineChars="0"/>
              <w:jc w:val="center"/>
              <w:rPr>
                <w:rFonts w:cs="Times New Roman"/>
                <w:bCs/>
                <w:sz w:val="20"/>
                <w:szCs w:val="20"/>
              </w:rPr>
            </w:pPr>
            <w:r>
              <w:rPr>
                <w:bCs/>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3" w:type="pct"/>
            <w:tcBorders>
              <w:tl2br w:val="nil"/>
              <w:tr2bl w:val="nil"/>
            </w:tcBorders>
            <w:vAlign w:val="center"/>
          </w:tcPr>
          <w:p>
            <w:pPr>
              <w:numPr>
                <w:ilvl w:val="0"/>
                <w:numId w:val="75"/>
              </w:numPr>
              <w:spacing w:line="240" w:lineRule="auto"/>
              <w:ind w:firstLine="0" w:firstLineChars="0"/>
              <w:jc w:val="center"/>
              <w:rPr>
                <w:rFonts w:ascii="宋体" w:hAnsi="宋体" w:cs="宋体"/>
                <w:b/>
                <w:bCs/>
                <w:sz w:val="21"/>
                <w:szCs w:val="21"/>
              </w:rPr>
            </w:pPr>
          </w:p>
        </w:tc>
        <w:tc>
          <w:tcPr>
            <w:tcW w:w="2324"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生产经营单位应当建立健全下列制度：</w:t>
            </w:r>
          </w:p>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（一）安全生产责任制度；</w:t>
            </w:r>
          </w:p>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（二）安全生产例会制度；</w:t>
            </w:r>
          </w:p>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（三）安全生产奖惩制度；</w:t>
            </w:r>
          </w:p>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（四）安全生产教育培训制度；</w:t>
            </w:r>
          </w:p>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（五）安全生产检查制度；</w:t>
            </w:r>
          </w:p>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（六）生产经营场所、设备、设施安全管理制度；</w:t>
            </w:r>
          </w:p>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（七）安全生产风险分级管理控制制度；</w:t>
            </w:r>
          </w:p>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（八）危险源管理制度；</w:t>
            </w:r>
          </w:p>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 xml:space="preserve">（九）安全生产应急管理和事故报告处理制度； </w:t>
            </w:r>
          </w:p>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（十）危险作业、特种作业人员、劳动防护用品管理制度；</w:t>
            </w:r>
          </w:p>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（十一）法律法规规定的其他安全生产制度。</w:t>
            </w:r>
          </w:p>
        </w:tc>
        <w:tc>
          <w:tcPr>
            <w:tcW w:w="1127" w:type="pct"/>
            <w:tcBorders>
              <w:tl2br w:val="nil"/>
              <w:tr2bl w:val="nil"/>
            </w:tcBorders>
            <w:vAlign w:val="center"/>
          </w:tcPr>
          <w:p>
            <w:pPr>
              <w:spacing w:line="240" w:lineRule="auto"/>
              <w:ind w:firstLine="0" w:firstLineChars="0"/>
              <w:jc w:val="center"/>
              <w:rPr>
                <w:rFonts w:cs="Times New Roman"/>
                <w:sz w:val="20"/>
                <w:szCs w:val="20"/>
              </w:rPr>
            </w:pPr>
            <w:r>
              <w:rPr>
                <w:rFonts w:hint="eastAsia" w:cs="Times New Roman"/>
                <w:sz w:val="20"/>
                <w:szCs w:val="20"/>
              </w:rPr>
              <w:t>《云南省安全生产条例》（云南省第十二届人民代表大会常务委员会公告第63号）第十八条</w:t>
            </w:r>
          </w:p>
        </w:tc>
        <w:tc>
          <w:tcPr>
            <w:tcW w:w="801"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该企业建立所述安全管理制度。</w:t>
            </w:r>
          </w:p>
        </w:tc>
        <w:tc>
          <w:tcPr>
            <w:tcW w:w="374" w:type="pct"/>
            <w:tcBorders>
              <w:tl2br w:val="nil"/>
              <w:tr2bl w:val="nil"/>
            </w:tcBorders>
            <w:vAlign w:val="center"/>
          </w:tcPr>
          <w:p>
            <w:pPr>
              <w:spacing w:line="280" w:lineRule="exact"/>
              <w:ind w:firstLine="0" w:firstLineChars="0"/>
              <w:jc w:val="center"/>
              <w:rPr>
                <w:rFonts w:cs="Times New Roman"/>
                <w:bCs/>
                <w:sz w:val="20"/>
                <w:szCs w:val="20"/>
              </w:rPr>
            </w:pPr>
            <w:r>
              <w:rPr>
                <w:bCs/>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3" w:type="pct"/>
            <w:tcBorders>
              <w:tl2br w:val="nil"/>
              <w:tr2bl w:val="nil"/>
            </w:tcBorders>
            <w:vAlign w:val="center"/>
          </w:tcPr>
          <w:p>
            <w:pPr>
              <w:numPr>
                <w:ilvl w:val="0"/>
                <w:numId w:val="75"/>
              </w:numPr>
              <w:spacing w:line="240" w:lineRule="auto"/>
              <w:ind w:firstLine="0" w:firstLineChars="0"/>
              <w:jc w:val="center"/>
              <w:rPr>
                <w:rFonts w:ascii="宋体" w:hAnsi="宋体" w:cs="宋体"/>
                <w:b/>
                <w:bCs/>
                <w:sz w:val="21"/>
                <w:szCs w:val="21"/>
              </w:rPr>
            </w:pPr>
          </w:p>
        </w:tc>
        <w:tc>
          <w:tcPr>
            <w:tcW w:w="2324"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生产经营单位应当制定符合有关法律法规规定的安全生产自检自查标准，建立事故隐患排查治理长效机制。</w:t>
            </w:r>
          </w:p>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生产经营单位应当实行事故隐患清单管理，及时消除事故隐患；不能及时消除的，应当采取安全防范措施，制定治理方案，落实整改措施、责任、资金、时限和应急预案。</w:t>
            </w:r>
          </w:p>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生产经营单位可以委托具备相应能力的技术服务机构进行安全风险分析和事故隐患排查。</w:t>
            </w:r>
          </w:p>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生产经营单位应当如实记录事故隐患排查治理情况，按照规定向有关部门报告，并向从业人员通报。</w:t>
            </w:r>
          </w:p>
        </w:tc>
        <w:tc>
          <w:tcPr>
            <w:tcW w:w="1127" w:type="pct"/>
            <w:tcBorders>
              <w:tl2br w:val="nil"/>
              <w:tr2bl w:val="nil"/>
            </w:tcBorders>
            <w:vAlign w:val="center"/>
          </w:tcPr>
          <w:p>
            <w:pPr>
              <w:spacing w:line="240" w:lineRule="auto"/>
              <w:ind w:firstLine="0" w:firstLineChars="0"/>
              <w:jc w:val="center"/>
              <w:rPr>
                <w:rFonts w:cs="Times New Roman"/>
                <w:sz w:val="20"/>
                <w:szCs w:val="20"/>
              </w:rPr>
            </w:pPr>
            <w:r>
              <w:rPr>
                <w:rFonts w:hint="eastAsia" w:cs="Times New Roman"/>
                <w:sz w:val="20"/>
                <w:szCs w:val="20"/>
              </w:rPr>
              <w:t>《云南省安全生产条例》（云南省第十二届人民代表大会常务委员会公告第63号）第十九条</w:t>
            </w:r>
          </w:p>
        </w:tc>
        <w:tc>
          <w:tcPr>
            <w:tcW w:w="801"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该企业建立了生产安全事故隐患排查治理制度。</w:t>
            </w:r>
          </w:p>
        </w:tc>
        <w:tc>
          <w:tcPr>
            <w:tcW w:w="374" w:type="pct"/>
            <w:tcBorders>
              <w:tl2br w:val="nil"/>
              <w:tr2bl w:val="nil"/>
            </w:tcBorders>
            <w:vAlign w:val="center"/>
          </w:tcPr>
          <w:p>
            <w:pPr>
              <w:spacing w:line="280" w:lineRule="exact"/>
              <w:ind w:firstLine="0" w:firstLineChars="0"/>
              <w:jc w:val="center"/>
              <w:rPr>
                <w:rFonts w:cs="Times New Roman"/>
                <w:bCs/>
                <w:sz w:val="20"/>
                <w:szCs w:val="20"/>
              </w:rPr>
            </w:pPr>
            <w:r>
              <w:rPr>
                <w:bCs/>
                <w:sz w:val="20"/>
                <w:szCs w:val="20"/>
              </w:rPr>
              <w:t>符合</w:t>
            </w:r>
          </w:p>
        </w:tc>
      </w:tr>
    </w:tbl>
    <w:p>
      <w:pPr>
        <w:ind w:firstLine="560"/>
        <w:rPr>
          <w:rFonts w:ascii="宋体" w:hAnsi="宋体" w:cs="宋体"/>
        </w:rPr>
      </w:pPr>
      <w:r>
        <w:rPr>
          <w:rFonts w:hint="eastAsia" w:ascii="宋体" w:hAnsi="宋体" w:cs="宋体"/>
        </w:rPr>
        <w:t>本项目危险源管理符合《中华人民共和国安全生产法》（中华人民共和国主席令第70号，主席令第13号修改，主席令第88号第三次修正）等国家标准规范的要求。</w:t>
      </w:r>
    </w:p>
    <w:p>
      <w:pPr>
        <w:pStyle w:val="6"/>
        <w:tabs>
          <w:tab w:val="left" w:pos="420"/>
          <w:tab w:val="clear" w:pos="2101"/>
        </w:tabs>
        <w:spacing w:before="156" w:after="156"/>
      </w:pPr>
      <w:bookmarkStart w:id="362" w:name="_Toc10304"/>
      <w:bookmarkStart w:id="363" w:name="_Toc18520"/>
      <w:r>
        <w:t>安全检查</w:t>
      </w:r>
      <w:bookmarkEnd w:id="362"/>
      <w:bookmarkEnd w:id="363"/>
    </w:p>
    <w:p>
      <w:pPr>
        <w:pStyle w:val="14"/>
        <w:spacing w:before="156" w:after="156"/>
      </w:pPr>
      <w:r>
        <w:t xml:space="preserve">表 </w:t>
      </w:r>
      <w:r>
        <w:fldChar w:fldCharType="begin"/>
      </w:r>
      <w:r>
        <w:instrText xml:space="preserve"> STYLEREF 1 \s </w:instrText>
      </w:r>
      <w:r>
        <w:fldChar w:fldCharType="separate"/>
      </w:r>
      <w:r>
        <w:t>5</w:t>
      </w:r>
      <w:r>
        <w:fldChar w:fldCharType="end"/>
      </w:r>
      <w:r>
        <w:rPr>
          <w:rFonts w:hint="eastAsia"/>
        </w:rPr>
        <w:t>.9-5安全检查情况安全检查表</w:t>
      </w:r>
    </w:p>
    <w:tbl>
      <w:tblPr>
        <w:tblStyle w:val="29"/>
        <w:tblW w:w="5096"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49"/>
        <w:gridCol w:w="4172"/>
        <w:gridCol w:w="1824"/>
        <w:gridCol w:w="1391"/>
        <w:gridCol w:w="65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373" w:type="pct"/>
            <w:tcBorders>
              <w:tl2br w:val="nil"/>
              <w:tr2bl w:val="nil"/>
            </w:tcBorders>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序号</w:t>
            </w:r>
          </w:p>
        </w:tc>
        <w:tc>
          <w:tcPr>
            <w:tcW w:w="2400" w:type="pct"/>
            <w:tcBorders>
              <w:tl2br w:val="nil"/>
              <w:tr2bl w:val="nil"/>
            </w:tcBorders>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检查内容</w:t>
            </w:r>
          </w:p>
        </w:tc>
        <w:tc>
          <w:tcPr>
            <w:tcW w:w="1050" w:type="pct"/>
            <w:tcBorders>
              <w:tl2br w:val="nil"/>
              <w:tr2bl w:val="nil"/>
            </w:tcBorders>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依据标准</w:t>
            </w:r>
          </w:p>
        </w:tc>
        <w:tc>
          <w:tcPr>
            <w:tcW w:w="801" w:type="pct"/>
            <w:tcBorders>
              <w:tl2br w:val="nil"/>
              <w:tr2bl w:val="nil"/>
            </w:tcBorders>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检查情况</w:t>
            </w:r>
          </w:p>
        </w:tc>
        <w:tc>
          <w:tcPr>
            <w:tcW w:w="374" w:type="pct"/>
            <w:tcBorders>
              <w:tl2br w:val="nil"/>
              <w:tr2bl w:val="nil"/>
            </w:tcBorders>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结论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3" w:type="pct"/>
            <w:tcBorders>
              <w:tl2br w:val="nil"/>
              <w:tr2bl w:val="nil"/>
            </w:tcBorders>
            <w:vAlign w:val="center"/>
          </w:tcPr>
          <w:p>
            <w:pPr>
              <w:numPr>
                <w:ilvl w:val="0"/>
                <w:numId w:val="76"/>
              </w:numPr>
              <w:spacing w:line="240" w:lineRule="auto"/>
              <w:ind w:firstLine="0" w:firstLineChars="0"/>
              <w:jc w:val="center"/>
              <w:rPr>
                <w:rFonts w:ascii="宋体" w:hAnsi="宋体" w:cs="宋体"/>
                <w:b/>
                <w:bCs/>
                <w:sz w:val="21"/>
                <w:szCs w:val="21"/>
              </w:rPr>
            </w:pPr>
          </w:p>
        </w:tc>
        <w:tc>
          <w:tcPr>
            <w:tcW w:w="2400"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生产经营单位应当建立健全并落实生产安全事故隐患排查治理制度，采取技术、管理措施，及时发现并消除事故隐患。事故隐患排查治理情况应当如实记录，并通过职工大会或者职工代表大会、信息公示栏等方式向从业人员通报。其中，重大事故隐患排查治理情况应当及时向负有安全生产监督管理职责的部门和职工大会或者职工代表大会报告。</w:t>
            </w:r>
          </w:p>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县级以上地方各级人民政府负有安全生产监督管理职责的部门应当将重大事故隐患纳入相关信息系统，建立健全重大事故隐患治理督办制度，督促生产经营单位消除重大事故隐患。</w:t>
            </w:r>
          </w:p>
        </w:tc>
        <w:tc>
          <w:tcPr>
            <w:tcW w:w="1050" w:type="pct"/>
            <w:tcBorders>
              <w:tl2br w:val="nil"/>
              <w:tr2bl w:val="nil"/>
            </w:tcBorders>
            <w:vAlign w:val="center"/>
          </w:tcPr>
          <w:p>
            <w:pPr>
              <w:spacing w:line="240" w:lineRule="auto"/>
              <w:ind w:firstLine="0" w:firstLineChars="0"/>
              <w:jc w:val="center"/>
              <w:rPr>
                <w:rFonts w:cs="Times New Roman"/>
                <w:sz w:val="20"/>
                <w:szCs w:val="20"/>
              </w:rPr>
            </w:pPr>
            <w:r>
              <w:rPr>
                <w:rFonts w:hint="eastAsia" w:cs="Times New Roman"/>
                <w:sz w:val="20"/>
                <w:szCs w:val="20"/>
              </w:rPr>
              <w:t>《中华人民共和国安全生产法》（中华人民共和国主席令第70号，主席令第13号修改，主席令第88号第三次修正）第四十一条</w:t>
            </w:r>
          </w:p>
        </w:tc>
        <w:tc>
          <w:tcPr>
            <w:tcW w:w="801"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企业建立有隐患排查治理制度，及时排查和记录事故隐患。</w:t>
            </w:r>
          </w:p>
        </w:tc>
        <w:tc>
          <w:tcPr>
            <w:tcW w:w="374" w:type="pct"/>
            <w:tcBorders>
              <w:tl2br w:val="nil"/>
              <w:tr2bl w:val="nil"/>
            </w:tcBorders>
            <w:vAlign w:val="center"/>
          </w:tcPr>
          <w:p>
            <w:pPr>
              <w:spacing w:line="280" w:lineRule="exact"/>
              <w:ind w:firstLine="0" w:firstLineChars="0"/>
              <w:jc w:val="center"/>
              <w:rPr>
                <w:rFonts w:cs="Times New Roman"/>
                <w:bCs/>
                <w:sz w:val="20"/>
                <w:szCs w:val="20"/>
              </w:rPr>
            </w:pPr>
            <w:r>
              <w:rPr>
                <w:rFonts w:hint="eastAsia" w:cs="Times New Roman"/>
                <w:bCs/>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3" w:type="pct"/>
            <w:tcBorders>
              <w:tl2br w:val="nil"/>
              <w:tr2bl w:val="nil"/>
            </w:tcBorders>
            <w:vAlign w:val="center"/>
          </w:tcPr>
          <w:p>
            <w:pPr>
              <w:numPr>
                <w:ilvl w:val="0"/>
                <w:numId w:val="76"/>
              </w:numPr>
              <w:spacing w:line="240" w:lineRule="auto"/>
              <w:ind w:firstLine="0" w:firstLineChars="0"/>
              <w:jc w:val="center"/>
              <w:rPr>
                <w:rFonts w:ascii="宋体" w:hAnsi="宋体" w:cs="宋体"/>
                <w:b/>
                <w:bCs/>
                <w:sz w:val="21"/>
                <w:szCs w:val="21"/>
              </w:rPr>
            </w:pPr>
          </w:p>
        </w:tc>
        <w:tc>
          <w:tcPr>
            <w:tcW w:w="2400"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生产经营单位的安全生产管理人员在检查中发现重大事故隐患，依照前款规定向本单位有关负责人报告，有关负责人不及时处理的，安全生产管理人员可以向主管的负有安全生产监督管理职责的部门报告，接到报告的部门应当依法及时处理。</w:t>
            </w:r>
          </w:p>
        </w:tc>
        <w:tc>
          <w:tcPr>
            <w:tcW w:w="1050" w:type="pct"/>
            <w:tcBorders>
              <w:tl2br w:val="nil"/>
              <w:tr2bl w:val="nil"/>
            </w:tcBorders>
            <w:vAlign w:val="center"/>
          </w:tcPr>
          <w:p>
            <w:pPr>
              <w:spacing w:line="240" w:lineRule="auto"/>
              <w:ind w:firstLine="0" w:firstLineChars="0"/>
              <w:jc w:val="center"/>
              <w:rPr>
                <w:rFonts w:cs="Times New Roman"/>
                <w:sz w:val="20"/>
                <w:szCs w:val="20"/>
              </w:rPr>
            </w:pPr>
            <w:r>
              <w:rPr>
                <w:rFonts w:hint="eastAsia" w:cs="Times New Roman"/>
                <w:sz w:val="20"/>
                <w:szCs w:val="20"/>
              </w:rPr>
              <w:t>《中华人民共和国安全生产法》（中华人民共和国主席令第70号，主席令第13号修改，主席令第88号第三次修正）第四十六条</w:t>
            </w:r>
          </w:p>
        </w:tc>
        <w:tc>
          <w:tcPr>
            <w:tcW w:w="801"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企业排查出重大隐患主要负责人及时落实处理。</w:t>
            </w:r>
          </w:p>
        </w:tc>
        <w:tc>
          <w:tcPr>
            <w:tcW w:w="374" w:type="pct"/>
            <w:tcBorders>
              <w:tl2br w:val="nil"/>
              <w:tr2bl w:val="nil"/>
            </w:tcBorders>
            <w:vAlign w:val="center"/>
          </w:tcPr>
          <w:p>
            <w:pPr>
              <w:spacing w:line="280" w:lineRule="exact"/>
              <w:ind w:firstLine="0" w:firstLineChars="0"/>
              <w:jc w:val="center"/>
              <w:rPr>
                <w:rFonts w:cs="Times New Roman"/>
                <w:bCs/>
                <w:sz w:val="20"/>
                <w:szCs w:val="20"/>
              </w:rPr>
            </w:pPr>
            <w:r>
              <w:rPr>
                <w:rFonts w:hint="eastAsia" w:cs="Times New Roman"/>
                <w:bCs/>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3" w:type="pct"/>
            <w:tcBorders>
              <w:tl2br w:val="nil"/>
              <w:tr2bl w:val="nil"/>
            </w:tcBorders>
            <w:vAlign w:val="center"/>
          </w:tcPr>
          <w:p>
            <w:pPr>
              <w:numPr>
                <w:ilvl w:val="0"/>
                <w:numId w:val="76"/>
              </w:numPr>
              <w:spacing w:line="240" w:lineRule="auto"/>
              <w:ind w:firstLine="0" w:firstLineChars="0"/>
              <w:jc w:val="center"/>
              <w:rPr>
                <w:rFonts w:ascii="宋体" w:hAnsi="宋体" w:cs="宋体"/>
                <w:b/>
                <w:bCs/>
                <w:sz w:val="21"/>
                <w:szCs w:val="21"/>
              </w:rPr>
            </w:pPr>
          </w:p>
        </w:tc>
        <w:tc>
          <w:tcPr>
            <w:tcW w:w="2400"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从业人员发现事故隐患或者其他不安全因素，应当立即向现场安全生产管理人员或者本单位负责人报告；接到报告的人员应当及时予以处理。</w:t>
            </w:r>
          </w:p>
        </w:tc>
        <w:tc>
          <w:tcPr>
            <w:tcW w:w="1050" w:type="pct"/>
            <w:tcBorders>
              <w:tl2br w:val="nil"/>
              <w:tr2bl w:val="nil"/>
            </w:tcBorders>
            <w:vAlign w:val="center"/>
          </w:tcPr>
          <w:p>
            <w:pPr>
              <w:spacing w:line="240" w:lineRule="auto"/>
              <w:ind w:firstLine="0" w:firstLineChars="0"/>
              <w:jc w:val="center"/>
              <w:rPr>
                <w:rFonts w:cs="Times New Roman"/>
                <w:sz w:val="20"/>
                <w:szCs w:val="20"/>
              </w:rPr>
            </w:pPr>
            <w:r>
              <w:rPr>
                <w:rFonts w:hint="eastAsia" w:cs="Times New Roman"/>
                <w:sz w:val="20"/>
                <w:szCs w:val="20"/>
              </w:rPr>
              <w:t>《中华人民共和国安全生产法》（中华人民共和国主席令第70号，主席令第13号修改，主席令第88号第三次修正）第五十九条</w:t>
            </w:r>
          </w:p>
        </w:tc>
        <w:tc>
          <w:tcPr>
            <w:tcW w:w="801"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从业人员发现事故隐患后能及时报告，接报人员及时处理。</w:t>
            </w:r>
          </w:p>
        </w:tc>
        <w:tc>
          <w:tcPr>
            <w:tcW w:w="374" w:type="pct"/>
            <w:tcBorders>
              <w:tl2br w:val="nil"/>
              <w:tr2bl w:val="nil"/>
            </w:tcBorders>
            <w:vAlign w:val="center"/>
          </w:tcPr>
          <w:p>
            <w:pPr>
              <w:spacing w:line="280" w:lineRule="exact"/>
              <w:ind w:firstLine="0" w:firstLineChars="0"/>
              <w:jc w:val="center"/>
              <w:rPr>
                <w:rFonts w:cs="Times New Roman"/>
                <w:bCs/>
                <w:sz w:val="20"/>
                <w:szCs w:val="20"/>
              </w:rPr>
            </w:pPr>
            <w:r>
              <w:rPr>
                <w:rFonts w:hint="eastAsia" w:cs="Times New Roman"/>
                <w:bCs/>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3" w:type="pct"/>
            <w:tcBorders>
              <w:tl2br w:val="nil"/>
              <w:tr2bl w:val="nil"/>
            </w:tcBorders>
            <w:vAlign w:val="center"/>
          </w:tcPr>
          <w:p>
            <w:pPr>
              <w:numPr>
                <w:ilvl w:val="0"/>
                <w:numId w:val="76"/>
              </w:numPr>
              <w:spacing w:line="240" w:lineRule="auto"/>
              <w:ind w:firstLine="0" w:firstLineChars="0"/>
              <w:jc w:val="center"/>
              <w:rPr>
                <w:rFonts w:ascii="宋体" w:hAnsi="宋体" w:cs="宋体"/>
                <w:b/>
                <w:bCs/>
                <w:sz w:val="21"/>
                <w:szCs w:val="21"/>
              </w:rPr>
            </w:pPr>
          </w:p>
        </w:tc>
        <w:tc>
          <w:tcPr>
            <w:tcW w:w="2400"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企业应当遵守有关安全生产法律、行政法规、规章和国家标准或者行业标准的规定。</w:t>
            </w:r>
          </w:p>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企业应当建立安全风险管控和事故隐患排查治理双重预防机制，落实从主要负责人到每一名从业人员的安全风险管控和事故隐患排查治理责任制。</w:t>
            </w:r>
          </w:p>
        </w:tc>
        <w:tc>
          <w:tcPr>
            <w:tcW w:w="1050" w:type="pct"/>
            <w:tcBorders>
              <w:tl2br w:val="nil"/>
              <w:tr2bl w:val="nil"/>
            </w:tcBorders>
            <w:vAlign w:val="center"/>
          </w:tcPr>
          <w:p>
            <w:pPr>
              <w:spacing w:line="240" w:lineRule="auto"/>
              <w:ind w:firstLine="0" w:firstLineChars="0"/>
              <w:jc w:val="center"/>
              <w:rPr>
                <w:rFonts w:cs="Times New Roman"/>
                <w:sz w:val="20"/>
                <w:szCs w:val="20"/>
              </w:rPr>
            </w:pPr>
            <w:r>
              <w:rPr>
                <w:rFonts w:hint="eastAsia" w:cs="Times New Roman"/>
                <w:sz w:val="20"/>
                <w:szCs w:val="20"/>
              </w:rPr>
              <w:t>《冶金企业和有色金属企业安全生产规定》（国家安全生产监督管理总局令第91号）第六条</w:t>
            </w:r>
          </w:p>
        </w:tc>
        <w:tc>
          <w:tcPr>
            <w:tcW w:w="801"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企业正在创建安全风险管控和事故隐患排查治理双重预防机制。</w:t>
            </w:r>
          </w:p>
        </w:tc>
        <w:tc>
          <w:tcPr>
            <w:tcW w:w="374" w:type="pct"/>
            <w:tcBorders>
              <w:tl2br w:val="nil"/>
              <w:tr2bl w:val="nil"/>
            </w:tcBorders>
            <w:vAlign w:val="center"/>
          </w:tcPr>
          <w:p>
            <w:pPr>
              <w:spacing w:line="280" w:lineRule="exact"/>
              <w:ind w:firstLine="0" w:firstLineChars="0"/>
              <w:jc w:val="center"/>
              <w:rPr>
                <w:rFonts w:cs="Times New Roman"/>
                <w:bCs/>
                <w:sz w:val="20"/>
                <w:szCs w:val="20"/>
              </w:rPr>
            </w:pPr>
            <w:r>
              <w:rPr>
                <w:bCs/>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3" w:type="pct"/>
            <w:tcBorders>
              <w:tl2br w:val="nil"/>
              <w:tr2bl w:val="nil"/>
            </w:tcBorders>
            <w:vAlign w:val="center"/>
          </w:tcPr>
          <w:p>
            <w:pPr>
              <w:numPr>
                <w:ilvl w:val="0"/>
                <w:numId w:val="76"/>
              </w:numPr>
              <w:spacing w:line="240" w:lineRule="auto"/>
              <w:ind w:firstLine="0" w:firstLineChars="0"/>
              <w:jc w:val="center"/>
              <w:rPr>
                <w:rFonts w:ascii="宋体" w:hAnsi="宋体" w:cs="宋体"/>
                <w:b/>
                <w:bCs/>
                <w:sz w:val="21"/>
                <w:szCs w:val="21"/>
              </w:rPr>
            </w:pPr>
          </w:p>
        </w:tc>
        <w:tc>
          <w:tcPr>
            <w:tcW w:w="2400"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企业应当建立健全设备设施安全管理制度，加强设备设施的检查、维护、保养和检修，确保设备设施安全运行。</w:t>
            </w:r>
          </w:p>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对重要岗位的电气、机械等设备，企业应当实行操作牌制度。</w:t>
            </w:r>
          </w:p>
        </w:tc>
        <w:tc>
          <w:tcPr>
            <w:tcW w:w="1050" w:type="pct"/>
            <w:tcBorders>
              <w:tl2br w:val="nil"/>
              <w:tr2bl w:val="nil"/>
            </w:tcBorders>
            <w:vAlign w:val="center"/>
          </w:tcPr>
          <w:p>
            <w:pPr>
              <w:spacing w:line="240" w:lineRule="auto"/>
              <w:ind w:firstLine="0" w:firstLineChars="0"/>
              <w:jc w:val="center"/>
              <w:rPr>
                <w:rFonts w:cs="Times New Roman"/>
                <w:sz w:val="20"/>
                <w:szCs w:val="20"/>
              </w:rPr>
            </w:pPr>
            <w:r>
              <w:rPr>
                <w:rFonts w:hint="eastAsia" w:cs="Times New Roman"/>
                <w:sz w:val="20"/>
                <w:szCs w:val="20"/>
              </w:rPr>
              <w:t>《冶金企业和有色金属企业安全生产规定》（国家安全生产监督管理总局令第91号）第二十三条</w:t>
            </w:r>
          </w:p>
        </w:tc>
        <w:tc>
          <w:tcPr>
            <w:tcW w:w="801"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企业建立了设备设施安全管理制度，对设备设施定期进行检查维护。</w:t>
            </w:r>
          </w:p>
        </w:tc>
        <w:tc>
          <w:tcPr>
            <w:tcW w:w="374" w:type="pct"/>
            <w:tcBorders>
              <w:tl2br w:val="nil"/>
              <w:tr2bl w:val="nil"/>
            </w:tcBorders>
            <w:vAlign w:val="center"/>
          </w:tcPr>
          <w:p>
            <w:pPr>
              <w:spacing w:line="280" w:lineRule="exact"/>
              <w:ind w:firstLine="0" w:firstLineChars="0"/>
              <w:jc w:val="center"/>
              <w:rPr>
                <w:rFonts w:cs="Times New Roman"/>
                <w:bCs/>
                <w:sz w:val="20"/>
                <w:szCs w:val="20"/>
              </w:rPr>
            </w:pPr>
            <w:r>
              <w:rPr>
                <w:bCs/>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3" w:type="pct"/>
            <w:tcBorders>
              <w:tl2br w:val="nil"/>
              <w:tr2bl w:val="nil"/>
            </w:tcBorders>
            <w:vAlign w:val="center"/>
          </w:tcPr>
          <w:p>
            <w:pPr>
              <w:numPr>
                <w:ilvl w:val="0"/>
                <w:numId w:val="76"/>
              </w:numPr>
              <w:spacing w:line="240" w:lineRule="auto"/>
              <w:ind w:firstLine="0" w:firstLineChars="0"/>
              <w:jc w:val="center"/>
              <w:rPr>
                <w:rFonts w:ascii="宋体" w:hAnsi="宋体" w:cs="宋体"/>
                <w:b/>
                <w:bCs/>
                <w:sz w:val="21"/>
                <w:szCs w:val="21"/>
              </w:rPr>
            </w:pPr>
          </w:p>
        </w:tc>
        <w:tc>
          <w:tcPr>
            <w:tcW w:w="2400"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企业的建（构）筑物应当按照国家标准或者行业标准规定，采取防火、防爆、防雷、防震、防腐蚀、隔热等防护措施，对承受重荷载、荷载发生变化或者受高温熔融金属喷溅、酸碱腐蚀等危害的建（构）筑物，应当定期对建（构）筑物结构进行安全检查。</w:t>
            </w:r>
          </w:p>
        </w:tc>
        <w:tc>
          <w:tcPr>
            <w:tcW w:w="1050" w:type="pct"/>
            <w:tcBorders>
              <w:tl2br w:val="nil"/>
              <w:tr2bl w:val="nil"/>
            </w:tcBorders>
            <w:vAlign w:val="center"/>
          </w:tcPr>
          <w:p>
            <w:pPr>
              <w:spacing w:line="240" w:lineRule="auto"/>
              <w:ind w:firstLine="0" w:firstLineChars="0"/>
              <w:jc w:val="center"/>
              <w:rPr>
                <w:rFonts w:cs="Times New Roman"/>
                <w:sz w:val="20"/>
                <w:szCs w:val="20"/>
              </w:rPr>
            </w:pPr>
            <w:r>
              <w:rPr>
                <w:rFonts w:hint="eastAsia" w:cs="Times New Roman"/>
                <w:sz w:val="20"/>
                <w:szCs w:val="20"/>
              </w:rPr>
              <w:t>《冶金企业和有色金属企业安全生产规定》（国家安全生产监督管理总局令第91号）第二十五条</w:t>
            </w:r>
          </w:p>
        </w:tc>
        <w:tc>
          <w:tcPr>
            <w:tcW w:w="801"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企业定期对建（构）筑物结构进行安全检查。</w:t>
            </w:r>
          </w:p>
        </w:tc>
        <w:tc>
          <w:tcPr>
            <w:tcW w:w="374" w:type="pct"/>
            <w:tcBorders>
              <w:tl2br w:val="nil"/>
              <w:tr2bl w:val="nil"/>
            </w:tcBorders>
            <w:vAlign w:val="center"/>
          </w:tcPr>
          <w:p>
            <w:pPr>
              <w:spacing w:line="280" w:lineRule="exact"/>
              <w:ind w:firstLine="0" w:firstLineChars="0"/>
              <w:jc w:val="center"/>
              <w:rPr>
                <w:rFonts w:cs="Times New Roman"/>
                <w:bCs/>
                <w:sz w:val="20"/>
                <w:szCs w:val="20"/>
              </w:rPr>
            </w:pPr>
            <w:r>
              <w:rPr>
                <w:bCs/>
                <w:sz w:val="20"/>
                <w:szCs w:val="20"/>
              </w:rPr>
              <w:t>符合</w:t>
            </w:r>
          </w:p>
        </w:tc>
      </w:tr>
    </w:tbl>
    <w:p>
      <w:pPr>
        <w:ind w:firstLine="560"/>
      </w:pPr>
      <w:r>
        <w:rPr>
          <w:rFonts w:hint="eastAsia" w:ascii="宋体" w:hAnsi="宋体" w:cs="宋体"/>
        </w:rPr>
        <w:t>公司隐患排查机制、隐患排查与治理闭环管理符合《中华人民共和国安全生产法》（中华人民共和国主席令第70号，主席令第13号修改，主席令第88号第三次修正）、《冶金企业和有色金属企业安全生产规定》（国家安全生产监督管理总局令第91号）等国家标准规范的要求。</w:t>
      </w:r>
    </w:p>
    <w:p>
      <w:pPr>
        <w:pStyle w:val="6"/>
        <w:tabs>
          <w:tab w:val="left" w:pos="420"/>
          <w:tab w:val="clear" w:pos="2101"/>
        </w:tabs>
        <w:spacing w:before="156" w:after="156"/>
      </w:pPr>
      <w:bookmarkStart w:id="364" w:name="_Toc10763"/>
      <w:bookmarkStart w:id="365" w:name="_Toc1504"/>
      <w:r>
        <w:t>个人安全防护</w:t>
      </w:r>
      <w:bookmarkEnd w:id="364"/>
      <w:bookmarkEnd w:id="365"/>
    </w:p>
    <w:p>
      <w:pPr>
        <w:pStyle w:val="14"/>
        <w:spacing w:before="156" w:after="156"/>
      </w:pPr>
      <w:r>
        <w:t xml:space="preserve">表 </w:t>
      </w:r>
      <w:r>
        <w:fldChar w:fldCharType="begin"/>
      </w:r>
      <w:r>
        <w:instrText xml:space="preserve"> STYLEREF 1 \s </w:instrText>
      </w:r>
      <w:r>
        <w:fldChar w:fldCharType="separate"/>
      </w:r>
      <w:r>
        <w:t>5</w:t>
      </w:r>
      <w:r>
        <w:fldChar w:fldCharType="end"/>
      </w:r>
      <w:r>
        <w:rPr>
          <w:rFonts w:hint="eastAsia"/>
        </w:rPr>
        <w:t>.9-6个体防护安全检查表</w:t>
      </w:r>
    </w:p>
    <w:tbl>
      <w:tblPr>
        <w:tblStyle w:val="29"/>
        <w:tblW w:w="508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47"/>
        <w:gridCol w:w="4060"/>
        <w:gridCol w:w="1976"/>
        <w:gridCol w:w="1319"/>
        <w:gridCol w:w="65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72" w:hRule="atLeast"/>
          <w:tblHeader/>
          <w:jc w:val="center"/>
        </w:trPr>
        <w:tc>
          <w:tcPr>
            <w:tcW w:w="373" w:type="pct"/>
            <w:tcBorders>
              <w:bottom w:val="single" w:color="000000" w:sz="4" w:space="0"/>
              <w:right w:val="single" w:color="000000" w:sz="4" w:space="0"/>
              <w:tl2br w:val="nil"/>
              <w:tr2bl w:val="nil"/>
            </w:tcBorders>
            <w:shd w:val="clear" w:color="auto" w:fill="FFFFFF"/>
            <w:vAlign w:val="center"/>
          </w:tcPr>
          <w:p>
            <w:pPr>
              <w:spacing w:line="240" w:lineRule="auto"/>
              <w:ind w:firstLine="0" w:firstLineChars="0"/>
              <w:jc w:val="center"/>
              <w:rPr>
                <w:rFonts w:ascii="宋体" w:hAnsi="宋体" w:cs="宋体"/>
                <w:b/>
                <w:color w:val="000000"/>
                <w:sz w:val="21"/>
                <w:szCs w:val="21"/>
              </w:rPr>
            </w:pPr>
            <w:r>
              <w:rPr>
                <w:rFonts w:hint="eastAsia" w:ascii="宋体" w:hAnsi="宋体" w:cs="宋体"/>
                <w:b/>
                <w:color w:val="000000"/>
                <w:sz w:val="21"/>
                <w:szCs w:val="21"/>
              </w:rPr>
              <w:t>序号</w:t>
            </w:r>
          </w:p>
        </w:tc>
        <w:tc>
          <w:tcPr>
            <w:tcW w:w="2343" w:type="pct"/>
            <w:tcBorders>
              <w:left w:val="single" w:color="000000" w:sz="4" w:space="0"/>
              <w:bottom w:val="single" w:color="000000" w:sz="4" w:space="0"/>
              <w:right w:val="single" w:color="000000" w:sz="4" w:space="0"/>
              <w:tl2br w:val="nil"/>
              <w:tr2bl w:val="nil"/>
            </w:tcBorders>
            <w:shd w:val="clear" w:color="auto" w:fill="FFFFFF"/>
            <w:vAlign w:val="center"/>
          </w:tcPr>
          <w:p>
            <w:pPr>
              <w:spacing w:line="240" w:lineRule="auto"/>
              <w:ind w:firstLine="0" w:firstLineChars="0"/>
              <w:jc w:val="center"/>
              <w:rPr>
                <w:rFonts w:ascii="宋体" w:hAnsi="宋体" w:cs="宋体"/>
                <w:b/>
                <w:color w:val="000000"/>
                <w:sz w:val="21"/>
                <w:szCs w:val="21"/>
              </w:rPr>
            </w:pPr>
            <w:r>
              <w:rPr>
                <w:rFonts w:hint="eastAsia" w:ascii="宋体" w:hAnsi="宋体" w:cs="宋体"/>
                <w:b/>
                <w:color w:val="000000"/>
                <w:sz w:val="21"/>
                <w:szCs w:val="21"/>
              </w:rPr>
              <w:t>检查内容</w:t>
            </w:r>
          </w:p>
        </w:tc>
        <w:tc>
          <w:tcPr>
            <w:tcW w:w="1141" w:type="pct"/>
            <w:tcBorders>
              <w:left w:val="single" w:color="000000" w:sz="4" w:space="0"/>
              <w:bottom w:val="single" w:color="000000" w:sz="4" w:space="0"/>
              <w:right w:val="single" w:color="000000" w:sz="4" w:space="0"/>
              <w:tl2br w:val="nil"/>
              <w:tr2bl w:val="nil"/>
            </w:tcBorders>
            <w:shd w:val="clear" w:color="auto" w:fill="FFFFFF"/>
            <w:vAlign w:val="center"/>
          </w:tcPr>
          <w:p>
            <w:pPr>
              <w:spacing w:line="240" w:lineRule="auto"/>
              <w:ind w:firstLine="0" w:firstLineChars="0"/>
              <w:jc w:val="center"/>
              <w:rPr>
                <w:rFonts w:ascii="宋体" w:hAnsi="宋体" w:cs="宋体"/>
                <w:b/>
                <w:color w:val="000000"/>
                <w:sz w:val="21"/>
                <w:szCs w:val="21"/>
              </w:rPr>
            </w:pPr>
            <w:r>
              <w:rPr>
                <w:rFonts w:hint="eastAsia" w:ascii="宋体" w:hAnsi="宋体" w:cs="宋体"/>
                <w:b/>
                <w:color w:val="000000"/>
                <w:sz w:val="21"/>
                <w:szCs w:val="21"/>
              </w:rPr>
              <w:t>依据标准</w:t>
            </w:r>
          </w:p>
        </w:tc>
        <w:tc>
          <w:tcPr>
            <w:tcW w:w="762" w:type="pct"/>
            <w:tcBorders>
              <w:left w:val="single" w:color="000000" w:sz="4" w:space="0"/>
              <w:bottom w:val="single" w:color="000000" w:sz="4" w:space="0"/>
              <w:right w:val="single" w:color="000000" w:sz="4" w:space="0"/>
              <w:tl2br w:val="nil"/>
              <w:tr2bl w:val="nil"/>
            </w:tcBorders>
            <w:shd w:val="clear" w:color="auto" w:fill="FFFFFF"/>
            <w:vAlign w:val="center"/>
          </w:tcPr>
          <w:p>
            <w:pPr>
              <w:spacing w:line="240" w:lineRule="auto"/>
              <w:ind w:firstLine="0" w:firstLineChars="0"/>
              <w:jc w:val="center"/>
              <w:rPr>
                <w:rFonts w:ascii="宋体" w:hAnsi="宋体" w:cs="宋体"/>
                <w:b/>
                <w:color w:val="000000"/>
                <w:sz w:val="21"/>
                <w:szCs w:val="21"/>
              </w:rPr>
            </w:pPr>
            <w:r>
              <w:rPr>
                <w:rFonts w:hint="eastAsia" w:ascii="宋体" w:hAnsi="宋体" w:cs="宋体"/>
                <w:b/>
                <w:color w:val="000000"/>
                <w:sz w:val="21"/>
                <w:szCs w:val="21"/>
              </w:rPr>
              <w:t>检查情况</w:t>
            </w:r>
          </w:p>
        </w:tc>
        <w:tc>
          <w:tcPr>
            <w:tcW w:w="379" w:type="pct"/>
            <w:tcBorders>
              <w:left w:val="single" w:color="000000" w:sz="4" w:space="0"/>
              <w:bottom w:val="single" w:color="000000" w:sz="4" w:space="0"/>
              <w:tl2br w:val="nil"/>
              <w:tr2bl w:val="nil"/>
            </w:tcBorders>
            <w:shd w:val="clear" w:color="auto" w:fill="FFFFFF"/>
            <w:vAlign w:val="center"/>
          </w:tcPr>
          <w:p>
            <w:pPr>
              <w:spacing w:line="240" w:lineRule="auto"/>
              <w:ind w:firstLine="0" w:firstLineChars="0"/>
              <w:jc w:val="center"/>
              <w:rPr>
                <w:rFonts w:ascii="宋体" w:hAnsi="宋体" w:cs="宋体"/>
                <w:b/>
                <w:color w:val="000000"/>
                <w:sz w:val="21"/>
                <w:szCs w:val="21"/>
              </w:rPr>
            </w:pPr>
            <w:r>
              <w:rPr>
                <w:rFonts w:hint="eastAsia" w:ascii="宋体" w:hAnsi="宋体" w:cs="宋体"/>
                <w:b/>
                <w:color w:val="000000"/>
                <w:sz w:val="21"/>
                <w:szCs w:val="21"/>
              </w:rPr>
              <w:t>结论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426" w:hRule="atLeast"/>
          <w:jc w:val="center"/>
        </w:trPr>
        <w:tc>
          <w:tcPr>
            <w:tcW w:w="373" w:type="pct"/>
            <w:tcBorders>
              <w:top w:val="single" w:color="000000" w:sz="4" w:space="0"/>
              <w:bottom w:val="single" w:color="000000" w:sz="4" w:space="0"/>
              <w:right w:val="single" w:color="000000" w:sz="4" w:space="0"/>
              <w:tl2br w:val="nil"/>
              <w:tr2bl w:val="nil"/>
            </w:tcBorders>
            <w:shd w:val="clear" w:color="auto" w:fill="FFFFFF"/>
            <w:vAlign w:val="center"/>
          </w:tcPr>
          <w:p>
            <w:pPr>
              <w:numPr>
                <w:ilvl w:val="0"/>
                <w:numId w:val="77"/>
              </w:numPr>
              <w:spacing w:line="240" w:lineRule="auto"/>
              <w:ind w:firstLine="0" w:firstLineChars="0"/>
              <w:jc w:val="center"/>
              <w:rPr>
                <w:rFonts w:ascii="宋体" w:hAnsi="宋体" w:cs="宋体"/>
                <w:bCs/>
                <w:color w:val="000000"/>
                <w:sz w:val="21"/>
                <w:szCs w:val="21"/>
              </w:rPr>
            </w:pPr>
          </w:p>
        </w:tc>
        <w:tc>
          <w:tcPr>
            <w:tcW w:w="2343" w:type="pct"/>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napToGrid w:val="0"/>
              <w:spacing w:line="240" w:lineRule="auto"/>
              <w:ind w:firstLine="0" w:firstLineChars="0"/>
              <w:jc w:val="both"/>
              <w:rPr>
                <w:rFonts w:ascii="宋体" w:hAnsi="宋体" w:cs="宋体"/>
                <w:bCs/>
                <w:color w:val="000000"/>
                <w:kern w:val="0"/>
                <w:sz w:val="21"/>
                <w:szCs w:val="21"/>
              </w:rPr>
            </w:pPr>
            <w:r>
              <w:rPr>
                <w:rFonts w:hint="eastAsia" w:ascii="宋体" w:hAnsi="宋体" w:cs="宋体"/>
                <w:bCs/>
                <w:color w:val="000000"/>
                <w:kern w:val="0"/>
                <w:sz w:val="21"/>
                <w:szCs w:val="21"/>
              </w:rPr>
              <w:t>生产经营单位必须为从业人员提供符合国家标准或者行业标准的劳动防护用品，并监督、教育从业人员按照使用规则佩戴、使用。</w:t>
            </w:r>
          </w:p>
        </w:tc>
        <w:tc>
          <w:tcPr>
            <w:tcW w:w="1141" w:type="pct"/>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line="240" w:lineRule="auto"/>
              <w:ind w:firstLine="0" w:firstLineChars="0"/>
              <w:jc w:val="center"/>
              <w:rPr>
                <w:rFonts w:cs="Times New Roman"/>
                <w:color w:val="000000"/>
                <w:sz w:val="20"/>
                <w:szCs w:val="20"/>
              </w:rPr>
            </w:pPr>
            <w:r>
              <w:rPr>
                <w:rFonts w:hint="eastAsia" w:cs="Times New Roman"/>
                <w:color w:val="000000"/>
                <w:sz w:val="20"/>
                <w:szCs w:val="20"/>
              </w:rPr>
              <w:t>《中华人民共和国安全生产法》（中华人民共和国主席令第70号，主席令第13号修改，主席令第88号第三次修正）第四十五条</w:t>
            </w:r>
          </w:p>
        </w:tc>
        <w:tc>
          <w:tcPr>
            <w:tcW w:w="762" w:type="pct"/>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napToGrid w:val="0"/>
              <w:spacing w:line="240" w:lineRule="auto"/>
              <w:ind w:firstLine="0" w:firstLineChars="0"/>
              <w:jc w:val="both"/>
              <w:rPr>
                <w:rFonts w:ascii="宋体" w:hAnsi="宋体" w:cs="宋体"/>
                <w:bCs/>
                <w:color w:val="000000"/>
                <w:kern w:val="0"/>
                <w:sz w:val="21"/>
                <w:szCs w:val="21"/>
              </w:rPr>
            </w:pPr>
            <w:r>
              <w:rPr>
                <w:rFonts w:hint="eastAsia" w:ascii="宋体" w:hAnsi="宋体" w:cs="宋体"/>
                <w:bCs/>
                <w:color w:val="000000"/>
                <w:kern w:val="0"/>
                <w:sz w:val="21"/>
                <w:szCs w:val="21"/>
              </w:rPr>
              <w:t>企业为从业人员提供了相应的劳动防护用品，并监督、教育从业人员按要求使用。</w:t>
            </w:r>
          </w:p>
        </w:tc>
        <w:tc>
          <w:tcPr>
            <w:tcW w:w="379" w:type="pct"/>
            <w:tcBorders>
              <w:top w:val="single" w:color="000000" w:sz="4" w:space="0"/>
              <w:left w:val="single" w:color="000000" w:sz="4" w:space="0"/>
              <w:bottom w:val="single" w:color="000000" w:sz="4" w:space="0"/>
              <w:tl2br w:val="nil"/>
              <w:tr2bl w:val="nil"/>
            </w:tcBorders>
            <w:shd w:val="clear" w:color="auto" w:fill="FFFFFF"/>
            <w:vAlign w:val="center"/>
          </w:tcPr>
          <w:p>
            <w:pPr>
              <w:spacing w:line="280" w:lineRule="exact"/>
              <w:ind w:firstLine="0" w:firstLineChars="0"/>
              <w:jc w:val="center"/>
              <w:rPr>
                <w:rFonts w:cs="Times New Roman"/>
                <w:bCs/>
                <w:color w:val="000000"/>
                <w:sz w:val="20"/>
                <w:szCs w:val="20"/>
              </w:rPr>
            </w:pPr>
            <w:r>
              <w:rPr>
                <w:bCs/>
                <w:color w:val="000000"/>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8" w:hRule="atLeast"/>
          <w:jc w:val="center"/>
        </w:trPr>
        <w:tc>
          <w:tcPr>
            <w:tcW w:w="373" w:type="pct"/>
            <w:tcBorders>
              <w:top w:val="single" w:color="000000" w:sz="4" w:space="0"/>
              <w:bottom w:val="single" w:color="000000" w:sz="4" w:space="0"/>
              <w:right w:val="single" w:color="000000" w:sz="4" w:space="0"/>
              <w:tl2br w:val="nil"/>
              <w:tr2bl w:val="nil"/>
            </w:tcBorders>
            <w:shd w:val="clear" w:color="auto" w:fill="FFFFFF"/>
            <w:vAlign w:val="center"/>
          </w:tcPr>
          <w:p>
            <w:pPr>
              <w:numPr>
                <w:ilvl w:val="0"/>
                <w:numId w:val="77"/>
              </w:numPr>
              <w:spacing w:line="240" w:lineRule="auto"/>
              <w:ind w:firstLine="0" w:firstLineChars="0"/>
              <w:jc w:val="center"/>
              <w:rPr>
                <w:rFonts w:ascii="宋体" w:hAnsi="宋体" w:cs="宋体"/>
                <w:bCs/>
                <w:color w:val="000000"/>
                <w:sz w:val="21"/>
                <w:szCs w:val="21"/>
              </w:rPr>
            </w:pPr>
          </w:p>
        </w:tc>
        <w:tc>
          <w:tcPr>
            <w:tcW w:w="2343" w:type="pct"/>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napToGrid w:val="0"/>
              <w:spacing w:line="240" w:lineRule="auto"/>
              <w:ind w:firstLine="0" w:firstLineChars="0"/>
              <w:jc w:val="both"/>
              <w:rPr>
                <w:rFonts w:ascii="宋体" w:hAnsi="宋体" w:cs="宋体"/>
                <w:bCs/>
                <w:color w:val="000000"/>
                <w:kern w:val="0"/>
                <w:sz w:val="21"/>
                <w:szCs w:val="21"/>
              </w:rPr>
            </w:pPr>
            <w:r>
              <w:rPr>
                <w:rFonts w:hint="eastAsia" w:ascii="宋体" w:hAnsi="宋体" w:cs="宋体"/>
                <w:bCs/>
                <w:color w:val="000000"/>
                <w:kern w:val="0"/>
                <w:sz w:val="21"/>
                <w:szCs w:val="21"/>
              </w:rPr>
              <w:t>用人单位应建立健全个体防护装备管理制度，至少应包括采购、验收、保管、选择、发放、使用、报废、培训等内容，并应建立健全个体防护装备管理档案。</w:t>
            </w:r>
          </w:p>
        </w:tc>
        <w:tc>
          <w:tcPr>
            <w:tcW w:w="1141" w:type="pct"/>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napToGrid w:val="0"/>
              <w:spacing w:line="240" w:lineRule="auto"/>
              <w:ind w:firstLine="0" w:firstLineChars="0"/>
              <w:jc w:val="both"/>
              <w:rPr>
                <w:rFonts w:ascii="宋体" w:hAnsi="宋体" w:cs="宋体"/>
                <w:bCs/>
                <w:color w:val="000000"/>
                <w:kern w:val="0"/>
                <w:sz w:val="21"/>
                <w:szCs w:val="21"/>
              </w:rPr>
            </w:pPr>
            <w:r>
              <w:rPr>
                <w:rFonts w:hint="eastAsia" w:ascii="宋体" w:hAnsi="宋体" w:cs="宋体"/>
                <w:bCs/>
                <w:color w:val="000000"/>
                <w:kern w:val="0"/>
                <w:sz w:val="21"/>
                <w:szCs w:val="21"/>
              </w:rPr>
              <w:t>《个体防护装备配备规范 第1部分：总则》（GB 39800.1-2020）5.1.1</w:t>
            </w:r>
          </w:p>
        </w:tc>
        <w:tc>
          <w:tcPr>
            <w:tcW w:w="762" w:type="pct"/>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napToGrid w:val="0"/>
              <w:spacing w:line="240" w:lineRule="auto"/>
              <w:ind w:firstLine="0" w:firstLineChars="0"/>
              <w:jc w:val="both"/>
              <w:rPr>
                <w:rFonts w:ascii="宋体" w:hAnsi="宋体" w:cs="宋体"/>
                <w:bCs/>
                <w:color w:val="000000"/>
                <w:kern w:val="0"/>
                <w:sz w:val="21"/>
                <w:szCs w:val="21"/>
              </w:rPr>
            </w:pPr>
            <w:r>
              <w:rPr>
                <w:rFonts w:hint="eastAsia" w:ascii="宋体" w:hAnsi="宋体" w:cs="宋体"/>
                <w:bCs/>
                <w:color w:val="000000"/>
                <w:kern w:val="0"/>
                <w:sz w:val="21"/>
                <w:szCs w:val="21"/>
              </w:rPr>
              <w:t>企业建立健全个体防护装备管理制度，有个体防护装备管理档案。</w:t>
            </w:r>
          </w:p>
        </w:tc>
        <w:tc>
          <w:tcPr>
            <w:tcW w:w="379" w:type="pct"/>
            <w:tcBorders>
              <w:top w:val="single" w:color="000000" w:sz="4" w:space="0"/>
              <w:left w:val="single" w:color="000000" w:sz="4" w:space="0"/>
              <w:bottom w:val="single" w:color="000000" w:sz="4" w:space="0"/>
              <w:tl2br w:val="nil"/>
              <w:tr2bl w:val="nil"/>
            </w:tcBorders>
            <w:shd w:val="clear" w:color="auto" w:fill="FFFFFF"/>
            <w:vAlign w:val="center"/>
          </w:tcPr>
          <w:p>
            <w:pPr>
              <w:spacing w:line="280" w:lineRule="exact"/>
              <w:ind w:firstLine="0" w:firstLineChars="0"/>
              <w:jc w:val="center"/>
              <w:rPr>
                <w:bCs/>
                <w:color w:val="000000"/>
                <w:sz w:val="20"/>
                <w:szCs w:val="20"/>
              </w:rPr>
            </w:pPr>
            <w:r>
              <w:rPr>
                <w:bCs/>
                <w:color w:val="000000"/>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8" w:hRule="atLeast"/>
          <w:jc w:val="center"/>
        </w:trPr>
        <w:tc>
          <w:tcPr>
            <w:tcW w:w="373" w:type="pct"/>
            <w:tcBorders>
              <w:top w:val="single" w:color="000000" w:sz="4" w:space="0"/>
              <w:bottom w:val="single" w:color="000000" w:sz="4" w:space="0"/>
              <w:right w:val="single" w:color="000000" w:sz="4" w:space="0"/>
              <w:tl2br w:val="nil"/>
              <w:tr2bl w:val="nil"/>
            </w:tcBorders>
            <w:shd w:val="clear" w:color="auto" w:fill="FFFFFF"/>
            <w:vAlign w:val="center"/>
          </w:tcPr>
          <w:p>
            <w:pPr>
              <w:numPr>
                <w:ilvl w:val="0"/>
                <w:numId w:val="77"/>
              </w:numPr>
              <w:spacing w:line="240" w:lineRule="auto"/>
              <w:ind w:firstLine="0" w:firstLineChars="0"/>
              <w:jc w:val="center"/>
              <w:rPr>
                <w:rFonts w:ascii="宋体" w:hAnsi="宋体" w:cs="宋体"/>
                <w:bCs/>
                <w:color w:val="000000"/>
                <w:sz w:val="21"/>
                <w:szCs w:val="21"/>
              </w:rPr>
            </w:pPr>
          </w:p>
        </w:tc>
        <w:tc>
          <w:tcPr>
            <w:tcW w:w="2343" w:type="pct"/>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napToGrid w:val="0"/>
              <w:spacing w:line="240" w:lineRule="auto"/>
              <w:ind w:firstLine="0" w:firstLineChars="0"/>
              <w:jc w:val="both"/>
              <w:rPr>
                <w:rFonts w:ascii="宋体" w:hAnsi="宋体" w:cs="宋体"/>
                <w:bCs/>
                <w:color w:val="000000"/>
                <w:kern w:val="0"/>
                <w:sz w:val="21"/>
                <w:szCs w:val="21"/>
              </w:rPr>
            </w:pPr>
            <w:r>
              <w:rPr>
                <w:rFonts w:hint="eastAsia" w:ascii="宋体" w:hAnsi="宋体" w:cs="宋体"/>
                <w:bCs/>
                <w:color w:val="000000"/>
                <w:kern w:val="0"/>
                <w:sz w:val="21"/>
                <w:szCs w:val="21"/>
              </w:rPr>
              <w:t>用人单位应当健全管理制度，加强劳动防护用品配备、发放、使用等管理工作。</w:t>
            </w:r>
          </w:p>
          <w:p>
            <w:pPr>
              <w:widowControl/>
              <w:snapToGrid w:val="0"/>
              <w:spacing w:line="240" w:lineRule="auto"/>
              <w:ind w:firstLine="0" w:firstLineChars="0"/>
              <w:jc w:val="both"/>
              <w:rPr>
                <w:rFonts w:ascii="宋体" w:hAnsi="宋体" w:cs="宋体"/>
                <w:bCs/>
                <w:color w:val="000000"/>
                <w:kern w:val="0"/>
                <w:sz w:val="21"/>
                <w:szCs w:val="21"/>
              </w:rPr>
            </w:pPr>
          </w:p>
        </w:tc>
        <w:tc>
          <w:tcPr>
            <w:tcW w:w="1141" w:type="pct"/>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napToGrid w:val="0"/>
              <w:spacing w:line="240" w:lineRule="auto"/>
              <w:ind w:firstLine="0" w:firstLineChars="0"/>
              <w:jc w:val="both"/>
              <w:rPr>
                <w:rFonts w:ascii="宋体" w:hAnsi="宋体" w:cs="宋体"/>
                <w:bCs/>
                <w:color w:val="000000"/>
                <w:kern w:val="0"/>
                <w:sz w:val="21"/>
                <w:szCs w:val="21"/>
              </w:rPr>
            </w:pPr>
            <w:r>
              <w:rPr>
                <w:rFonts w:hint="eastAsia" w:ascii="宋体" w:hAnsi="宋体" w:cs="宋体"/>
                <w:bCs/>
                <w:color w:val="000000"/>
                <w:kern w:val="0"/>
                <w:sz w:val="21"/>
                <w:szCs w:val="21"/>
              </w:rPr>
              <w:t>《用人单位劳动防护用品管理规范》（安监总厅安健〔2018〕3号）第五条</w:t>
            </w:r>
          </w:p>
        </w:tc>
        <w:tc>
          <w:tcPr>
            <w:tcW w:w="762" w:type="pct"/>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napToGrid w:val="0"/>
              <w:spacing w:line="240" w:lineRule="auto"/>
              <w:ind w:firstLine="0" w:firstLineChars="0"/>
              <w:jc w:val="both"/>
              <w:rPr>
                <w:rFonts w:ascii="宋体" w:hAnsi="宋体" w:cs="宋体"/>
                <w:bCs/>
                <w:color w:val="000000"/>
                <w:kern w:val="0"/>
                <w:sz w:val="21"/>
                <w:szCs w:val="21"/>
              </w:rPr>
            </w:pPr>
            <w:r>
              <w:rPr>
                <w:rFonts w:hint="eastAsia" w:ascii="宋体" w:hAnsi="宋体" w:cs="宋体"/>
                <w:bCs/>
                <w:color w:val="000000"/>
                <w:kern w:val="0"/>
                <w:sz w:val="21"/>
                <w:szCs w:val="21"/>
              </w:rPr>
              <w:t>公司制定有相关制度。</w:t>
            </w:r>
          </w:p>
        </w:tc>
        <w:tc>
          <w:tcPr>
            <w:tcW w:w="379" w:type="pct"/>
            <w:tcBorders>
              <w:top w:val="single" w:color="000000" w:sz="4" w:space="0"/>
              <w:left w:val="single" w:color="000000" w:sz="4" w:space="0"/>
              <w:bottom w:val="single" w:color="000000" w:sz="4" w:space="0"/>
              <w:tl2br w:val="nil"/>
              <w:tr2bl w:val="nil"/>
            </w:tcBorders>
            <w:shd w:val="clear" w:color="auto" w:fill="FFFFFF"/>
            <w:vAlign w:val="center"/>
          </w:tcPr>
          <w:p>
            <w:pPr>
              <w:spacing w:line="280" w:lineRule="exact"/>
              <w:ind w:firstLine="0" w:firstLineChars="0"/>
              <w:jc w:val="center"/>
              <w:rPr>
                <w:bCs/>
                <w:color w:val="000000"/>
                <w:sz w:val="20"/>
                <w:szCs w:val="20"/>
              </w:rPr>
            </w:pPr>
            <w:r>
              <w:rPr>
                <w:bCs/>
                <w:color w:val="000000"/>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8" w:hRule="atLeast"/>
          <w:jc w:val="center"/>
        </w:trPr>
        <w:tc>
          <w:tcPr>
            <w:tcW w:w="373" w:type="pct"/>
            <w:tcBorders>
              <w:top w:val="single" w:color="000000" w:sz="4" w:space="0"/>
              <w:bottom w:val="single" w:color="000000" w:sz="4" w:space="0"/>
              <w:right w:val="single" w:color="000000" w:sz="4" w:space="0"/>
              <w:tl2br w:val="nil"/>
              <w:tr2bl w:val="nil"/>
            </w:tcBorders>
            <w:shd w:val="clear" w:color="auto" w:fill="FFFFFF"/>
            <w:vAlign w:val="center"/>
          </w:tcPr>
          <w:p>
            <w:pPr>
              <w:numPr>
                <w:ilvl w:val="0"/>
                <w:numId w:val="77"/>
              </w:numPr>
              <w:spacing w:line="240" w:lineRule="auto"/>
              <w:ind w:firstLine="0" w:firstLineChars="0"/>
              <w:jc w:val="center"/>
              <w:rPr>
                <w:rFonts w:ascii="宋体" w:hAnsi="宋体" w:cs="宋体"/>
                <w:bCs/>
                <w:color w:val="000000"/>
                <w:sz w:val="21"/>
                <w:szCs w:val="21"/>
              </w:rPr>
            </w:pPr>
          </w:p>
        </w:tc>
        <w:tc>
          <w:tcPr>
            <w:tcW w:w="2343" w:type="pct"/>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napToGrid w:val="0"/>
              <w:spacing w:line="240" w:lineRule="auto"/>
              <w:ind w:firstLine="0" w:firstLineChars="0"/>
              <w:jc w:val="both"/>
              <w:rPr>
                <w:rFonts w:ascii="宋体" w:hAnsi="宋体" w:cs="宋体"/>
                <w:bCs/>
                <w:color w:val="000000"/>
                <w:kern w:val="0"/>
                <w:sz w:val="21"/>
                <w:szCs w:val="21"/>
              </w:rPr>
            </w:pPr>
            <w:r>
              <w:rPr>
                <w:rFonts w:hint="eastAsia" w:ascii="宋体" w:hAnsi="宋体" w:cs="宋体"/>
                <w:bCs/>
                <w:color w:val="000000"/>
                <w:kern w:val="0"/>
                <w:sz w:val="21"/>
                <w:szCs w:val="21"/>
              </w:rPr>
              <w:t>用人单位应当安排专项经费用于配备劳动防护用品，不得以货币或者其他物品替代。该项经费计入生产成本，据实列支。</w:t>
            </w:r>
          </w:p>
          <w:p>
            <w:pPr>
              <w:widowControl/>
              <w:snapToGrid w:val="0"/>
              <w:spacing w:line="240" w:lineRule="auto"/>
              <w:ind w:firstLine="0" w:firstLineChars="0"/>
              <w:jc w:val="both"/>
              <w:rPr>
                <w:rFonts w:ascii="宋体" w:hAnsi="宋体" w:cs="宋体"/>
                <w:bCs/>
                <w:color w:val="000000"/>
                <w:kern w:val="0"/>
                <w:sz w:val="21"/>
                <w:szCs w:val="21"/>
              </w:rPr>
            </w:pPr>
          </w:p>
        </w:tc>
        <w:tc>
          <w:tcPr>
            <w:tcW w:w="1141" w:type="pct"/>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napToGrid w:val="0"/>
              <w:spacing w:line="240" w:lineRule="auto"/>
              <w:ind w:firstLine="0" w:firstLineChars="0"/>
              <w:jc w:val="both"/>
              <w:rPr>
                <w:rFonts w:ascii="宋体" w:hAnsi="宋体" w:cs="宋体"/>
                <w:bCs/>
                <w:color w:val="000000"/>
                <w:kern w:val="0"/>
                <w:sz w:val="21"/>
                <w:szCs w:val="21"/>
              </w:rPr>
            </w:pPr>
            <w:r>
              <w:rPr>
                <w:rFonts w:hint="eastAsia" w:ascii="宋体" w:hAnsi="宋体" w:cs="宋体"/>
                <w:bCs/>
                <w:color w:val="000000"/>
                <w:kern w:val="0"/>
                <w:sz w:val="21"/>
                <w:szCs w:val="21"/>
              </w:rPr>
              <w:t>《用人单位劳动防护用品管理规范》（安监总厅安健〔2018〕3号）第六条</w:t>
            </w:r>
          </w:p>
        </w:tc>
        <w:tc>
          <w:tcPr>
            <w:tcW w:w="762" w:type="pct"/>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widowControl/>
              <w:snapToGrid w:val="0"/>
              <w:spacing w:line="240" w:lineRule="auto"/>
              <w:ind w:firstLine="0" w:firstLineChars="0"/>
              <w:jc w:val="both"/>
              <w:rPr>
                <w:rFonts w:ascii="宋体" w:hAnsi="宋体" w:cs="宋体"/>
                <w:bCs/>
                <w:color w:val="000000"/>
                <w:kern w:val="0"/>
                <w:sz w:val="21"/>
                <w:szCs w:val="21"/>
              </w:rPr>
            </w:pPr>
            <w:r>
              <w:rPr>
                <w:rFonts w:hint="eastAsia" w:ascii="宋体" w:hAnsi="宋体" w:cs="宋体"/>
                <w:bCs/>
                <w:color w:val="000000"/>
                <w:kern w:val="0"/>
                <w:sz w:val="21"/>
                <w:szCs w:val="21"/>
              </w:rPr>
              <w:t>公司安排专项经费用于配备劳动防护用品</w:t>
            </w:r>
          </w:p>
        </w:tc>
        <w:tc>
          <w:tcPr>
            <w:tcW w:w="379" w:type="pct"/>
            <w:tcBorders>
              <w:top w:val="single" w:color="000000" w:sz="4" w:space="0"/>
              <w:left w:val="single" w:color="000000" w:sz="4" w:space="0"/>
              <w:bottom w:val="single" w:color="000000" w:sz="4" w:space="0"/>
              <w:tl2br w:val="nil"/>
              <w:tr2bl w:val="nil"/>
            </w:tcBorders>
            <w:shd w:val="clear" w:color="auto" w:fill="FFFFFF"/>
            <w:vAlign w:val="center"/>
          </w:tcPr>
          <w:p>
            <w:pPr>
              <w:spacing w:line="280" w:lineRule="exact"/>
              <w:ind w:firstLine="0" w:firstLineChars="0"/>
              <w:jc w:val="center"/>
              <w:rPr>
                <w:bCs/>
                <w:color w:val="000000"/>
                <w:sz w:val="20"/>
                <w:szCs w:val="20"/>
              </w:rPr>
            </w:pPr>
            <w:r>
              <w:rPr>
                <w:bCs/>
                <w:color w:val="000000"/>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8" w:hRule="atLeast"/>
          <w:jc w:val="center"/>
        </w:trPr>
        <w:tc>
          <w:tcPr>
            <w:tcW w:w="373" w:type="pct"/>
            <w:tcBorders>
              <w:top w:val="single" w:color="000000" w:sz="4" w:space="0"/>
              <w:right w:val="single" w:color="000000" w:sz="4" w:space="0"/>
              <w:tl2br w:val="nil"/>
              <w:tr2bl w:val="nil"/>
            </w:tcBorders>
            <w:shd w:val="clear" w:color="auto" w:fill="FFFFFF"/>
            <w:vAlign w:val="center"/>
          </w:tcPr>
          <w:p>
            <w:pPr>
              <w:numPr>
                <w:ilvl w:val="0"/>
                <w:numId w:val="77"/>
              </w:numPr>
              <w:spacing w:line="240" w:lineRule="auto"/>
              <w:ind w:firstLine="0" w:firstLineChars="0"/>
              <w:jc w:val="center"/>
              <w:rPr>
                <w:rFonts w:ascii="宋体" w:hAnsi="宋体" w:cs="宋体"/>
                <w:bCs/>
                <w:color w:val="000000"/>
                <w:sz w:val="21"/>
                <w:szCs w:val="21"/>
              </w:rPr>
            </w:pPr>
          </w:p>
        </w:tc>
        <w:tc>
          <w:tcPr>
            <w:tcW w:w="2343" w:type="pct"/>
            <w:tcBorders>
              <w:top w:val="single" w:color="000000" w:sz="4" w:space="0"/>
              <w:left w:val="single" w:color="000000" w:sz="4" w:space="0"/>
              <w:right w:val="single" w:color="000000" w:sz="4" w:space="0"/>
              <w:tl2br w:val="nil"/>
              <w:tr2bl w:val="nil"/>
            </w:tcBorders>
            <w:shd w:val="clear" w:color="auto" w:fill="FFFFFF"/>
            <w:vAlign w:val="center"/>
          </w:tcPr>
          <w:p>
            <w:pPr>
              <w:widowControl/>
              <w:snapToGrid w:val="0"/>
              <w:spacing w:line="240" w:lineRule="auto"/>
              <w:ind w:firstLine="0" w:firstLineChars="0"/>
              <w:jc w:val="both"/>
              <w:rPr>
                <w:rFonts w:ascii="宋体" w:hAnsi="宋体" w:cs="宋体"/>
                <w:bCs/>
                <w:color w:val="000000"/>
                <w:kern w:val="0"/>
                <w:sz w:val="21"/>
                <w:szCs w:val="21"/>
              </w:rPr>
            </w:pPr>
            <w:r>
              <w:rPr>
                <w:rFonts w:hint="eastAsia" w:ascii="宋体" w:hAnsi="宋体" w:cs="宋体"/>
                <w:bCs/>
                <w:color w:val="000000"/>
                <w:kern w:val="0"/>
                <w:sz w:val="21"/>
                <w:szCs w:val="21"/>
              </w:rPr>
              <w:t>用人单位应当为劳动者提供符合国家标准或者行业标准的劳动防护用品。使用进口的劳动防护用品，其防护性能不得低于我国相关标准。</w:t>
            </w:r>
          </w:p>
        </w:tc>
        <w:tc>
          <w:tcPr>
            <w:tcW w:w="1141" w:type="pct"/>
            <w:tcBorders>
              <w:top w:val="single" w:color="000000" w:sz="4" w:space="0"/>
              <w:left w:val="single" w:color="000000" w:sz="4" w:space="0"/>
              <w:right w:val="single" w:color="000000" w:sz="4" w:space="0"/>
              <w:tl2br w:val="nil"/>
              <w:tr2bl w:val="nil"/>
            </w:tcBorders>
            <w:shd w:val="clear" w:color="auto" w:fill="FFFFFF"/>
            <w:vAlign w:val="center"/>
          </w:tcPr>
          <w:p>
            <w:pPr>
              <w:widowControl/>
              <w:snapToGrid w:val="0"/>
              <w:spacing w:line="240" w:lineRule="auto"/>
              <w:ind w:firstLine="0" w:firstLineChars="0"/>
              <w:jc w:val="both"/>
              <w:rPr>
                <w:rFonts w:ascii="宋体" w:hAnsi="宋体" w:cs="宋体"/>
                <w:bCs/>
                <w:color w:val="000000"/>
                <w:kern w:val="0"/>
                <w:sz w:val="21"/>
                <w:szCs w:val="21"/>
              </w:rPr>
            </w:pPr>
            <w:r>
              <w:rPr>
                <w:rFonts w:hint="eastAsia" w:ascii="宋体" w:hAnsi="宋体" w:cs="宋体"/>
                <w:bCs/>
                <w:color w:val="000000"/>
                <w:kern w:val="0"/>
                <w:sz w:val="21"/>
                <w:szCs w:val="21"/>
              </w:rPr>
              <w:t>《用人单位劳动防护用品管理规范》（安监总厅安健〔2018〕3号）第七条</w:t>
            </w:r>
          </w:p>
        </w:tc>
        <w:tc>
          <w:tcPr>
            <w:tcW w:w="762" w:type="pct"/>
            <w:tcBorders>
              <w:top w:val="single" w:color="000000" w:sz="4" w:space="0"/>
              <w:left w:val="single" w:color="000000" w:sz="4" w:space="0"/>
              <w:right w:val="single" w:color="000000" w:sz="4" w:space="0"/>
              <w:tl2br w:val="nil"/>
              <w:tr2bl w:val="nil"/>
            </w:tcBorders>
            <w:shd w:val="clear" w:color="auto" w:fill="FFFFFF"/>
            <w:vAlign w:val="center"/>
          </w:tcPr>
          <w:p>
            <w:pPr>
              <w:widowControl/>
              <w:snapToGrid w:val="0"/>
              <w:spacing w:line="240" w:lineRule="auto"/>
              <w:ind w:firstLine="0" w:firstLineChars="0"/>
              <w:jc w:val="both"/>
              <w:rPr>
                <w:rFonts w:ascii="宋体" w:hAnsi="宋体" w:cs="宋体"/>
                <w:bCs/>
                <w:color w:val="000000"/>
                <w:kern w:val="0"/>
                <w:sz w:val="21"/>
                <w:szCs w:val="21"/>
              </w:rPr>
            </w:pPr>
            <w:r>
              <w:rPr>
                <w:rFonts w:hint="eastAsia" w:ascii="宋体" w:hAnsi="宋体" w:cs="宋体"/>
                <w:bCs/>
                <w:color w:val="000000"/>
                <w:kern w:val="0"/>
                <w:sz w:val="21"/>
                <w:szCs w:val="21"/>
              </w:rPr>
              <w:t>公司为职工提供符合国家标准或者行业标准的劳动防护用品。</w:t>
            </w:r>
          </w:p>
        </w:tc>
        <w:tc>
          <w:tcPr>
            <w:tcW w:w="379" w:type="pct"/>
            <w:tcBorders>
              <w:top w:val="single" w:color="000000" w:sz="4" w:space="0"/>
              <w:left w:val="single" w:color="000000" w:sz="4" w:space="0"/>
              <w:tl2br w:val="nil"/>
              <w:tr2bl w:val="nil"/>
            </w:tcBorders>
            <w:shd w:val="clear" w:color="auto" w:fill="FFFFFF"/>
            <w:vAlign w:val="center"/>
          </w:tcPr>
          <w:p>
            <w:pPr>
              <w:spacing w:line="280" w:lineRule="exact"/>
              <w:ind w:firstLine="0" w:firstLineChars="0"/>
              <w:jc w:val="center"/>
              <w:rPr>
                <w:bCs/>
                <w:color w:val="000000"/>
                <w:sz w:val="20"/>
                <w:szCs w:val="20"/>
              </w:rPr>
            </w:pPr>
            <w:r>
              <w:rPr>
                <w:bCs/>
                <w:color w:val="000000"/>
                <w:sz w:val="20"/>
                <w:szCs w:val="20"/>
              </w:rPr>
              <w:t>符合</w:t>
            </w:r>
          </w:p>
        </w:tc>
      </w:tr>
    </w:tbl>
    <w:p>
      <w:pPr>
        <w:ind w:firstLine="560"/>
        <w:rPr>
          <w:rFonts w:ascii="宋体" w:hAnsi="宋体" w:cs="宋体"/>
        </w:rPr>
      </w:pPr>
      <w:r>
        <w:rPr>
          <w:rFonts w:hint="eastAsia" w:ascii="宋体" w:hAnsi="宋体" w:cs="宋体"/>
        </w:rPr>
        <w:t>本项目个人安全防护符合《中华人民共和国安全生产法》（中华人民共和国主席令第70号，主席令第13号修改，主席令第88号第三次修正）、《用人单位劳动防护用品管理规范》（安监总厅安健〔2018〕3号）、《个体防护装备配备规范 第1部分：总则》（GB 39800.1-2020）等国家标准规范的要求。</w:t>
      </w:r>
    </w:p>
    <w:p>
      <w:pPr>
        <w:pStyle w:val="6"/>
        <w:tabs>
          <w:tab w:val="left" w:pos="420"/>
          <w:tab w:val="clear" w:pos="2101"/>
        </w:tabs>
        <w:spacing w:before="156" w:after="156"/>
      </w:pPr>
      <w:bookmarkStart w:id="366" w:name="_Toc6580"/>
      <w:bookmarkStart w:id="367" w:name="_Toc10177"/>
      <w:r>
        <w:t>安全标志</w:t>
      </w:r>
      <w:bookmarkEnd w:id="366"/>
      <w:bookmarkEnd w:id="367"/>
    </w:p>
    <w:p>
      <w:pPr>
        <w:pStyle w:val="14"/>
        <w:spacing w:before="156" w:after="156"/>
      </w:pPr>
      <w:r>
        <w:t xml:space="preserve">表 </w:t>
      </w:r>
      <w:r>
        <w:fldChar w:fldCharType="begin"/>
      </w:r>
      <w:r>
        <w:instrText xml:space="preserve"> STYLEREF 1 \s </w:instrText>
      </w:r>
      <w:r>
        <w:fldChar w:fldCharType="separate"/>
      </w:r>
      <w:r>
        <w:t>5</w:t>
      </w:r>
      <w:r>
        <w:fldChar w:fldCharType="end"/>
      </w:r>
      <w:r>
        <w:rPr>
          <w:rFonts w:hint="eastAsia"/>
        </w:rPr>
        <w:t>.9-7安全标志设置情况安全检查表</w:t>
      </w:r>
    </w:p>
    <w:tbl>
      <w:tblPr>
        <w:tblStyle w:val="29"/>
        <w:tblW w:w="5138"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53"/>
        <w:gridCol w:w="4208"/>
        <w:gridCol w:w="1842"/>
        <w:gridCol w:w="1401"/>
        <w:gridCol w:w="653"/>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47" w:hRule="atLeast"/>
          <w:tblHeader/>
          <w:jc w:val="center"/>
        </w:trPr>
        <w:tc>
          <w:tcPr>
            <w:tcW w:w="372" w:type="pct"/>
            <w:tcBorders>
              <w:tl2br w:val="nil"/>
              <w:tr2bl w:val="nil"/>
            </w:tcBorders>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序号</w:t>
            </w:r>
          </w:p>
        </w:tc>
        <w:tc>
          <w:tcPr>
            <w:tcW w:w="2401" w:type="pct"/>
            <w:tcBorders>
              <w:tl2br w:val="nil"/>
              <w:tr2bl w:val="nil"/>
            </w:tcBorders>
            <w:vAlign w:val="center"/>
          </w:tcPr>
          <w:p>
            <w:pPr>
              <w:widowControl/>
              <w:snapToGrid w:val="0"/>
              <w:spacing w:line="240" w:lineRule="auto"/>
              <w:ind w:firstLine="0" w:firstLineChars="0"/>
              <w:jc w:val="center"/>
              <w:rPr>
                <w:rFonts w:ascii="宋体" w:hAnsi="宋体" w:cs="宋体"/>
                <w:b/>
                <w:bCs/>
                <w:kern w:val="0"/>
                <w:sz w:val="21"/>
                <w:szCs w:val="21"/>
              </w:rPr>
            </w:pPr>
            <w:r>
              <w:rPr>
                <w:rFonts w:hint="eastAsia" w:ascii="宋体" w:hAnsi="宋体" w:cs="宋体"/>
                <w:b/>
                <w:bCs/>
                <w:kern w:val="0"/>
                <w:sz w:val="21"/>
                <w:szCs w:val="21"/>
              </w:rPr>
              <w:t>检查内容</w:t>
            </w:r>
          </w:p>
        </w:tc>
        <w:tc>
          <w:tcPr>
            <w:tcW w:w="1051" w:type="pct"/>
            <w:tcBorders>
              <w:tl2br w:val="nil"/>
              <w:tr2bl w:val="nil"/>
            </w:tcBorders>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依据标准</w:t>
            </w:r>
          </w:p>
        </w:tc>
        <w:tc>
          <w:tcPr>
            <w:tcW w:w="800" w:type="pct"/>
            <w:tcBorders>
              <w:tl2br w:val="nil"/>
              <w:tr2bl w:val="nil"/>
            </w:tcBorders>
            <w:vAlign w:val="center"/>
          </w:tcPr>
          <w:p>
            <w:pPr>
              <w:widowControl/>
              <w:snapToGrid w:val="0"/>
              <w:spacing w:line="240" w:lineRule="auto"/>
              <w:ind w:firstLine="0" w:firstLineChars="0"/>
              <w:jc w:val="center"/>
              <w:rPr>
                <w:rFonts w:ascii="宋体" w:hAnsi="宋体" w:cs="宋体"/>
                <w:b/>
                <w:bCs/>
                <w:kern w:val="0"/>
                <w:sz w:val="21"/>
                <w:szCs w:val="21"/>
              </w:rPr>
            </w:pPr>
            <w:r>
              <w:rPr>
                <w:rFonts w:hint="eastAsia" w:ascii="宋体" w:hAnsi="宋体" w:cs="宋体"/>
                <w:b/>
                <w:bCs/>
                <w:kern w:val="0"/>
                <w:sz w:val="21"/>
                <w:szCs w:val="21"/>
              </w:rPr>
              <w:t>检查情况</w:t>
            </w:r>
          </w:p>
        </w:tc>
        <w:tc>
          <w:tcPr>
            <w:tcW w:w="373" w:type="pct"/>
            <w:tcBorders>
              <w:tl2br w:val="nil"/>
              <w:tr2bl w:val="nil"/>
            </w:tcBorders>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结论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372" w:type="pct"/>
            <w:tcBorders>
              <w:tl2br w:val="nil"/>
              <w:tr2bl w:val="nil"/>
            </w:tcBorders>
            <w:vAlign w:val="center"/>
          </w:tcPr>
          <w:p>
            <w:pPr>
              <w:numPr>
                <w:ilvl w:val="0"/>
                <w:numId w:val="78"/>
              </w:numPr>
              <w:spacing w:line="240" w:lineRule="auto"/>
              <w:ind w:firstLine="0" w:firstLineChars="0"/>
              <w:jc w:val="center"/>
              <w:rPr>
                <w:rFonts w:ascii="宋体" w:hAnsi="宋体" w:cs="宋体"/>
                <w:b/>
                <w:bCs/>
                <w:sz w:val="21"/>
                <w:szCs w:val="21"/>
              </w:rPr>
            </w:pPr>
          </w:p>
        </w:tc>
        <w:tc>
          <w:tcPr>
            <w:tcW w:w="2401"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生产经营单位应当在有较大危险因素的生产经营场所和有关设施、设备上，设置明显的安全警示标志。</w:t>
            </w:r>
          </w:p>
        </w:tc>
        <w:tc>
          <w:tcPr>
            <w:tcW w:w="1051" w:type="pct"/>
            <w:tcBorders>
              <w:tl2br w:val="nil"/>
              <w:tr2bl w:val="nil"/>
            </w:tcBorders>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《中华人民共和国安全生产法》（中华人民共和国主席令第70号，主席令第13号修改，主席令第88号第三次修正）第三十五条</w:t>
            </w:r>
          </w:p>
        </w:tc>
        <w:tc>
          <w:tcPr>
            <w:tcW w:w="800"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该项目在较大危险因素的生产经营场所和有关设施、设备上，设置了明显的安全警示标志。</w:t>
            </w:r>
          </w:p>
        </w:tc>
        <w:tc>
          <w:tcPr>
            <w:tcW w:w="373" w:type="pct"/>
            <w:tcBorders>
              <w:tl2br w:val="nil"/>
              <w:tr2bl w:val="nil"/>
            </w:tcBorders>
            <w:vAlign w:val="center"/>
          </w:tcPr>
          <w:p>
            <w:pPr>
              <w:spacing w:line="280" w:lineRule="exact"/>
              <w:ind w:firstLine="0" w:firstLineChars="0"/>
              <w:jc w:val="center"/>
              <w:rPr>
                <w:rFonts w:cs="Times New Roman"/>
                <w:bCs/>
                <w:sz w:val="20"/>
                <w:szCs w:val="20"/>
              </w:rPr>
            </w:pPr>
            <w:r>
              <w:rPr>
                <w:bCs/>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61" w:hRule="atLeast"/>
          <w:jc w:val="center"/>
        </w:trPr>
        <w:tc>
          <w:tcPr>
            <w:tcW w:w="372" w:type="pct"/>
            <w:tcBorders>
              <w:tl2br w:val="nil"/>
              <w:tr2bl w:val="nil"/>
            </w:tcBorders>
            <w:vAlign w:val="center"/>
          </w:tcPr>
          <w:p>
            <w:pPr>
              <w:numPr>
                <w:ilvl w:val="0"/>
                <w:numId w:val="78"/>
              </w:numPr>
              <w:spacing w:line="240" w:lineRule="auto"/>
              <w:ind w:firstLine="0" w:firstLineChars="0"/>
              <w:jc w:val="center"/>
              <w:rPr>
                <w:rFonts w:ascii="宋体" w:hAnsi="宋体" w:cs="宋体"/>
                <w:b/>
                <w:bCs/>
                <w:sz w:val="21"/>
                <w:szCs w:val="21"/>
              </w:rPr>
            </w:pPr>
          </w:p>
        </w:tc>
        <w:tc>
          <w:tcPr>
            <w:tcW w:w="2401"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企业应当对本企业存在的各类危险因素进行辨识，在有较大危险因素的场所和设施、设备上，按照有关国家标准、行业标准的要求设置安全警示标志，并定期进行检查维护。</w:t>
            </w:r>
          </w:p>
        </w:tc>
        <w:tc>
          <w:tcPr>
            <w:tcW w:w="1051" w:type="pct"/>
            <w:tcBorders>
              <w:tl2br w:val="nil"/>
              <w:tr2bl w:val="nil"/>
            </w:tcBorders>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《冶金企业和有色金属企业安全生产规定》（国家安全生产监督管理总局令第91号）第十六条</w:t>
            </w:r>
          </w:p>
        </w:tc>
        <w:tc>
          <w:tcPr>
            <w:tcW w:w="800"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该项目对本企业存在的各类危险因素进行了辨识，在较大危险因素的生产经营场所和有关设施、设备上，设置了明显的安全警示标志。</w:t>
            </w:r>
          </w:p>
        </w:tc>
        <w:tc>
          <w:tcPr>
            <w:tcW w:w="373" w:type="pct"/>
            <w:tcBorders>
              <w:tl2br w:val="nil"/>
              <w:tr2bl w:val="nil"/>
            </w:tcBorders>
            <w:vAlign w:val="center"/>
          </w:tcPr>
          <w:p>
            <w:pPr>
              <w:spacing w:line="280" w:lineRule="exact"/>
              <w:ind w:firstLine="0" w:firstLineChars="0"/>
              <w:jc w:val="center"/>
              <w:rPr>
                <w:rFonts w:cs="Times New Roman"/>
                <w:bCs/>
                <w:sz w:val="20"/>
                <w:szCs w:val="20"/>
              </w:rPr>
            </w:pPr>
            <w:r>
              <w:rPr>
                <w:bCs/>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45" w:hRule="atLeast"/>
          <w:jc w:val="center"/>
        </w:trPr>
        <w:tc>
          <w:tcPr>
            <w:tcW w:w="372" w:type="pct"/>
            <w:tcBorders>
              <w:tl2br w:val="nil"/>
              <w:tr2bl w:val="nil"/>
            </w:tcBorders>
            <w:vAlign w:val="center"/>
          </w:tcPr>
          <w:p>
            <w:pPr>
              <w:numPr>
                <w:ilvl w:val="0"/>
                <w:numId w:val="78"/>
              </w:numPr>
              <w:spacing w:line="240" w:lineRule="auto"/>
              <w:ind w:firstLine="0" w:firstLineChars="0"/>
              <w:jc w:val="center"/>
              <w:rPr>
                <w:rFonts w:ascii="宋体" w:hAnsi="宋体" w:cs="宋体"/>
                <w:b/>
                <w:bCs/>
                <w:sz w:val="21"/>
                <w:szCs w:val="21"/>
              </w:rPr>
            </w:pPr>
          </w:p>
        </w:tc>
        <w:tc>
          <w:tcPr>
            <w:tcW w:w="2401"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标志牌设置的高度，应尽量与人眼的视线高度相一致。悬挂式和柱式的环境信息标志牌的下缘距地面的高度不宜小于2m，局部信息标志设置高度视具体情况确定。</w:t>
            </w:r>
          </w:p>
        </w:tc>
        <w:tc>
          <w:tcPr>
            <w:tcW w:w="1051" w:type="pct"/>
            <w:tcBorders>
              <w:tl2br w:val="nil"/>
              <w:tr2bl w:val="nil"/>
            </w:tcBorders>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《安全标志及其使用导则》（GB2894-2008）第8条</w:t>
            </w:r>
          </w:p>
        </w:tc>
        <w:tc>
          <w:tcPr>
            <w:tcW w:w="800"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该项目内的标志牌设置高度符合要求。</w:t>
            </w:r>
          </w:p>
        </w:tc>
        <w:tc>
          <w:tcPr>
            <w:tcW w:w="373" w:type="pct"/>
            <w:tcBorders>
              <w:tl2br w:val="nil"/>
              <w:tr2bl w:val="nil"/>
            </w:tcBorders>
            <w:vAlign w:val="center"/>
          </w:tcPr>
          <w:p>
            <w:pPr>
              <w:spacing w:line="280" w:lineRule="exact"/>
              <w:ind w:firstLine="0" w:firstLineChars="0"/>
              <w:jc w:val="center"/>
              <w:rPr>
                <w:rFonts w:cs="Times New Roman"/>
                <w:bCs/>
                <w:sz w:val="20"/>
                <w:szCs w:val="20"/>
              </w:rPr>
            </w:pPr>
            <w:r>
              <w:rPr>
                <w:bCs/>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56" w:hRule="atLeast"/>
          <w:jc w:val="center"/>
        </w:trPr>
        <w:tc>
          <w:tcPr>
            <w:tcW w:w="372" w:type="pct"/>
            <w:tcBorders>
              <w:tl2br w:val="nil"/>
              <w:tr2bl w:val="nil"/>
            </w:tcBorders>
            <w:vAlign w:val="center"/>
          </w:tcPr>
          <w:p>
            <w:pPr>
              <w:numPr>
                <w:ilvl w:val="0"/>
                <w:numId w:val="78"/>
              </w:numPr>
              <w:spacing w:line="240" w:lineRule="auto"/>
              <w:ind w:firstLine="0" w:firstLineChars="0"/>
              <w:jc w:val="center"/>
              <w:rPr>
                <w:rFonts w:ascii="宋体" w:hAnsi="宋体" w:cs="宋体"/>
                <w:b/>
                <w:bCs/>
                <w:sz w:val="21"/>
                <w:szCs w:val="21"/>
              </w:rPr>
            </w:pPr>
          </w:p>
        </w:tc>
        <w:tc>
          <w:tcPr>
            <w:tcW w:w="2401"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标志牌不应设在门、窗、架等可移动的物体上，以免标志牌随母体物体相应移动，影响认读，标志牌前不得放置妨碍认读的障碍物。</w:t>
            </w:r>
          </w:p>
        </w:tc>
        <w:tc>
          <w:tcPr>
            <w:tcW w:w="1051" w:type="pct"/>
            <w:tcBorders>
              <w:tl2br w:val="nil"/>
              <w:tr2bl w:val="nil"/>
            </w:tcBorders>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《安全标志及其使用导则》（GB2894-2008）第9.1条</w:t>
            </w:r>
          </w:p>
        </w:tc>
        <w:tc>
          <w:tcPr>
            <w:tcW w:w="800"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该项目内的标志牌未设置在可移动的物体上，均固定牢靠。</w:t>
            </w:r>
          </w:p>
        </w:tc>
        <w:tc>
          <w:tcPr>
            <w:tcW w:w="373" w:type="pct"/>
            <w:tcBorders>
              <w:tl2br w:val="nil"/>
              <w:tr2bl w:val="nil"/>
            </w:tcBorders>
            <w:vAlign w:val="center"/>
          </w:tcPr>
          <w:p>
            <w:pPr>
              <w:spacing w:line="280" w:lineRule="exact"/>
              <w:ind w:firstLine="0" w:firstLineChars="0"/>
              <w:jc w:val="center"/>
              <w:rPr>
                <w:rFonts w:cs="Times New Roman"/>
                <w:bCs/>
                <w:sz w:val="20"/>
                <w:szCs w:val="20"/>
              </w:rPr>
            </w:pPr>
            <w:r>
              <w:rPr>
                <w:bCs/>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14" w:hRule="atLeast"/>
          <w:jc w:val="center"/>
        </w:trPr>
        <w:tc>
          <w:tcPr>
            <w:tcW w:w="653" w:type="dxa"/>
            <w:vAlign w:val="center"/>
          </w:tcPr>
          <w:p>
            <w:pPr>
              <w:numPr>
                <w:ilvl w:val="0"/>
                <w:numId w:val="78"/>
              </w:numPr>
              <w:spacing w:line="240" w:lineRule="auto"/>
              <w:ind w:firstLine="0" w:firstLineChars="0"/>
              <w:jc w:val="center"/>
              <w:rPr>
                <w:rFonts w:ascii="宋体" w:hAnsi="宋体" w:cs="宋体"/>
                <w:b/>
                <w:bCs/>
                <w:sz w:val="21"/>
                <w:szCs w:val="21"/>
              </w:rPr>
            </w:pPr>
          </w:p>
        </w:tc>
        <w:tc>
          <w:tcPr>
            <w:tcW w:w="4206" w:type="dxa"/>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安全标志牌至少每半年检查一次，如发现有破损、变形、褪色等不符合要求时，应及时修正或更换。</w:t>
            </w:r>
          </w:p>
        </w:tc>
        <w:tc>
          <w:tcPr>
            <w:tcW w:w="1841" w:type="dxa"/>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《安全标志及其使用导则》（GB2894-2008）第10.1条</w:t>
            </w:r>
          </w:p>
        </w:tc>
        <w:tc>
          <w:tcPr>
            <w:tcW w:w="1403" w:type="dxa"/>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企业生产区域设置了各类警示标识，安全标识定期检测更换。</w:t>
            </w:r>
          </w:p>
        </w:tc>
        <w:tc>
          <w:tcPr>
            <w:tcW w:w="655" w:type="dxa"/>
            <w:vAlign w:val="center"/>
          </w:tcPr>
          <w:p>
            <w:pPr>
              <w:spacing w:line="280" w:lineRule="exact"/>
              <w:ind w:firstLine="0" w:firstLineChars="0"/>
              <w:jc w:val="center"/>
              <w:rPr>
                <w:rFonts w:cs="Times New Roman"/>
                <w:bCs/>
                <w:sz w:val="20"/>
                <w:szCs w:val="20"/>
              </w:rPr>
            </w:pPr>
            <w:r>
              <w:rPr>
                <w:bCs/>
                <w:sz w:val="20"/>
                <w:szCs w:val="20"/>
              </w:rPr>
              <w:t>符合</w:t>
            </w:r>
          </w:p>
        </w:tc>
      </w:tr>
    </w:tbl>
    <w:p>
      <w:pPr>
        <w:ind w:firstLine="560"/>
      </w:pPr>
      <w:r>
        <w:rPr>
          <w:rFonts w:hint="eastAsia" w:ascii="宋体" w:hAnsi="宋体" w:cs="宋体"/>
        </w:rPr>
        <w:t>根据以上检查结果可知，该项目安全标志符合《中华人民共和国安全生产法》（中华人民共和国主席令第70号，主席令第13号修改，主席令第88号第三次修正）、《冶金企业和有色金属企业安全生产规定》（国家安全生产监督管理总局令第91号）、《安全标志及其使用导则》（GB2894-2008）等国家标准规范的要求。</w:t>
      </w:r>
    </w:p>
    <w:p>
      <w:pPr>
        <w:pStyle w:val="6"/>
        <w:tabs>
          <w:tab w:val="left" w:pos="420"/>
          <w:tab w:val="clear" w:pos="2101"/>
        </w:tabs>
        <w:spacing w:before="156" w:after="156"/>
      </w:pPr>
      <w:bookmarkStart w:id="368" w:name="_Toc4361"/>
      <w:bookmarkStart w:id="369" w:name="_Toc158"/>
      <w:r>
        <w:rPr>
          <w:rFonts w:hint="eastAsia"/>
        </w:rPr>
        <w:t>事故应急救援预案及演练</w:t>
      </w:r>
      <w:bookmarkEnd w:id="368"/>
      <w:bookmarkEnd w:id="369"/>
    </w:p>
    <w:p>
      <w:pPr>
        <w:pStyle w:val="14"/>
        <w:spacing w:before="156" w:after="156"/>
      </w:pPr>
      <w:r>
        <w:t xml:space="preserve">表 </w:t>
      </w:r>
      <w:r>
        <w:fldChar w:fldCharType="begin"/>
      </w:r>
      <w:r>
        <w:instrText xml:space="preserve"> STYLEREF 1 \s </w:instrText>
      </w:r>
      <w:r>
        <w:fldChar w:fldCharType="separate"/>
      </w:r>
      <w:r>
        <w:t>5</w:t>
      </w:r>
      <w:r>
        <w:fldChar w:fldCharType="end"/>
      </w:r>
      <w:r>
        <w:rPr>
          <w:rFonts w:hint="eastAsia"/>
        </w:rPr>
        <w:t>.9-8事故应急救援预案及演练安全检查表</w:t>
      </w:r>
    </w:p>
    <w:tbl>
      <w:tblPr>
        <w:tblStyle w:val="29"/>
        <w:tblW w:w="5096"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49"/>
        <w:gridCol w:w="3990"/>
        <w:gridCol w:w="2006"/>
        <w:gridCol w:w="1391"/>
        <w:gridCol w:w="65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373" w:type="pct"/>
            <w:tcBorders>
              <w:tl2br w:val="nil"/>
              <w:tr2bl w:val="nil"/>
            </w:tcBorders>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序号</w:t>
            </w:r>
          </w:p>
        </w:tc>
        <w:tc>
          <w:tcPr>
            <w:tcW w:w="2295" w:type="pct"/>
            <w:tcBorders>
              <w:tl2br w:val="nil"/>
              <w:tr2bl w:val="nil"/>
            </w:tcBorders>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检查内容</w:t>
            </w:r>
          </w:p>
        </w:tc>
        <w:tc>
          <w:tcPr>
            <w:tcW w:w="1155" w:type="pct"/>
            <w:tcBorders>
              <w:tl2br w:val="nil"/>
              <w:tr2bl w:val="nil"/>
            </w:tcBorders>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依据标准</w:t>
            </w:r>
          </w:p>
        </w:tc>
        <w:tc>
          <w:tcPr>
            <w:tcW w:w="801" w:type="pct"/>
            <w:tcBorders>
              <w:tl2br w:val="nil"/>
              <w:tr2bl w:val="nil"/>
            </w:tcBorders>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检查情况</w:t>
            </w:r>
          </w:p>
        </w:tc>
        <w:tc>
          <w:tcPr>
            <w:tcW w:w="374" w:type="pct"/>
            <w:tcBorders>
              <w:tl2br w:val="nil"/>
              <w:tr2bl w:val="nil"/>
            </w:tcBorders>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结论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3" w:type="pct"/>
            <w:tcBorders>
              <w:tl2br w:val="nil"/>
              <w:tr2bl w:val="nil"/>
            </w:tcBorders>
            <w:vAlign w:val="center"/>
          </w:tcPr>
          <w:p>
            <w:pPr>
              <w:numPr>
                <w:ilvl w:val="0"/>
                <w:numId w:val="79"/>
              </w:numPr>
              <w:spacing w:line="240" w:lineRule="auto"/>
              <w:ind w:firstLine="0" w:firstLineChars="0"/>
              <w:jc w:val="center"/>
              <w:rPr>
                <w:rFonts w:ascii="宋体" w:hAnsi="宋体" w:cs="宋体"/>
                <w:b/>
                <w:bCs/>
                <w:sz w:val="21"/>
                <w:szCs w:val="21"/>
              </w:rPr>
            </w:pPr>
          </w:p>
        </w:tc>
        <w:tc>
          <w:tcPr>
            <w:tcW w:w="2295"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生产经营单位应当制定本单位生产安全事故应急救援预案，与所在地县级以上地方人民政府组织制定的生产安全事故应急救援预案相衔接，并定期组织演练。</w:t>
            </w:r>
          </w:p>
        </w:tc>
        <w:tc>
          <w:tcPr>
            <w:tcW w:w="1155" w:type="pct"/>
            <w:tcBorders>
              <w:tl2br w:val="nil"/>
              <w:tr2bl w:val="nil"/>
            </w:tcBorders>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《中华人民共和国安全生产法》（中华人民共和国主席令第70号，主席令第13号修改，主席令第88号第三次修正）第八十一条</w:t>
            </w:r>
          </w:p>
        </w:tc>
        <w:tc>
          <w:tcPr>
            <w:tcW w:w="801"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该公司编制《云南大姚祥华工业制造股份公司生产安全事故应急预案》，并进行了演练。</w:t>
            </w:r>
          </w:p>
        </w:tc>
        <w:tc>
          <w:tcPr>
            <w:tcW w:w="374" w:type="pct"/>
            <w:tcBorders>
              <w:tl2br w:val="nil"/>
              <w:tr2bl w:val="nil"/>
            </w:tcBorders>
            <w:vAlign w:val="center"/>
          </w:tcPr>
          <w:p>
            <w:pPr>
              <w:ind w:firstLine="0" w:firstLineChars="0"/>
              <w:jc w:val="center"/>
              <w:rPr>
                <w:rFonts w:cs="Times New Roman"/>
                <w:bCs/>
                <w:sz w:val="20"/>
                <w:szCs w:val="20"/>
              </w:rPr>
            </w:pPr>
            <w:r>
              <w:rPr>
                <w:bCs/>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3" w:type="pct"/>
            <w:tcBorders>
              <w:tl2br w:val="nil"/>
              <w:tr2bl w:val="nil"/>
            </w:tcBorders>
            <w:vAlign w:val="center"/>
          </w:tcPr>
          <w:p>
            <w:pPr>
              <w:numPr>
                <w:ilvl w:val="0"/>
                <w:numId w:val="79"/>
              </w:numPr>
              <w:spacing w:line="240" w:lineRule="auto"/>
              <w:ind w:firstLine="0" w:firstLineChars="0"/>
              <w:jc w:val="center"/>
              <w:rPr>
                <w:rFonts w:ascii="宋体" w:hAnsi="宋体" w:cs="宋体"/>
                <w:b/>
                <w:bCs/>
                <w:sz w:val="21"/>
                <w:szCs w:val="21"/>
              </w:rPr>
            </w:pPr>
          </w:p>
        </w:tc>
        <w:tc>
          <w:tcPr>
            <w:tcW w:w="2295"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危险物品的生产、经营、储存单位以及矿山、金属冶炼、城市轨道交通运营、建筑施工单位应当建立应急救援组织；生产经营规模较小的，可以不建立应急救援组织，但应当指定兼职的应急救援人员。</w:t>
            </w:r>
          </w:p>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危险物品的生产、经营、储存、运输单位以及矿山、金属冶炼、城市轨道交通运营、建筑施工单位应当配备必要的应急救援器材、设备和物资，并进行经常性维护、保养，保证正常运转。</w:t>
            </w:r>
          </w:p>
        </w:tc>
        <w:tc>
          <w:tcPr>
            <w:tcW w:w="1155" w:type="pct"/>
            <w:tcBorders>
              <w:tl2br w:val="nil"/>
              <w:tr2bl w:val="nil"/>
            </w:tcBorders>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《中华人民共和国安全生产法》（中华人民共和国主席令第70号，主席令第13号修改，主席令第88号第三次修正）第八十二条</w:t>
            </w:r>
          </w:p>
        </w:tc>
        <w:tc>
          <w:tcPr>
            <w:tcW w:w="801"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该公司成立了应急救援组织。配备了必要的应急救援器材、设备和物资，并进行经常性维护、保养，保证正常运转。</w:t>
            </w:r>
          </w:p>
        </w:tc>
        <w:tc>
          <w:tcPr>
            <w:tcW w:w="374" w:type="pct"/>
            <w:tcBorders>
              <w:tl2br w:val="nil"/>
              <w:tr2bl w:val="nil"/>
            </w:tcBorders>
            <w:vAlign w:val="center"/>
          </w:tcPr>
          <w:p>
            <w:pPr>
              <w:ind w:firstLine="0" w:firstLineChars="0"/>
              <w:jc w:val="center"/>
              <w:rPr>
                <w:rFonts w:cs="Times New Roman"/>
                <w:bCs/>
                <w:sz w:val="20"/>
                <w:szCs w:val="20"/>
              </w:rPr>
            </w:pPr>
            <w:r>
              <w:rPr>
                <w:bCs/>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3" w:type="pct"/>
            <w:tcBorders>
              <w:tl2br w:val="nil"/>
              <w:tr2bl w:val="nil"/>
            </w:tcBorders>
            <w:vAlign w:val="center"/>
          </w:tcPr>
          <w:p>
            <w:pPr>
              <w:numPr>
                <w:ilvl w:val="0"/>
                <w:numId w:val="79"/>
              </w:numPr>
              <w:spacing w:line="240" w:lineRule="auto"/>
              <w:ind w:firstLine="0" w:firstLineChars="0"/>
              <w:jc w:val="center"/>
              <w:rPr>
                <w:rFonts w:ascii="宋体" w:hAnsi="宋体" w:cs="宋体"/>
                <w:b/>
                <w:bCs/>
                <w:sz w:val="21"/>
                <w:szCs w:val="21"/>
              </w:rPr>
            </w:pPr>
          </w:p>
        </w:tc>
        <w:tc>
          <w:tcPr>
            <w:tcW w:w="2295"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生产安全事故应急救援预案应当符合有关法律法规、规章和标准的规定，具有科学性、针对性和可操作性，明确规定应急组织体系、职责分工以及应急救援程序和措施。</w:t>
            </w:r>
          </w:p>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有下列情形之一的，生产安全事故应急救援预案制定单位应当及时修订相关预案：</w:t>
            </w:r>
          </w:p>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（一）制定预案所依据的法律法规、规章、标准发生重大变化；</w:t>
            </w:r>
          </w:p>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（二）应急指挥机构及其职责发生调整；</w:t>
            </w:r>
          </w:p>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（三）安全生产面临的风险发生重大变化；</w:t>
            </w:r>
          </w:p>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（四）重要应急资源发生重大变化；</w:t>
            </w:r>
          </w:p>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（五）在预案演练或者应急救援中发现需要修订预案的重大问题；</w:t>
            </w:r>
          </w:p>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（六）其他应当修订的情形。</w:t>
            </w:r>
          </w:p>
        </w:tc>
        <w:tc>
          <w:tcPr>
            <w:tcW w:w="1155" w:type="pct"/>
            <w:tcBorders>
              <w:tl2br w:val="nil"/>
              <w:tr2bl w:val="nil"/>
            </w:tcBorders>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《生产安全事故应急条例》（中华人民共和国国务院令第708号）第六条</w:t>
            </w:r>
          </w:p>
        </w:tc>
        <w:tc>
          <w:tcPr>
            <w:tcW w:w="801"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公司按要求进行了编制，预案到主管部门进行了备案（见附件27）</w:t>
            </w:r>
          </w:p>
        </w:tc>
        <w:tc>
          <w:tcPr>
            <w:tcW w:w="374" w:type="pct"/>
            <w:tcBorders>
              <w:tl2br w:val="nil"/>
              <w:tr2bl w:val="nil"/>
            </w:tcBorders>
            <w:vAlign w:val="center"/>
          </w:tcPr>
          <w:p>
            <w:pPr>
              <w:ind w:firstLine="0" w:firstLineChars="0"/>
              <w:jc w:val="center"/>
              <w:rPr>
                <w:rFonts w:cs="Times New Roman"/>
                <w:bCs/>
                <w:sz w:val="20"/>
                <w:szCs w:val="20"/>
              </w:rPr>
            </w:pPr>
            <w:r>
              <w:rPr>
                <w:bCs/>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3" w:type="pct"/>
            <w:tcBorders>
              <w:tl2br w:val="nil"/>
              <w:tr2bl w:val="nil"/>
            </w:tcBorders>
            <w:vAlign w:val="center"/>
          </w:tcPr>
          <w:p>
            <w:pPr>
              <w:numPr>
                <w:ilvl w:val="0"/>
                <w:numId w:val="79"/>
              </w:numPr>
              <w:spacing w:line="240" w:lineRule="auto"/>
              <w:ind w:firstLine="0" w:firstLineChars="0"/>
              <w:jc w:val="center"/>
              <w:rPr>
                <w:rFonts w:ascii="宋体" w:hAnsi="宋体" w:cs="宋体"/>
                <w:b/>
                <w:bCs/>
                <w:sz w:val="21"/>
                <w:szCs w:val="21"/>
              </w:rPr>
            </w:pPr>
          </w:p>
        </w:tc>
        <w:tc>
          <w:tcPr>
            <w:tcW w:w="2295"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生产经营单位应当对从业人员进行应急教育和培训，保证从业人员具备必要的应急知识，掌握风险防范技能和事故应急措施。</w:t>
            </w:r>
          </w:p>
        </w:tc>
        <w:tc>
          <w:tcPr>
            <w:tcW w:w="1155" w:type="pct"/>
            <w:tcBorders>
              <w:tl2br w:val="nil"/>
              <w:tr2bl w:val="nil"/>
            </w:tcBorders>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《生产安全事故应急条例》（中华人民共和国国务院令第708号）第十五条</w:t>
            </w:r>
          </w:p>
        </w:tc>
        <w:tc>
          <w:tcPr>
            <w:tcW w:w="801"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企业对从业人员进行了应急教育和培训。</w:t>
            </w:r>
          </w:p>
        </w:tc>
        <w:tc>
          <w:tcPr>
            <w:tcW w:w="374" w:type="pct"/>
            <w:tcBorders>
              <w:tl2br w:val="nil"/>
              <w:tr2bl w:val="nil"/>
            </w:tcBorders>
            <w:vAlign w:val="center"/>
          </w:tcPr>
          <w:p>
            <w:pPr>
              <w:ind w:firstLine="0" w:firstLineChars="0"/>
              <w:jc w:val="center"/>
              <w:rPr>
                <w:rFonts w:cs="Times New Roman"/>
                <w:bCs/>
                <w:sz w:val="20"/>
                <w:szCs w:val="20"/>
              </w:rPr>
            </w:pPr>
            <w:r>
              <w:rPr>
                <w:bCs/>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3" w:type="pct"/>
            <w:tcBorders>
              <w:tl2br w:val="nil"/>
              <w:tr2bl w:val="nil"/>
            </w:tcBorders>
            <w:vAlign w:val="center"/>
          </w:tcPr>
          <w:p>
            <w:pPr>
              <w:numPr>
                <w:ilvl w:val="0"/>
                <w:numId w:val="79"/>
              </w:numPr>
              <w:spacing w:line="240" w:lineRule="auto"/>
              <w:ind w:firstLine="0" w:firstLineChars="0"/>
              <w:jc w:val="center"/>
              <w:rPr>
                <w:rFonts w:ascii="宋体" w:hAnsi="宋体" w:cs="宋体"/>
                <w:b/>
                <w:bCs/>
                <w:sz w:val="21"/>
                <w:szCs w:val="21"/>
              </w:rPr>
            </w:pPr>
          </w:p>
        </w:tc>
        <w:tc>
          <w:tcPr>
            <w:tcW w:w="2295"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生产经营单位应当在编制应急预案的基础上，针对工作场所、岗位的特点，编制简明、实用、有效的应急处置卡。</w:t>
            </w:r>
          </w:p>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应急处置卡应当规定重点岗位、人员的应急处置程序和措施，以及相关联络人员和联系方式，便于从业人员携带。</w:t>
            </w:r>
          </w:p>
        </w:tc>
        <w:tc>
          <w:tcPr>
            <w:tcW w:w="1155" w:type="pct"/>
            <w:tcBorders>
              <w:tl2br w:val="nil"/>
              <w:tr2bl w:val="nil"/>
            </w:tcBorders>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《生产安全事故应急预案管理办法》（国家安全生产监督管理总局令第88号，根据中华人民共和国应急管理部令第2号修正）第十九条</w:t>
            </w:r>
          </w:p>
        </w:tc>
        <w:tc>
          <w:tcPr>
            <w:tcW w:w="801"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企业按要求编制了应急处置卡。</w:t>
            </w:r>
          </w:p>
        </w:tc>
        <w:tc>
          <w:tcPr>
            <w:tcW w:w="374" w:type="pct"/>
            <w:tcBorders>
              <w:tl2br w:val="nil"/>
              <w:tr2bl w:val="nil"/>
            </w:tcBorders>
            <w:vAlign w:val="center"/>
          </w:tcPr>
          <w:p>
            <w:pPr>
              <w:ind w:firstLine="0" w:firstLineChars="0"/>
              <w:jc w:val="center"/>
              <w:rPr>
                <w:rFonts w:cs="Times New Roman"/>
                <w:bCs/>
                <w:sz w:val="20"/>
                <w:szCs w:val="20"/>
              </w:rPr>
            </w:pPr>
            <w:r>
              <w:rPr>
                <w:bCs/>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3" w:type="pct"/>
            <w:tcBorders>
              <w:tl2br w:val="nil"/>
              <w:tr2bl w:val="nil"/>
            </w:tcBorders>
            <w:vAlign w:val="center"/>
          </w:tcPr>
          <w:p>
            <w:pPr>
              <w:numPr>
                <w:ilvl w:val="0"/>
                <w:numId w:val="79"/>
              </w:numPr>
              <w:spacing w:line="240" w:lineRule="auto"/>
              <w:ind w:firstLine="0" w:firstLineChars="0"/>
              <w:jc w:val="center"/>
              <w:rPr>
                <w:rFonts w:ascii="宋体" w:hAnsi="宋体" w:cs="宋体"/>
                <w:b/>
                <w:bCs/>
                <w:sz w:val="21"/>
                <w:szCs w:val="21"/>
              </w:rPr>
            </w:pPr>
          </w:p>
        </w:tc>
        <w:tc>
          <w:tcPr>
            <w:tcW w:w="2295"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生产经营单位应当制定本单位的应急预案演练计划，根据本单位的事故风险特点，每年至少组织一次综合应急预案演练或者专项应急预案演练，每半年至少组织一次现场处置方案演练。</w:t>
            </w:r>
          </w:p>
        </w:tc>
        <w:tc>
          <w:tcPr>
            <w:tcW w:w="1155" w:type="pct"/>
            <w:tcBorders>
              <w:tl2br w:val="nil"/>
              <w:tr2bl w:val="nil"/>
            </w:tcBorders>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《生产安全事故应急预案管理办法》（国家安全生产监督管理总局令第88号，根据中华人民共和国应急管理部令第2号修正）第三十三条</w:t>
            </w:r>
          </w:p>
        </w:tc>
        <w:tc>
          <w:tcPr>
            <w:tcW w:w="801"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企业按要求定期进行演练。</w:t>
            </w:r>
          </w:p>
        </w:tc>
        <w:tc>
          <w:tcPr>
            <w:tcW w:w="374" w:type="pct"/>
            <w:tcBorders>
              <w:tl2br w:val="nil"/>
              <w:tr2bl w:val="nil"/>
            </w:tcBorders>
            <w:vAlign w:val="center"/>
          </w:tcPr>
          <w:p>
            <w:pPr>
              <w:ind w:firstLine="0" w:firstLineChars="0"/>
              <w:jc w:val="center"/>
              <w:rPr>
                <w:rFonts w:cs="Times New Roman"/>
                <w:bCs/>
                <w:sz w:val="20"/>
                <w:szCs w:val="20"/>
              </w:rPr>
            </w:pPr>
            <w:r>
              <w:rPr>
                <w:bCs/>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3" w:type="pct"/>
            <w:tcBorders>
              <w:tl2br w:val="nil"/>
              <w:tr2bl w:val="nil"/>
            </w:tcBorders>
            <w:vAlign w:val="center"/>
          </w:tcPr>
          <w:p>
            <w:pPr>
              <w:numPr>
                <w:ilvl w:val="0"/>
                <w:numId w:val="79"/>
              </w:numPr>
              <w:spacing w:line="240" w:lineRule="auto"/>
              <w:ind w:firstLine="0" w:firstLineChars="0"/>
              <w:jc w:val="center"/>
              <w:rPr>
                <w:rFonts w:ascii="宋体" w:hAnsi="宋体" w:cs="宋体"/>
                <w:b/>
                <w:bCs/>
                <w:sz w:val="21"/>
                <w:szCs w:val="21"/>
              </w:rPr>
            </w:pPr>
          </w:p>
        </w:tc>
        <w:tc>
          <w:tcPr>
            <w:tcW w:w="2295"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各级安全生产监督管理部门应当将本部门应急预案的培训纳入安全生产培训工作计划，并组织实施本行政区域内重点生产经营单位的应急预案培训工作。</w:t>
            </w:r>
          </w:p>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生产经营单位应当组织开展本单位的应急预案、应急知识、自救互救和避险逃生技能的培训活动，使有关人员了解应急预案内容，熟悉应急职责、应急处置程序和措施。</w:t>
            </w:r>
          </w:p>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应急培训的时间、地点、内容、师资、参加人员和考核结果等情况应当如实记入本单位的安全生产教育和培训档案。</w:t>
            </w:r>
          </w:p>
        </w:tc>
        <w:tc>
          <w:tcPr>
            <w:tcW w:w="1155" w:type="pct"/>
            <w:tcBorders>
              <w:tl2br w:val="nil"/>
              <w:tr2bl w:val="nil"/>
            </w:tcBorders>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《生产安全事故应急预案管理办法》（国家安全生产监督管理总局令第88号，根据中华人民共和国应急管理部令第2号修正）第三十一条</w:t>
            </w:r>
          </w:p>
        </w:tc>
        <w:tc>
          <w:tcPr>
            <w:tcW w:w="801"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企业按要求组织开展了本单位的应急预案、应急知识、自救互救和避险逃生技能的培训活动。</w:t>
            </w:r>
          </w:p>
        </w:tc>
        <w:tc>
          <w:tcPr>
            <w:tcW w:w="374" w:type="pct"/>
            <w:tcBorders>
              <w:tl2br w:val="nil"/>
              <w:tr2bl w:val="nil"/>
            </w:tcBorders>
            <w:vAlign w:val="center"/>
          </w:tcPr>
          <w:p>
            <w:pPr>
              <w:ind w:firstLine="0" w:firstLineChars="0"/>
              <w:jc w:val="center"/>
              <w:rPr>
                <w:rFonts w:cs="Times New Roman"/>
                <w:bCs/>
                <w:sz w:val="20"/>
                <w:szCs w:val="20"/>
              </w:rPr>
            </w:pPr>
            <w:r>
              <w:rPr>
                <w:bCs/>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3" w:type="pct"/>
            <w:tcBorders>
              <w:tl2br w:val="nil"/>
              <w:tr2bl w:val="nil"/>
            </w:tcBorders>
            <w:vAlign w:val="center"/>
          </w:tcPr>
          <w:p>
            <w:pPr>
              <w:numPr>
                <w:ilvl w:val="0"/>
                <w:numId w:val="79"/>
              </w:numPr>
              <w:spacing w:line="240" w:lineRule="auto"/>
              <w:ind w:firstLine="0" w:firstLineChars="0"/>
              <w:jc w:val="center"/>
              <w:rPr>
                <w:rFonts w:ascii="宋体" w:hAnsi="宋体" w:cs="宋体"/>
                <w:b/>
                <w:bCs/>
                <w:sz w:val="21"/>
                <w:szCs w:val="21"/>
              </w:rPr>
            </w:pPr>
          </w:p>
        </w:tc>
        <w:tc>
          <w:tcPr>
            <w:tcW w:w="2295"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生产经营单位应当按照应急预案的规定，落实应急指挥体系、应急救援队伍、应急物资及装备，建立应急物资、装备配备及其使用档案，并对应急物资、装备进行定期检测和维护，使其处于适用状态。</w:t>
            </w:r>
          </w:p>
        </w:tc>
        <w:tc>
          <w:tcPr>
            <w:tcW w:w="1155" w:type="pct"/>
            <w:tcBorders>
              <w:tl2br w:val="nil"/>
              <w:tr2bl w:val="nil"/>
            </w:tcBorders>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《生产安全事故应急预案管理办法》（国家安全生产监督管理总局令第88号，根据中华人民共和国应急管理部令第2号修正）第三十八条</w:t>
            </w:r>
          </w:p>
        </w:tc>
        <w:tc>
          <w:tcPr>
            <w:tcW w:w="801"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企业按要求对应急物资、装备进行了定期检测和维护，使其处于适用状态。</w:t>
            </w:r>
          </w:p>
        </w:tc>
        <w:tc>
          <w:tcPr>
            <w:tcW w:w="374" w:type="pct"/>
            <w:tcBorders>
              <w:tl2br w:val="nil"/>
              <w:tr2bl w:val="nil"/>
            </w:tcBorders>
            <w:vAlign w:val="center"/>
          </w:tcPr>
          <w:p>
            <w:pPr>
              <w:ind w:firstLine="0" w:firstLineChars="0"/>
              <w:jc w:val="center"/>
              <w:rPr>
                <w:rFonts w:cs="Times New Roman"/>
                <w:bCs/>
                <w:sz w:val="20"/>
                <w:szCs w:val="20"/>
              </w:rPr>
            </w:pPr>
            <w:r>
              <w:rPr>
                <w:bCs/>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3" w:type="pct"/>
            <w:tcBorders>
              <w:tl2br w:val="nil"/>
              <w:tr2bl w:val="nil"/>
            </w:tcBorders>
            <w:vAlign w:val="center"/>
          </w:tcPr>
          <w:p>
            <w:pPr>
              <w:numPr>
                <w:ilvl w:val="0"/>
                <w:numId w:val="79"/>
              </w:numPr>
              <w:spacing w:line="240" w:lineRule="auto"/>
              <w:ind w:firstLine="0" w:firstLineChars="0"/>
              <w:jc w:val="center"/>
              <w:rPr>
                <w:rFonts w:ascii="宋体" w:hAnsi="宋体" w:cs="宋体"/>
                <w:b/>
                <w:bCs/>
                <w:sz w:val="21"/>
                <w:szCs w:val="21"/>
              </w:rPr>
            </w:pPr>
          </w:p>
        </w:tc>
        <w:tc>
          <w:tcPr>
            <w:tcW w:w="2295"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企业应当建立应急救援组织。生产规模较小的，可以不建立应急救援组织，但应当指定兼职的应急救援人员，并且可以与邻近的应急救援队伍签订应急救援协议。</w:t>
            </w:r>
          </w:p>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企业应当配备必要的应急救援器材、设备和物资，并进行经常性维护、保养，保证正常运转。</w:t>
            </w:r>
          </w:p>
        </w:tc>
        <w:tc>
          <w:tcPr>
            <w:tcW w:w="1155" w:type="pct"/>
            <w:tcBorders>
              <w:tl2br w:val="nil"/>
              <w:tr2bl w:val="nil"/>
            </w:tcBorders>
            <w:vAlign w:val="center"/>
          </w:tcPr>
          <w:p>
            <w:pPr>
              <w:widowControl/>
              <w:snapToGrid w:val="0"/>
              <w:spacing w:line="240" w:lineRule="auto"/>
              <w:ind w:firstLine="0" w:firstLineChars="0"/>
              <w:jc w:val="center"/>
              <w:rPr>
                <w:rFonts w:ascii="宋体" w:hAnsi="宋体" w:cs="宋体"/>
                <w:bCs/>
                <w:kern w:val="0"/>
                <w:sz w:val="21"/>
                <w:szCs w:val="21"/>
              </w:rPr>
            </w:pPr>
            <w:r>
              <w:rPr>
                <w:rFonts w:hint="eastAsia" w:ascii="宋体" w:hAnsi="宋体" w:cs="宋体"/>
                <w:bCs/>
                <w:kern w:val="0"/>
                <w:sz w:val="21"/>
                <w:szCs w:val="21"/>
              </w:rPr>
              <w:t>《冶金企业和有色金属企业安全生产规定》（国家安全生产监督管理总局令第91号）第十七条</w:t>
            </w:r>
          </w:p>
        </w:tc>
        <w:tc>
          <w:tcPr>
            <w:tcW w:w="801"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企业建立应急救援组织。</w:t>
            </w:r>
          </w:p>
        </w:tc>
        <w:tc>
          <w:tcPr>
            <w:tcW w:w="374" w:type="pct"/>
            <w:tcBorders>
              <w:tl2br w:val="nil"/>
              <w:tr2bl w:val="nil"/>
            </w:tcBorders>
            <w:vAlign w:val="center"/>
          </w:tcPr>
          <w:p>
            <w:pPr>
              <w:ind w:firstLine="0" w:firstLineChars="0"/>
              <w:jc w:val="center"/>
              <w:rPr>
                <w:rFonts w:cs="Times New Roman"/>
                <w:bCs/>
                <w:sz w:val="20"/>
                <w:szCs w:val="20"/>
              </w:rPr>
            </w:pPr>
            <w:r>
              <w:rPr>
                <w:bCs/>
                <w:sz w:val="20"/>
                <w:szCs w:val="20"/>
              </w:rPr>
              <w:t>符合</w:t>
            </w:r>
          </w:p>
        </w:tc>
      </w:tr>
    </w:tbl>
    <w:p>
      <w:pPr>
        <w:ind w:firstLine="560"/>
        <w:rPr>
          <w:rFonts w:ascii="宋体" w:hAnsi="宋体" w:cs="宋体"/>
        </w:rPr>
      </w:pPr>
      <w:r>
        <w:rPr>
          <w:rFonts w:hint="eastAsia" w:ascii="宋体" w:hAnsi="宋体" w:cs="宋体"/>
        </w:rPr>
        <w:t>根据以上检查结果可知，该项目事故应急救援预案及演练符合《中华人民共和国安全生产法》（中华人民共和国主席令第70号，主席令第13号修改，主席令第88号第三次修正）、《冶金企业和有色金属企业安全生产规定》（国家安全生产监督管理总局令第91号）、《生产安全事故应急预案管理办法》（国家安全生产监督管理总局令第88号，根据中华人民共和国应急管理部令第2号修正）等国家标准规范的要求。</w:t>
      </w:r>
    </w:p>
    <w:p>
      <w:pPr>
        <w:pStyle w:val="6"/>
        <w:tabs>
          <w:tab w:val="left" w:pos="420"/>
          <w:tab w:val="clear" w:pos="2101"/>
        </w:tabs>
        <w:spacing w:before="156" w:after="156"/>
      </w:pPr>
      <w:bookmarkStart w:id="370" w:name="_Toc10186"/>
      <w:bookmarkStart w:id="371" w:name="_Toc4281"/>
      <w:r>
        <w:t>事故</w:t>
      </w:r>
      <w:r>
        <w:rPr>
          <w:rFonts w:hint="eastAsia"/>
        </w:rPr>
        <w:t>管理</w:t>
      </w:r>
      <w:bookmarkEnd w:id="370"/>
      <w:bookmarkEnd w:id="371"/>
    </w:p>
    <w:p>
      <w:pPr>
        <w:pStyle w:val="14"/>
        <w:spacing w:before="156" w:after="156"/>
      </w:pPr>
      <w:r>
        <w:t xml:space="preserve">表 </w:t>
      </w:r>
      <w:r>
        <w:fldChar w:fldCharType="begin"/>
      </w:r>
      <w:r>
        <w:instrText xml:space="preserve"> STYLEREF 1 \s </w:instrText>
      </w:r>
      <w:r>
        <w:fldChar w:fldCharType="separate"/>
      </w:r>
      <w:r>
        <w:t>5</w:t>
      </w:r>
      <w:r>
        <w:fldChar w:fldCharType="end"/>
      </w:r>
      <w:r>
        <w:rPr>
          <w:rFonts w:hint="eastAsia"/>
        </w:rPr>
        <w:t>.9-9事故管理安全检查表</w:t>
      </w:r>
    </w:p>
    <w:tbl>
      <w:tblPr>
        <w:tblStyle w:val="29"/>
        <w:tblW w:w="5114"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49"/>
        <w:gridCol w:w="4188"/>
        <w:gridCol w:w="1833"/>
        <w:gridCol w:w="1396"/>
        <w:gridCol w:w="65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372" w:type="pct"/>
            <w:tcBorders>
              <w:tl2br w:val="nil"/>
              <w:tr2bl w:val="nil"/>
            </w:tcBorders>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序号</w:t>
            </w:r>
          </w:p>
        </w:tc>
        <w:tc>
          <w:tcPr>
            <w:tcW w:w="2401" w:type="pct"/>
            <w:tcBorders>
              <w:tl2br w:val="nil"/>
              <w:tr2bl w:val="nil"/>
            </w:tcBorders>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检查内容</w:t>
            </w:r>
          </w:p>
        </w:tc>
        <w:tc>
          <w:tcPr>
            <w:tcW w:w="1050" w:type="pct"/>
            <w:tcBorders>
              <w:tl2br w:val="nil"/>
              <w:tr2bl w:val="nil"/>
            </w:tcBorders>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依据标准</w:t>
            </w:r>
          </w:p>
        </w:tc>
        <w:tc>
          <w:tcPr>
            <w:tcW w:w="801" w:type="pct"/>
            <w:tcBorders>
              <w:tl2br w:val="nil"/>
              <w:tr2bl w:val="nil"/>
            </w:tcBorders>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检查情况</w:t>
            </w:r>
          </w:p>
        </w:tc>
        <w:tc>
          <w:tcPr>
            <w:tcW w:w="373" w:type="pct"/>
            <w:tcBorders>
              <w:tl2br w:val="nil"/>
              <w:tr2bl w:val="nil"/>
            </w:tcBorders>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结论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72" w:type="pct"/>
            <w:tcBorders>
              <w:tl2br w:val="nil"/>
              <w:tr2bl w:val="nil"/>
            </w:tcBorders>
            <w:vAlign w:val="center"/>
          </w:tcPr>
          <w:p>
            <w:pPr>
              <w:numPr>
                <w:ilvl w:val="0"/>
                <w:numId w:val="80"/>
              </w:numPr>
              <w:spacing w:line="240" w:lineRule="auto"/>
              <w:ind w:firstLine="0" w:firstLineChars="0"/>
              <w:jc w:val="center"/>
              <w:rPr>
                <w:rFonts w:ascii="宋体" w:hAnsi="宋体" w:cs="宋体"/>
                <w:b/>
                <w:bCs/>
                <w:sz w:val="21"/>
                <w:szCs w:val="21"/>
              </w:rPr>
            </w:pPr>
          </w:p>
        </w:tc>
        <w:tc>
          <w:tcPr>
            <w:tcW w:w="2401"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生产经营单位应当建立安全风险分级管控制度，按照安全风险分级采取相应的管控措施。</w:t>
            </w:r>
          </w:p>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生产经营单位应当建立健全并落实生产安全事故隐患排查治理制度，采取技术、管理措施，及时发现并消除事故隐患。事故隐患排查治理情况应当如实记录，并通过职工大会或者职工代表大会、信息公示栏等方式向从业人员通报。其中，重大事故隐患排查治理情况应当及时向负有安全生产监督管理职责的部门和职工大会或者职工代表大会报告。</w:t>
            </w:r>
          </w:p>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县级以上地方各级人民政府负有安全生产监督管理职责的部门应当将重大事故隐患纳入相关信息系统，建立健全重大事故隐患治理督办制度，督促生产经营单位消除重大事故隐患。</w:t>
            </w:r>
          </w:p>
        </w:tc>
        <w:tc>
          <w:tcPr>
            <w:tcW w:w="1050" w:type="pct"/>
            <w:tcBorders>
              <w:tl2br w:val="nil"/>
              <w:tr2bl w:val="nil"/>
            </w:tcBorders>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《中华人民共和国安全生产法》（中华人民共和国主席令第70号，主席令第13号修改，主席令第88号第三次修正）第四十一条</w:t>
            </w:r>
          </w:p>
        </w:tc>
        <w:tc>
          <w:tcPr>
            <w:tcW w:w="801"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企业建立了生产安全事故隐患排查治理制度，及时排查和消除事故隐患。</w:t>
            </w:r>
          </w:p>
        </w:tc>
        <w:tc>
          <w:tcPr>
            <w:tcW w:w="373" w:type="pct"/>
            <w:tcBorders>
              <w:tl2br w:val="nil"/>
              <w:tr2bl w:val="nil"/>
            </w:tcBorders>
            <w:vAlign w:val="center"/>
          </w:tcPr>
          <w:p>
            <w:pPr>
              <w:spacing w:line="280" w:lineRule="exact"/>
              <w:ind w:firstLine="0" w:firstLineChars="0"/>
              <w:jc w:val="center"/>
              <w:rPr>
                <w:rFonts w:cs="Times New Roman"/>
                <w:bCs/>
                <w:sz w:val="20"/>
                <w:szCs w:val="20"/>
              </w:rPr>
            </w:pPr>
            <w:r>
              <w:rPr>
                <w:bCs/>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72" w:type="pct"/>
            <w:tcBorders>
              <w:tl2br w:val="nil"/>
              <w:tr2bl w:val="nil"/>
            </w:tcBorders>
            <w:vAlign w:val="center"/>
          </w:tcPr>
          <w:p>
            <w:pPr>
              <w:numPr>
                <w:ilvl w:val="0"/>
                <w:numId w:val="80"/>
              </w:numPr>
              <w:spacing w:line="240" w:lineRule="auto"/>
              <w:ind w:firstLine="0" w:firstLineChars="0"/>
              <w:jc w:val="center"/>
              <w:rPr>
                <w:rFonts w:ascii="宋体" w:hAnsi="宋体" w:cs="宋体"/>
                <w:b/>
                <w:bCs/>
                <w:sz w:val="21"/>
                <w:szCs w:val="21"/>
              </w:rPr>
            </w:pPr>
          </w:p>
        </w:tc>
        <w:tc>
          <w:tcPr>
            <w:tcW w:w="2401"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生产经营单位的安全生产管理人员应当根据本单位的生产经营特点，对安全生产状况进行经常性检查；对检查中发现的安全问题，应当立即处理；不能处理的，应当及时报告本单位有关负责人，有关负责人应当及时处理。检查及处理情况应当如实记录在案。</w:t>
            </w:r>
          </w:p>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生产经营单位的安全生产管理人员在检查中发现重大事故隐患，依照前款规定向本单位有关负责人报告，有关负责人不及时处理的，安全生产管理人员可以向主管的负有安全生产监督管理职责的部门报告，接到报告的部门应当依法及时处理。</w:t>
            </w:r>
          </w:p>
        </w:tc>
        <w:tc>
          <w:tcPr>
            <w:tcW w:w="1050" w:type="pct"/>
            <w:tcBorders>
              <w:tl2br w:val="nil"/>
              <w:tr2bl w:val="nil"/>
            </w:tcBorders>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《中华人民共和国安全生产法》（中华人民共和国主席令第70号，主席令第13号修改，主席令第88号第三次修正）第四十六条</w:t>
            </w:r>
          </w:p>
        </w:tc>
        <w:tc>
          <w:tcPr>
            <w:tcW w:w="801"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企业建立了相应的安全问题申报、处理制度；并对检查和处理情况记录在案。</w:t>
            </w:r>
          </w:p>
        </w:tc>
        <w:tc>
          <w:tcPr>
            <w:tcW w:w="373" w:type="pct"/>
            <w:tcBorders>
              <w:tl2br w:val="nil"/>
              <w:tr2bl w:val="nil"/>
            </w:tcBorders>
            <w:vAlign w:val="center"/>
          </w:tcPr>
          <w:p>
            <w:pPr>
              <w:spacing w:line="280" w:lineRule="exact"/>
              <w:ind w:firstLine="0" w:firstLineChars="0"/>
              <w:jc w:val="center"/>
              <w:rPr>
                <w:rFonts w:cs="Times New Roman"/>
                <w:bCs/>
                <w:sz w:val="20"/>
                <w:szCs w:val="20"/>
              </w:rPr>
            </w:pPr>
            <w:r>
              <w:rPr>
                <w:bCs/>
                <w:sz w:val="20"/>
                <w:szCs w:val="20"/>
              </w:rPr>
              <w:t>符合</w:t>
            </w:r>
          </w:p>
        </w:tc>
      </w:tr>
    </w:tbl>
    <w:p>
      <w:pPr>
        <w:ind w:firstLine="560"/>
        <w:rPr>
          <w:rFonts w:ascii="宋体" w:hAnsi="宋体" w:cs="宋体"/>
        </w:rPr>
      </w:pPr>
      <w:r>
        <w:rPr>
          <w:rFonts w:hint="eastAsia" w:ascii="宋体" w:hAnsi="宋体" w:cs="宋体"/>
        </w:rPr>
        <w:t>根据以上检查结果可知，该项目事故管理符合《中华人民共和国安全生产法》（中华人民共和国主席令第70号，主席令第13号修改，主席令第88号第三次修正）等国家标准规范的要求。</w:t>
      </w:r>
    </w:p>
    <w:p>
      <w:pPr>
        <w:pStyle w:val="6"/>
        <w:tabs>
          <w:tab w:val="left" w:pos="420"/>
          <w:tab w:val="clear" w:pos="2101"/>
        </w:tabs>
        <w:spacing w:before="156" w:after="156"/>
      </w:pPr>
      <w:bookmarkStart w:id="372" w:name="_Toc15929"/>
      <w:bookmarkStart w:id="373" w:name="_Toc19909"/>
      <w:r>
        <w:t>有限空间管理</w:t>
      </w:r>
      <w:bookmarkEnd w:id="372"/>
      <w:bookmarkEnd w:id="373"/>
    </w:p>
    <w:p>
      <w:pPr>
        <w:ind w:firstLine="560"/>
      </w:pPr>
      <w:r>
        <w:rPr>
          <w:rFonts w:hint="eastAsia" w:ascii="宋体" w:hAnsi="宋体" w:cs="宋体"/>
        </w:rPr>
        <w:t>根据《工贸企业有限空间作业安全管理与监督暂行规定》（原国家安全监管总局令第59号公布，第80号修正）、《工贸企业有限空间作业条件确认工作的通知》（原安监总厅管四〔2014〕37号）、《云南省安全生产监督管理局关于进一步加强工贸行业有限空间作业安全生产工作的通知》（云安监管函〔2016〕85号）、《云南省安全生产监督管理局关于印发深化开展工贸行业有限空间作业生产安全事故隐患排查治理暨有限空间作业条件确认安全监管执法2018-2020年专项行动工作方案的通知》（云安监管〔2018〕7号）、《工贸企业重大事故隐患判定标准》（中华人民共和国应急管理部令第10号）等对该项目的有限空间管理进行分析评价，检查结果</w:t>
      </w:r>
      <w:r>
        <w:rPr>
          <w:rFonts w:hint="eastAsia" w:ascii="宋体" w:hAnsi="宋体" w:cs="宋体"/>
          <w:lang w:eastAsia="zh-CN"/>
        </w:rPr>
        <w:t>见</w:t>
      </w:r>
      <w:r>
        <w:rPr>
          <w:rFonts w:hint="eastAsia" w:ascii="宋体" w:hAnsi="宋体" w:cs="宋体"/>
        </w:rPr>
        <w:t>下表。</w:t>
      </w:r>
    </w:p>
    <w:p>
      <w:pPr>
        <w:pStyle w:val="14"/>
        <w:spacing w:before="156" w:after="156"/>
        <w:rPr>
          <w:rFonts w:asciiTheme="minorEastAsia" w:hAnsiTheme="minorEastAsia" w:eastAsiaTheme="minorEastAsia" w:cstheme="minorEastAsia"/>
        </w:rPr>
      </w:pPr>
    </w:p>
    <w:p>
      <w:pPr>
        <w:pStyle w:val="14"/>
        <w:spacing w:before="156" w:after="156"/>
        <w:rPr>
          <w:rFonts w:asciiTheme="minorEastAsia" w:hAnsiTheme="minorEastAsia" w:eastAsiaTheme="minorEastAsia" w:cstheme="minorEastAsia"/>
        </w:rPr>
      </w:pPr>
    </w:p>
    <w:p>
      <w:pPr>
        <w:pStyle w:val="14"/>
        <w:spacing w:before="156" w:after="156"/>
        <w:rPr>
          <w:rFonts w:asciiTheme="minorEastAsia" w:hAnsiTheme="minorEastAsia" w:eastAsiaTheme="minorEastAsia" w:cstheme="minorEastAsia"/>
        </w:rPr>
      </w:pPr>
    </w:p>
    <w:p>
      <w:pPr>
        <w:pStyle w:val="14"/>
        <w:spacing w:before="156" w:after="156"/>
        <w:rPr>
          <w:rFonts w:asciiTheme="minorEastAsia" w:hAnsiTheme="minorEastAsia" w:eastAsiaTheme="minorEastAsia" w:cstheme="minorEastAsia"/>
        </w:rPr>
      </w:pPr>
      <w:r>
        <w:rPr>
          <w:rFonts w:hint="eastAsia" w:asciiTheme="minorEastAsia" w:hAnsiTheme="minorEastAsia" w:eastAsiaTheme="minorEastAsia" w:cstheme="minorEastAsia"/>
        </w:rPr>
        <w:t xml:space="preserve">表 </w:t>
      </w: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STYLEREF 1 \s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5</w:t>
      </w:r>
      <w:r>
        <w:rPr>
          <w:rFonts w:hint="eastAsia" w:asciiTheme="minorEastAsia" w:hAnsiTheme="minorEastAsia" w:eastAsiaTheme="minorEastAsia" w:cstheme="minorEastAsia"/>
        </w:rPr>
        <w:fldChar w:fldCharType="end"/>
      </w:r>
      <w:r>
        <w:rPr>
          <w:rFonts w:hint="eastAsia" w:asciiTheme="minorEastAsia" w:hAnsiTheme="minorEastAsia" w:eastAsiaTheme="minorEastAsia" w:cstheme="minorEastAsia"/>
        </w:rPr>
        <w:t>.9-10有限空间管理检查表</w:t>
      </w:r>
    </w:p>
    <w:tbl>
      <w:tblPr>
        <w:tblStyle w:val="29"/>
        <w:tblW w:w="5172"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40"/>
        <w:gridCol w:w="3667"/>
        <w:gridCol w:w="2237"/>
        <w:gridCol w:w="1622"/>
        <w:gridCol w:w="64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8" w:hRule="atLeast"/>
          <w:jc w:val="center"/>
        </w:trPr>
        <w:tc>
          <w:tcPr>
            <w:tcW w:w="363" w:type="pct"/>
            <w:tcBorders>
              <w:tl2br w:val="nil"/>
              <w:tr2bl w:val="nil"/>
            </w:tcBorders>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序号</w:t>
            </w:r>
          </w:p>
        </w:tc>
        <w:tc>
          <w:tcPr>
            <w:tcW w:w="2079" w:type="pct"/>
            <w:tcBorders>
              <w:tl2br w:val="nil"/>
              <w:tr2bl w:val="nil"/>
            </w:tcBorders>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检查内容</w:t>
            </w:r>
          </w:p>
        </w:tc>
        <w:tc>
          <w:tcPr>
            <w:tcW w:w="1268" w:type="pct"/>
            <w:tcBorders>
              <w:tl2br w:val="nil"/>
              <w:tr2bl w:val="nil"/>
            </w:tcBorders>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依据标准</w:t>
            </w:r>
          </w:p>
        </w:tc>
        <w:tc>
          <w:tcPr>
            <w:tcW w:w="919" w:type="pct"/>
            <w:tcBorders>
              <w:tl2br w:val="nil"/>
              <w:tr2bl w:val="nil"/>
            </w:tcBorders>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检查情况</w:t>
            </w:r>
          </w:p>
        </w:tc>
        <w:tc>
          <w:tcPr>
            <w:tcW w:w="368" w:type="pct"/>
            <w:tcBorders>
              <w:tl2br w:val="nil"/>
              <w:tr2bl w:val="nil"/>
            </w:tcBorders>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结论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63" w:type="pct"/>
            <w:tcBorders>
              <w:tl2br w:val="nil"/>
              <w:tr2bl w:val="nil"/>
            </w:tcBorders>
            <w:vAlign w:val="center"/>
          </w:tcPr>
          <w:p>
            <w:pPr>
              <w:numPr>
                <w:ilvl w:val="0"/>
                <w:numId w:val="81"/>
              </w:numPr>
              <w:spacing w:line="240" w:lineRule="auto"/>
              <w:ind w:firstLine="0" w:firstLineChars="0"/>
              <w:jc w:val="center"/>
              <w:rPr>
                <w:rFonts w:ascii="宋体" w:hAnsi="宋体" w:cs="宋体"/>
                <w:b/>
                <w:bCs/>
                <w:sz w:val="21"/>
                <w:szCs w:val="21"/>
              </w:rPr>
            </w:pPr>
          </w:p>
        </w:tc>
        <w:tc>
          <w:tcPr>
            <w:tcW w:w="2079"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存在有限空间作业的工贸企业应当建立下列安全生产制度和规程：</w:t>
            </w:r>
          </w:p>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（一）有限空间作业安全责任制度；</w:t>
            </w:r>
          </w:p>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（二）有限空间作业审批制度；</w:t>
            </w:r>
          </w:p>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（三）有限空间作业现场安全管理制度；</w:t>
            </w:r>
          </w:p>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（四）有限空间作业现场负责人、监护人员、作业人员、应急救援人员安全培训教育制度；</w:t>
            </w:r>
          </w:p>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（五）有限空间作业应急管理制度；</w:t>
            </w:r>
          </w:p>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（六）有限空间作业安全操作规程。</w:t>
            </w:r>
          </w:p>
        </w:tc>
        <w:tc>
          <w:tcPr>
            <w:tcW w:w="1268" w:type="pct"/>
            <w:tcBorders>
              <w:tl2br w:val="nil"/>
              <w:tr2bl w:val="nil"/>
            </w:tcBorders>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《工贸企业有限空间作业安全管理与监督暂行规定》（原国家安全监管总局令第59号公布，第80号修正）第五条</w:t>
            </w:r>
          </w:p>
        </w:tc>
        <w:tc>
          <w:tcPr>
            <w:tcW w:w="919"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公司制定了上述有限空间安全生产制度和规程。</w:t>
            </w:r>
          </w:p>
        </w:tc>
        <w:tc>
          <w:tcPr>
            <w:tcW w:w="368" w:type="pct"/>
            <w:tcBorders>
              <w:tl2br w:val="nil"/>
              <w:tr2bl w:val="nil"/>
            </w:tcBorders>
            <w:vAlign w:val="center"/>
          </w:tcPr>
          <w:p>
            <w:pPr>
              <w:spacing w:line="280" w:lineRule="exact"/>
              <w:ind w:firstLine="0" w:firstLineChars="0"/>
              <w:jc w:val="center"/>
              <w:rPr>
                <w:rFonts w:cs="Times New Roman"/>
                <w:bCs/>
                <w:sz w:val="20"/>
                <w:szCs w:val="20"/>
              </w:rPr>
            </w:pPr>
            <w:r>
              <w:rPr>
                <w:rFonts w:cs="Times New Roman"/>
                <w:bCs/>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63" w:type="pct"/>
            <w:tcBorders>
              <w:tl2br w:val="nil"/>
              <w:tr2bl w:val="nil"/>
            </w:tcBorders>
            <w:vAlign w:val="center"/>
          </w:tcPr>
          <w:p>
            <w:pPr>
              <w:numPr>
                <w:ilvl w:val="0"/>
                <w:numId w:val="81"/>
              </w:numPr>
              <w:spacing w:line="240" w:lineRule="auto"/>
              <w:ind w:firstLine="0" w:firstLineChars="0"/>
              <w:jc w:val="center"/>
              <w:rPr>
                <w:rFonts w:ascii="宋体" w:hAnsi="宋体" w:cs="宋体"/>
                <w:b/>
                <w:bCs/>
                <w:sz w:val="21"/>
                <w:szCs w:val="21"/>
              </w:rPr>
            </w:pPr>
          </w:p>
        </w:tc>
        <w:tc>
          <w:tcPr>
            <w:tcW w:w="2079"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工贸企业应当对从事有限空间作业的现场负责人、监护人员、作业人员、应急救援人员进行专项安全培训。专项安全培训应当包括下列内容：</w:t>
            </w:r>
          </w:p>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（一）有限空间作业的危险有害因素和安全防范措施；</w:t>
            </w:r>
          </w:p>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（二）有限空间作业的安全操作规程；</w:t>
            </w:r>
          </w:p>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（三）检测仪器、劳动防护用品的正确使用；</w:t>
            </w:r>
          </w:p>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（四）紧急情况下的应急处置措施。</w:t>
            </w:r>
          </w:p>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安全培训应当有专门记录，并由参加培训的人员签字确认。</w:t>
            </w:r>
          </w:p>
        </w:tc>
        <w:tc>
          <w:tcPr>
            <w:tcW w:w="1268" w:type="pct"/>
            <w:tcBorders>
              <w:tl2br w:val="nil"/>
              <w:tr2bl w:val="nil"/>
            </w:tcBorders>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《工贸企业有限空间作业安全管理与监督暂行规定》（2013年5月20日国家安全监管总局令第 59号公布，根据2015年5月29日国家安全监管总局令第80号修正）第六条</w:t>
            </w:r>
          </w:p>
        </w:tc>
        <w:tc>
          <w:tcPr>
            <w:tcW w:w="919"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企业定期对从事有限空间作业的现场负责人、监护人员、作业人员、应急救援人员进行了专项安全培训。安全培训有相关教育培训记录。</w:t>
            </w:r>
          </w:p>
        </w:tc>
        <w:tc>
          <w:tcPr>
            <w:tcW w:w="368" w:type="pct"/>
            <w:tcBorders>
              <w:tl2br w:val="nil"/>
              <w:tr2bl w:val="nil"/>
            </w:tcBorders>
            <w:vAlign w:val="center"/>
          </w:tcPr>
          <w:p>
            <w:pPr>
              <w:spacing w:line="280" w:lineRule="exact"/>
              <w:ind w:firstLine="0" w:firstLineChars="0"/>
              <w:jc w:val="center"/>
              <w:rPr>
                <w:rFonts w:cs="Times New Roman"/>
                <w:bCs/>
                <w:sz w:val="20"/>
                <w:szCs w:val="20"/>
              </w:rPr>
            </w:pPr>
            <w:r>
              <w:rPr>
                <w:rFonts w:cs="Times New Roman"/>
                <w:bCs/>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63" w:type="pct"/>
            <w:tcBorders>
              <w:tl2br w:val="nil"/>
              <w:tr2bl w:val="nil"/>
            </w:tcBorders>
            <w:vAlign w:val="center"/>
          </w:tcPr>
          <w:p>
            <w:pPr>
              <w:numPr>
                <w:ilvl w:val="0"/>
                <w:numId w:val="81"/>
              </w:numPr>
              <w:spacing w:line="240" w:lineRule="auto"/>
              <w:ind w:firstLine="0" w:firstLineChars="0"/>
              <w:jc w:val="center"/>
              <w:rPr>
                <w:rFonts w:ascii="宋体" w:hAnsi="宋体" w:cs="宋体"/>
                <w:b/>
                <w:bCs/>
                <w:sz w:val="21"/>
                <w:szCs w:val="21"/>
              </w:rPr>
            </w:pPr>
          </w:p>
        </w:tc>
        <w:tc>
          <w:tcPr>
            <w:tcW w:w="2079"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工贸企业应当对本企业的有限空间进行辨识，确定有限空间的数量、位置以及危险有害因素等基本情况，建立有限空间管理台账，并及时更新。</w:t>
            </w:r>
          </w:p>
        </w:tc>
        <w:tc>
          <w:tcPr>
            <w:tcW w:w="1268" w:type="pct"/>
            <w:tcBorders>
              <w:tl2br w:val="nil"/>
              <w:tr2bl w:val="nil"/>
            </w:tcBorders>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《工贸企业有限空间作业安全管理与监督暂行规定》（2013年5月20日国家安全监管总局令第 59号公布，根据2015年5月29日国家安全监管总局令第80号修正）第七条</w:t>
            </w:r>
          </w:p>
        </w:tc>
        <w:tc>
          <w:tcPr>
            <w:tcW w:w="919"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企业对有限空间进行辨识，确定了有限空间的数量、位置以及危险有害因素等基本情况，建立了有限空间管理台账。</w:t>
            </w:r>
          </w:p>
        </w:tc>
        <w:tc>
          <w:tcPr>
            <w:tcW w:w="368" w:type="pct"/>
            <w:tcBorders>
              <w:tl2br w:val="nil"/>
              <w:tr2bl w:val="nil"/>
            </w:tcBorders>
            <w:vAlign w:val="center"/>
          </w:tcPr>
          <w:p>
            <w:pPr>
              <w:spacing w:line="280" w:lineRule="exact"/>
              <w:ind w:firstLine="0" w:firstLineChars="0"/>
              <w:jc w:val="center"/>
              <w:rPr>
                <w:rFonts w:cs="Times New Roman"/>
                <w:bCs/>
                <w:sz w:val="20"/>
                <w:szCs w:val="20"/>
              </w:rPr>
            </w:pPr>
            <w:r>
              <w:rPr>
                <w:rFonts w:cs="Times New Roman"/>
                <w:bCs/>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63" w:type="pct"/>
            <w:tcBorders>
              <w:tl2br w:val="nil"/>
              <w:tr2bl w:val="nil"/>
            </w:tcBorders>
            <w:vAlign w:val="center"/>
          </w:tcPr>
          <w:p>
            <w:pPr>
              <w:numPr>
                <w:ilvl w:val="0"/>
                <w:numId w:val="81"/>
              </w:numPr>
              <w:spacing w:line="240" w:lineRule="auto"/>
              <w:ind w:firstLine="0" w:firstLineChars="0"/>
              <w:jc w:val="center"/>
              <w:rPr>
                <w:rFonts w:ascii="宋体" w:hAnsi="宋体" w:cs="宋体"/>
                <w:b/>
                <w:bCs/>
                <w:sz w:val="21"/>
                <w:szCs w:val="21"/>
              </w:rPr>
            </w:pPr>
          </w:p>
        </w:tc>
        <w:tc>
          <w:tcPr>
            <w:tcW w:w="2079"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工贸企业实施有限空间作业前，应当对作业环境进行评估，分析存在的危险有害因素，提出消除、控制危害的措施，制定有限空间作业方案，并经本企业安全生产管理人员审核，负责人批准。</w:t>
            </w:r>
          </w:p>
        </w:tc>
        <w:tc>
          <w:tcPr>
            <w:tcW w:w="1268" w:type="pct"/>
            <w:tcBorders>
              <w:tl2br w:val="nil"/>
              <w:tr2bl w:val="nil"/>
            </w:tcBorders>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《工贸企业有限空间作业安全管理与监督暂行规定》（2013年5月20日国家安全监管总局令第 59号公布，根据2015年5月29日国家安全监管总局令第80号修正）第八条</w:t>
            </w:r>
          </w:p>
        </w:tc>
        <w:tc>
          <w:tcPr>
            <w:tcW w:w="919"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企业实施有限空间作业前，对作业环境进行了评估，分析了有限空间存在的危险有害因素，制定了有限空间作业方案。</w:t>
            </w:r>
          </w:p>
        </w:tc>
        <w:tc>
          <w:tcPr>
            <w:tcW w:w="368" w:type="pct"/>
            <w:tcBorders>
              <w:tl2br w:val="nil"/>
              <w:tr2bl w:val="nil"/>
            </w:tcBorders>
            <w:vAlign w:val="center"/>
          </w:tcPr>
          <w:p>
            <w:pPr>
              <w:spacing w:line="280" w:lineRule="exact"/>
              <w:ind w:firstLine="0" w:firstLineChars="0"/>
              <w:jc w:val="center"/>
              <w:rPr>
                <w:rFonts w:cs="Times New Roman"/>
                <w:bCs/>
                <w:sz w:val="20"/>
                <w:szCs w:val="20"/>
              </w:rPr>
            </w:pPr>
            <w:r>
              <w:rPr>
                <w:rFonts w:cs="Times New Roman"/>
                <w:bCs/>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63" w:type="pct"/>
            <w:tcBorders>
              <w:tl2br w:val="nil"/>
              <w:tr2bl w:val="nil"/>
            </w:tcBorders>
            <w:vAlign w:val="center"/>
          </w:tcPr>
          <w:p>
            <w:pPr>
              <w:numPr>
                <w:ilvl w:val="0"/>
                <w:numId w:val="81"/>
              </w:numPr>
              <w:spacing w:line="240" w:lineRule="auto"/>
              <w:ind w:firstLine="0" w:firstLineChars="0"/>
              <w:jc w:val="center"/>
              <w:rPr>
                <w:rFonts w:ascii="宋体" w:hAnsi="宋体" w:cs="宋体"/>
                <w:b/>
                <w:bCs/>
                <w:sz w:val="21"/>
                <w:szCs w:val="21"/>
              </w:rPr>
            </w:pPr>
          </w:p>
        </w:tc>
        <w:tc>
          <w:tcPr>
            <w:tcW w:w="2079"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工贸企业应当采取可靠的隔断（隔离）措施，将可能危及作业安全的设施设备、存在有毒有害物质的空间与作业地点隔开。</w:t>
            </w:r>
          </w:p>
          <w:p>
            <w:pPr>
              <w:widowControl/>
              <w:snapToGrid w:val="0"/>
              <w:spacing w:line="240" w:lineRule="auto"/>
              <w:ind w:firstLine="0" w:firstLineChars="0"/>
              <w:jc w:val="both"/>
              <w:rPr>
                <w:rFonts w:ascii="宋体" w:hAnsi="宋体" w:cs="宋体"/>
                <w:bCs/>
                <w:kern w:val="0"/>
                <w:sz w:val="21"/>
                <w:szCs w:val="21"/>
              </w:rPr>
            </w:pPr>
          </w:p>
        </w:tc>
        <w:tc>
          <w:tcPr>
            <w:tcW w:w="1268" w:type="pct"/>
            <w:tcBorders>
              <w:tl2br w:val="nil"/>
              <w:tr2bl w:val="nil"/>
            </w:tcBorders>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《工贸企业有限空间作业安全管理与监督暂行规定》（2013年5月20日国家安全监管总局令第 59号公布，根据2015年5月29日国家安全监管总局令第80号修正）第十一条</w:t>
            </w:r>
          </w:p>
        </w:tc>
        <w:tc>
          <w:tcPr>
            <w:tcW w:w="919"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企业制定了有限空间作业相关制度，在进行有限空间前采取可靠的隔断（隔离）措施，将可能危及作业安全的设施设备、存在有毒有害物质的空间与作业地点隔开。</w:t>
            </w:r>
          </w:p>
        </w:tc>
        <w:tc>
          <w:tcPr>
            <w:tcW w:w="368" w:type="pct"/>
            <w:tcBorders>
              <w:tl2br w:val="nil"/>
              <w:tr2bl w:val="nil"/>
            </w:tcBorders>
            <w:vAlign w:val="center"/>
          </w:tcPr>
          <w:p>
            <w:pPr>
              <w:spacing w:line="280" w:lineRule="exact"/>
              <w:ind w:firstLine="0" w:firstLineChars="0"/>
              <w:jc w:val="center"/>
              <w:rPr>
                <w:rFonts w:cs="Times New Roman"/>
                <w:bCs/>
                <w:sz w:val="20"/>
                <w:szCs w:val="20"/>
              </w:rPr>
            </w:pPr>
            <w:r>
              <w:rPr>
                <w:rFonts w:cs="Times New Roman"/>
                <w:bCs/>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63" w:type="pct"/>
            <w:tcBorders>
              <w:tl2br w:val="nil"/>
              <w:tr2bl w:val="nil"/>
            </w:tcBorders>
            <w:vAlign w:val="center"/>
          </w:tcPr>
          <w:p>
            <w:pPr>
              <w:numPr>
                <w:ilvl w:val="0"/>
                <w:numId w:val="81"/>
              </w:numPr>
              <w:spacing w:line="240" w:lineRule="auto"/>
              <w:ind w:firstLine="0" w:firstLineChars="0"/>
              <w:jc w:val="center"/>
              <w:rPr>
                <w:rFonts w:ascii="宋体" w:hAnsi="宋体" w:cs="宋体"/>
                <w:b/>
                <w:bCs/>
                <w:sz w:val="21"/>
                <w:szCs w:val="21"/>
              </w:rPr>
            </w:pPr>
          </w:p>
        </w:tc>
        <w:tc>
          <w:tcPr>
            <w:tcW w:w="2079"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有限空间作业应当严格遵守“先通风、再检测、后作业”的原则。检测指标包括氧浓度、易燃易爆物质（可燃性气体、爆炸性粉尘）浓度、有毒有害气体浓度。检测应当符合相关国家标准或者行业标准的规定。</w:t>
            </w:r>
          </w:p>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未经通风和检测合格，任何人员不得进入有限空间作业。检测的时间不得早于作业开始前30分钟。</w:t>
            </w:r>
          </w:p>
        </w:tc>
        <w:tc>
          <w:tcPr>
            <w:tcW w:w="1268" w:type="pct"/>
            <w:tcBorders>
              <w:tl2br w:val="nil"/>
              <w:tr2bl w:val="nil"/>
            </w:tcBorders>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《工贸企业有限空间作业安全管理与监督暂行规定》（2013年5月20日国家安全监管总局令第 59号公布，根据2015年5月29日国家安全监管总局令第80号修正）第十二条</w:t>
            </w:r>
          </w:p>
        </w:tc>
        <w:tc>
          <w:tcPr>
            <w:tcW w:w="919"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企业制定了有限空间作业相关制度，作业前严格遵守“先通风、再检测、后作业”的原则。规定了未经通风和检测合格，任何人员不得进入有限空间作业。检测的时间不得早于作业开始前30分钟。有限空间作业票上有检测数据。</w:t>
            </w:r>
          </w:p>
        </w:tc>
        <w:tc>
          <w:tcPr>
            <w:tcW w:w="368" w:type="pct"/>
            <w:tcBorders>
              <w:tl2br w:val="nil"/>
              <w:tr2bl w:val="nil"/>
            </w:tcBorders>
            <w:vAlign w:val="center"/>
          </w:tcPr>
          <w:p>
            <w:pPr>
              <w:spacing w:line="280" w:lineRule="exact"/>
              <w:ind w:firstLine="0" w:firstLineChars="0"/>
              <w:jc w:val="center"/>
              <w:rPr>
                <w:rFonts w:cs="Times New Roman"/>
                <w:bCs/>
                <w:sz w:val="20"/>
                <w:szCs w:val="20"/>
              </w:rPr>
            </w:pPr>
            <w:r>
              <w:rPr>
                <w:rFonts w:cs="Times New Roman"/>
                <w:bCs/>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63" w:type="pct"/>
            <w:vAlign w:val="center"/>
          </w:tcPr>
          <w:p>
            <w:pPr>
              <w:numPr>
                <w:ilvl w:val="0"/>
                <w:numId w:val="81"/>
              </w:numPr>
              <w:spacing w:line="240" w:lineRule="auto"/>
              <w:ind w:firstLine="0" w:firstLineChars="0"/>
              <w:jc w:val="center"/>
              <w:rPr>
                <w:rFonts w:ascii="宋体" w:hAnsi="宋体" w:cs="宋体"/>
                <w:b/>
                <w:bCs/>
                <w:sz w:val="21"/>
                <w:szCs w:val="21"/>
              </w:rPr>
            </w:pPr>
          </w:p>
        </w:tc>
        <w:tc>
          <w:tcPr>
            <w:tcW w:w="2079" w:type="pct"/>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在有限空间作业过程中，工贸企业应当采取通风措施，保持空气流通，禁止采用纯氧通风换气。发现通风设备停止运转、有限空间内氧含量浓度低于或者有毒有害气体浓度高于国家标准或者行业标准规定的限值时，工贸企业必须立即停止有限空间作业，清点作业人员，撤离作业现场。</w:t>
            </w:r>
          </w:p>
        </w:tc>
        <w:tc>
          <w:tcPr>
            <w:tcW w:w="1268"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《工贸企业有限空间作业安全管理与监督暂行规定》（2013年5月20日国家安全监管总局令第 59号公布，根据2015年5月29日国家安全监管总局令第80号修正）第十五条</w:t>
            </w:r>
          </w:p>
        </w:tc>
        <w:tc>
          <w:tcPr>
            <w:tcW w:w="919" w:type="pct"/>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企业制定了有限空间作业相关制度。</w:t>
            </w:r>
          </w:p>
        </w:tc>
        <w:tc>
          <w:tcPr>
            <w:tcW w:w="368" w:type="pct"/>
            <w:vAlign w:val="center"/>
          </w:tcPr>
          <w:p>
            <w:pPr>
              <w:spacing w:line="280" w:lineRule="exact"/>
              <w:ind w:firstLine="0" w:firstLineChars="0"/>
              <w:jc w:val="center"/>
              <w:rPr>
                <w:rFonts w:cs="Times New Roman"/>
                <w:bCs/>
                <w:sz w:val="20"/>
                <w:szCs w:val="20"/>
              </w:rPr>
            </w:pPr>
            <w:r>
              <w:rPr>
                <w:rFonts w:cs="Times New Roman"/>
                <w:bCs/>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63" w:type="pct"/>
            <w:vAlign w:val="center"/>
          </w:tcPr>
          <w:p>
            <w:pPr>
              <w:numPr>
                <w:ilvl w:val="0"/>
                <w:numId w:val="81"/>
              </w:numPr>
              <w:spacing w:line="240" w:lineRule="auto"/>
              <w:ind w:firstLine="0" w:firstLineChars="0"/>
              <w:jc w:val="center"/>
              <w:rPr>
                <w:rFonts w:ascii="宋体" w:hAnsi="宋体" w:cs="宋体"/>
                <w:b/>
                <w:bCs/>
                <w:sz w:val="21"/>
                <w:szCs w:val="21"/>
              </w:rPr>
            </w:pPr>
          </w:p>
        </w:tc>
        <w:tc>
          <w:tcPr>
            <w:tcW w:w="2079" w:type="pct"/>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在有限空间作业过程中，工贸企业应当对作业场所中的危险有害因素进行定时检测或者连续监测。作业中断超过30分钟，作业人员再次进入有限空间作业前，应当重新通风、检测合格后方可进入。</w:t>
            </w:r>
          </w:p>
        </w:tc>
        <w:tc>
          <w:tcPr>
            <w:tcW w:w="1268"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《工贸企业有限空间作业安全管理与监督暂行规定》（2013年5月20日国家安全监管总局令第 59号公布，根据2015年5月29日国家安全监管总局令第80号修正）第十六条</w:t>
            </w:r>
          </w:p>
        </w:tc>
        <w:tc>
          <w:tcPr>
            <w:tcW w:w="919" w:type="pct"/>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企业制定了有限空间作业相关制度。规定在有限空间作业过程中，企业对作业场所中的危险有害因素进行定时检测或者连续监测。作业中断超过30分钟，作业人员再次进入有限空间作业前，需重新通风、检测合格后方可进入。</w:t>
            </w:r>
          </w:p>
        </w:tc>
        <w:tc>
          <w:tcPr>
            <w:tcW w:w="368" w:type="pct"/>
            <w:vAlign w:val="center"/>
          </w:tcPr>
          <w:p>
            <w:pPr>
              <w:spacing w:line="280" w:lineRule="exact"/>
              <w:ind w:firstLine="0" w:firstLineChars="0"/>
              <w:jc w:val="center"/>
              <w:rPr>
                <w:rFonts w:cs="Times New Roman"/>
                <w:bCs/>
                <w:sz w:val="20"/>
                <w:szCs w:val="20"/>
              </w:rPr>
            </w:pPr>
            <w:r>
              <w:rPr>
                <w:rFonts w:cs="Times New Roman"/>
                <w:bCs/>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63" w:type="pct"/>
            <w:vAlign w:val="center"/>
          </w:tcPr>
          <w:p>
            <w:pPr>
              <w:numPr>
                <w:ilvl w:val="0"/>
                <w:numId w:val="81"/>
              </w:numPr>
              <w:spacing w:line="240" w:lineRule="auto"/>
              <w:ind w:firstLine="0" w:firstLineChars="0"/>
              <w:jc w:val="center"/>
              <w:rPr>
                <w:rFonts w:ascii="宋体" w:hAnsi="宋体" w:cs="宋体"/>
                <w:b/>
                <w:bCs/>
                <w:sz w:val="21"/>
                <w:szCs w:val="21"/>
              </w:rPr>
            </w:pPr>
          </w:p>
        </w:tc>
        <w:tc>
          <w:tcPr>
            <w:tcW w:w="2079" w:type="pct"/>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工贸企业应当根据有限空间存在危险有害因素的种类和危害程度，为作业人员提供符合国家标准或者行业标准规定的劳动防护用品，并教育监督作业人员正确佩戴与使用。</w:t>
            </w:r>
          </w:p>
        </w:tc>
        <w:tc>
          <w:tcPr>
            <w:tcW w:w="1268"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《工贸企业有限空间作业安全管理与监督暂行规定》（2013年5月20日国家安全监管总局令第 59号公布，根据2015年5月29日国家安全监管总局令第80号修正）第十八条</w:t>
            </w:r>
          </w:p>
        </w:tc>
        <w:tc>
          <w:tcPr>
            <w:tcW w:w="919" w:type="pct"/>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企业根据有限空间存在危险有害因素的种类和危害程度，为作业人员提供了符合国家标准或者行业标准规定的劳动防护用品，并教育监督作业人员正确佩戴与使用。</w:t>
            </w:r>
          </w:p>
        </w:tc>
        <w:tc>
          <w:tcPr>
            <w:tcW w:w="368" w:type="pct"/>
            <w:vAlign w:val="center"/>
          </w:tcPr>
          <w:p>
            <w:pPr>
              <w:spacing w:line="280" w:lineRule="exact"/>
              <w:ind w:firstLine="0" w:firstLineChars="0"/>
              <w:jc w:val="center"/>
              <w:rPr>
                <w:rFonts w:cs="Times New Roman"/>
                <w:bCs/>
                <w:sz w:val="20"/>
                <w:szCs w:val="20"/>
              </w:rPr>
            </w:pPr>
            <w:r>
              <w:rPr>
                <w:rFonts w:cs="Times New Roman"/>
                <w:bCs/>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63" w:type="pct"/>
            <w:vAlign w:val="center"/>
          </w:tcPr>
          <w:p>
            <w:pPr>
              <w:numPr>
                <w:ilvl w:val="0"/>
                <w:numId w:val="81"/>
              </w:numPr>
              <w:spacing w:line="240" w:lineRule="auto"/>
              <w:ind w:firstLine="0" w:firstLineChars="0"/>
              <w:jc w:val="center"/>
              <w:rPr>
                <w:rFonts w:ascii="宋体" w:hAnsi="宋体" w:cs="宋体"/>
                <w:b/>
                <w:bCs/>
                <w:sz w:val="21"/>
                <w:szCs w:val="21"/>
              </w:rPr>
            </w:pPr>
          </w:p>
        </w:tc>
        <w:tc>
          <w:tcPr>
            <w:tcW w:w="2079" w:type="pct"/>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（二）要对本企业有限空间作业现场逐条进行确认。</w:t>
            </w:r>
          </w:p>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1.作业必须履行审批手续；</w:t>
            </w:r>
          </w:p>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2.作业前必须进行危险有害因素辨识，并将危险有害因素、防控措施和应急措施告知作业人员；</w:t>
            </w:r>
          </w:p>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3.必须采取通风措施，保持空气流通；</w:t>
            </w:r>
          </w:p>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4.必须对有限空间的氧浓度、有毒有害气体（如一氧化碳、硫化氢等）浓度等进行检测，检测结果合格后，方可作业；</w:t>
            </w:r>
          </w:p>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5.作业现场必须配备呼吸器、通讯器材、安全绳索等防护设施和应急装备；</w:t>
            </w:r>
          </w:p>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6.作业现场必须配置监护人员；</w:t>
            </w:r>
          </w:p>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7.作业现场必须设置安全警示标志，保持出入口畅通；</w:t>
            </w:r>
          </w:p>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8.严禁在事故发生后盲目施救。</w:t>
            </w:r>
          </w:p>
        </w:tc>
        <w:tc>
          <w:tcPr>
            <w:tcW w:w="1268"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国家安全监管总局办公厅关于开展工贸企业有限空间作业条件确认工作的通知（安监总厅管〔2014〕37号）</w:t>
            </w:r>
          </w:p>
        </w:tc>
        <w:tc>
          <w:tcPr>
            <w:tcW w:w="919" w:type="pct"/>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企业制定了相关管理制</w:t>
            </w:r>
            <w:r>
              <w:rPr>
                <w:rFonts w:hint="eastAsia" w:ascii="宋体" w:hAnsi="宋体" w:cs="宋体"/>
                <w:bCs/>
                <w:kern w:val="0"/>
                <w:sz w:val="21"/>
                <w:szCs w:val="21"/>
                <w:lang w:eastAsia="zh-CN"/>
              </w:rPr>
              <w:t>度</w:t>
            </w:r>
            <w:r>
              <w:rPr>
                <w:rFonts w:hint="eastAsia" w:ascii="宋体" w:hAnsi="宋体" w:cs="宋体"/>
                <w:bCs/>
                <w:kern w:val="0"/>
                <w:sz w:val="21"/>
                <w:szCs w:val="21"/>
              </w:rPr>
              <w:t>，有限空间作业前必须履行审批手续，作业前进行危险有害因素辨识，并将危险有害因素、防控措施和应急措施告知作业人员；有限空间作业前对有限空间的氧浓度、有毒有害气体（如硫化氢等）浓度等进行检测，检测结果合格后，方可作业；作业现场配置有监护人员；有限空间出入口设置有安全警示标志。</w:t>
            </w:r>
          </w:p>
        </w:tc>
        <w:tc>
          <w:tcPr>
            <w:tcW w:w="368" w:type="pct"/>
            <w:vAlign w:val="center"/>
          </w:tcPr>
          <w:p>
            <w:pPr>
              <w:spacing w:line="280" w:lineRule="exact"/>
              <w:ind w:firstLine="0" w:firstLineChars="0"/>
              <w:jc w:val="center"/>
              <w:rPr>
                <w:rFonts w:cs="Times New Roman"/>
                <w:bCs/>
                <w:sz w:val="20"/>
                <w:szCs w:val="20"/>
              </w:rPr>
            </w:pPr>
            <w:r>
              <w:rPr>
                <w:rFonts w:cs="Times New Roman"/>
                <w:bCs/>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411" w:hRule="atLeast"/>
          <w:jc w:val="center"/>
        </w:trPr>
        <w:tc>
          <w:tcPr>
            <w:tcW w:w="363" w:type="pct"/>
            <w:vAlign w:val="center"/>
          </w:tcPr>
          <w:p>
            <w:pPr>
              <w:numPr>
                <w:ilvl w:val="0"/>
                <w:numId w:val="81"/>
              </w:numPr>
              <w:spacing w:line="240" w:lineRule="auto"/>
              <w:ind w:firstLine="0" w:firstLineChars="0"/>
              <w:jc w:val="center"/>
              <w:rPr>
                <w:rFonts w:ascii="宋体" w:hAnsi="宋体" w:cs="宋体"/>
                <w:b/>
                <w:bCs/>
                <w:sz w:val="21"/>
                <w:szCs w:val="21"/>
              </w:rPr>
            </w:pPr>
          </w:p>
        </w:tc>
        <w:tc>
          <w:tcPr>
            <w:tcW w:w="2079" w:type="pct"/>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未对有限空间进行辨识、建立安全管理台账，并且未设置明显的安全警示标志的；</w:t>
            </w:r>
          </w:p>
        </w:tc>
        <w:tc>
          <w:tcPr>
            <w:tcW w:w="1268" w:type="pct"/>
            <w:vMerge w:val="restar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《工贸企业重大事故隐患判定标准》（中华人民共和国应急管理部令第10号）</w:t>
            </w:r>
          </w:p>
          <w:p>
            <w:pPr>
              <w:spacing w:line="240" w:lineRule="auto"/>
              <w:ind w:firstLine="0" w:firstLineChars="0"/>
              <w:jc w:val="center"/>
              <w:rPr>
                <w:rFonts w:ascii="宋体" w:hAnsi="宋体" w:cs="宋体"/>
                <w:sz w:val="21"/>
                <w:szCs w:val="21"/>
              </w:rPr>
            </w:pPr>
            <w:r>
              <w:rPr>
                <w:rFonts w:hint="eastAsia" w:ascii="宋体" w:hAnsi="宋体" w:cs="宋体"/>
                <w:sz w:val="21"/>
                <w:szCs w:val="21"/>
              </w:rPr>
              <w:t>第十三条</w:t>
            </w:r>
          </w:p>
          <w:p>
            <w:pPr>
              <w:spacing w:line="240" w:lineRule="auto"/>
              <w:ind w:firstLine="0" w:firstLineChars="0"/>
              <w:jc w:val="center"/>
              <w:rPr>
                <w:rFonts w:ascii="宋体" w:hAnsi="宋体" w:cs="宋体"/>
                <w:sz w:val="21"/>
                <w:szCs w:val="21"/>
              </w:rPr>
            </w:pPr>
          </w:p>
        </w:tc>
        <w:tc>
          <w:tcPr>
            <w:tcW w:w="919" w:type="pct"/>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企业已对有限空间进行辨识、建立安全管理台账，并设置明显的安全警示标志。</w:t>
            </w:r>
          </w:p>
        </w:tc>
        <w:tc>
          <w:tcPr>
            <w:tcW w:w="368" w:type="pct"/>
            <w:vAlign w:val="center"/>
          </w:tcPr>
          <w:p>
            <w:pPr>
              <w:spacing w:line="280" w:lineRule="exact"/>
              <w:ind w:firstLine="0" w:firstLineChars="0"/>
              <w:jc w:val="center"/>
              <w:rPr>
                <w:rFonts w:cs="Times New Roman"/>
                <w:bCs/>
                <w:sz w:val="20"/>
                <w:szCs w:val="20"/>
              </w:rPr>
            </w:pPr>
            <w:r>
              <w:rPr>
                <w:rFonts w:cs="Times New Roman"/>
                <w:bCs/>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63" w:type="pct"/>
            <w:vAlign w:val="center"/>
          </w:tcPr>
          <w:p>
            <w:pPr>
              <w:numPr>
                <w:ilvl w:val="0"/>
                <w:numId w:val="81"/>
              </w:numPr>
              <w:spacing w:line="240" w:lineRule="auto"/>
              <w:ind w:firstLine="0" w:firstLineChars="0"/>
              <w:jc w:val="center"/>
              <w:rPr>
                <w:rFonts w:ascii="宋体" w:hAnsi="宋体" w:cs="宋体"/>
                <w:b/>
                <w:bCs/>
                <w:sz w:val="21"/>
                <w:szCs w:val="21"/>
              </w:rPr>
            </w:pPr>
          </w:p>
        </w:tc>
        <w:tc>
          <w:tcPr>
            <w:tcW w:w="2079" w:type="pct"/>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未落实有限空间作业审批，或者未执行“先通风、再检测、后作业”要求，或者作业现场未设置监护人员的。</w:t>
            </w:r>
          </w:p>
        </w:tc>
        <w:tc>
          <w:tcPr>
            <w:tcW w:w="1268" w:type="pct"/>
            <w:vMerge w:val="continue"/>
            <w:vAlign w:val="center"/>
          </w:tcPr>
          <w:p>
            <w:pPr>
              <w:spacing w:line="240" w:lineRule="auto"/>
              <w:ind w:firstLine="0" w:firstLineChars="0"/>
              <w:jc w:val="center"/>
              <w:rPr>
                <w:rFonts w:ascii="宋体" w:hAnsi="宋体" w:cs="宋体"/>
                <w:sz w:val="21"/>
                <w:szCs w:val="21"/>
              </w:rPr>
            </w:pPr>
          </w:p>
        </w:tc>
        <w:tc>
          <w:tcPr>
            <w:tcW w:w="919" w:type="pct"/>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有限空间作业前已进行审批许可，严格执行“先通风、再检测、后作业”要求，并设专人监护。</w:t>
            </w:r>
          </w:p>
        </w:tc>
        <w:tc>
          <w:tcPr>
            <w:tcW w:w="368" w:type="pct"/>
            <w:vAlign w:val="center"/>
          </w:tcPr>
          <w:p>
            <w:pPr>
              <w:spacing w:line="280" w:lineRule="exact"/>
              <w:ind w:firstLine="0" w:firstLineChars="0"/>
              <w:jc w:val="center"/>
              <w:rPr>
                <w:rFonts w:cs="Times New Roman"/>
                <w:bCs/>
                <w:sz w:val="20"/>
                <w:szCs w:val="20"/>
              </w:rPr>
            </w:pPr>
            <w:r>
              <w:rPr>
                <w:rFonts w:cs="Times New Roman"/>
                <w:bCs/>
                <w:sz w:val="20"/>
                <w:szCs w:val="20"/>
              </w:rPr>
              <w:t>符合</w:t>
            </w:r>
          </w:p>
        </w:tc>
      </w:tr>
    </w:tbl>
    <w:p>
      <w:pPr>
        <w:ind w:firstLine="560"/>
      </w:pPr>
      <w:r>
        <w:rPr>
          <w:rFonts w:hint="eastAsia" w:ascii="宋体" w:hAnsi="宋体" w:cs="宋体"/>
        </w:rPr>
        <w:t>本项目有限空间管理符合《工贸企业有限空间作业安全管理与监督暂行规定》（原国家安全监管总局令第59号公布，第80号修正）、《工贸企业有限空间作业条件确认工作的通知》（原安监总厅管四〔2014〕37号）、《云南省安全生产监督管理局关于进一步加强工贸行业有限空间作业安全生产工作的通知》（云安监管函〔2016〕85号）、《云南省安全生产监督管理局关于印发深化开展工贸行业有限空间作业生产安全事故隐患排查治理暨有限空间作业条件确认安全监管执法2018-2020年专项行动工作方案的通知》（云安监管〔2018〕7号）、《工贸企业重大事故隐患判定标准》（中华人民共和国应急管理部令第10号）等国家标准规范的要求。</w:t>
      </w:r>
    </w:p>
    <w:p>
      <w:pPr>
        <w:pStyle w:val="5"/>
        <w:spacing w:before="156" w:after="156"/>
      </w:pPr>
      <w:bookmarkStart w:id="374" w:name="_Toc22072"/>
      <w:r>
        <w:t>其他安全设施单元</w:t>
      </w:r>
      <w:bookmarkEnd w:id="353"/>
      <w:bookmarkEnd w:id="354"/>
      <w:bookmarkEnd w:id="355"/>
      <w:bookmarkEnd w:id="374"/>
    </w:p>
    <w:p>
      <w:pPr>
        <w:pStyle w:val="19"/>
        <w:spacing w:line="560" w:lineRule="exact"/>
        <w:ind w:firstLine="560"/>
      </w:pPr>
      <w:r>
        <w:rPr>
          <w:rFonts w:hint="eastAsia"/>
        </w:rPr>
        <w:t>依据《安全色》（GB2893-2008）、《安全标志及其使用导则》（GB 2894-2008）、《固定式钢梯及平台安全要求 第1部分：钢直梯》(GB 4053.1-2009)、《固定式钢梯及平台安全要求 第2部分：钢斜梯》(GB 4053.2-2009)、《固定式钢梯及平台安全要求 第3部分：工业防护栏杆及钢平台》(GB 4053.3-2009)、《机械安全 防护装置 固定式和活动式防护装置的设计与制造一般要求》（GB/T 8196-2018）的相关要求，采用安全检查表对建设项目防护栏杆、检修平台、安全罩、围栏等防高空坠落、跌落的措施；各种安全通道、楼梯、钢梯的设置；规范化敷设及色标要求；安全色、安全告知卡等措施进行符合性评价。</w:t>
      </w:r>
    </w:p>
    <w:p>
      <w:pPr>
        <w:pStyle w:val="14"/>
        <w:spacing w:before="156" w:after="156"/>
      </w:pPr>
      <w:r>
        <w:t xml:space="preserve">表 </w:t>
      </w:r>
      <w:r>
        <w:fldChar w:fldCharType="begin"/>
      </w:r>
      <w:r>
        <w:instrText xml:space="preserve"> STYLEREF 1 \s </w:instrText>
      </w:r>
      <w:r>
        <w:fldChar w:fldCharType="separate"/>
      </w:r>
      <w:r>
        <w:t>5</w:t>
      </w:r>
      <w:r>
        <w:fldChar w:fldCharType="end"/>
      </w:r>
      <w:r>
        <w:rPr>
          <w:rFonts w:hint="eastAsia"/>
        </w:rPr>
        <w:t>.10-1其他安全设施单元符合性检查表</w:t>
      </w:r>
    </w:p>
    <w:tbl>
      <w:tblPr>
        <w:tblStyle w:val="29"/>
        <w:tblW w:w="4998"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633"/>
        <w:gridCol w:w="4093"/>
        <w:gridCol w:w="1791"/>
        <w:gridCol w:w="1366"/>
        <w:gridCol w:w="63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372" w:type="pct"/>
            <w:tcBorders>
              <w:tl2br w:val="nil"/>
              <w:tr2bl w:val="nil"/>
            </w:tcBorders>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序号</w:t>
            </w:r>
          </w:p>
        </w:tc>
        <w:tc>
          <w:tcPr>
            <w:tcW w:w="2401" w:type="pct"/>
            <w:tcBorders>
              <w:tl2br w:val="nil"/>
              <w:tr2bl w:val="nil"/>
            </w:tcBorders>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检查内容</w:t>
            </w:r>
          </w:p>
        </w:tc>
        <w:tc>
          <w:tcPr>
            <w:tcW w:w="1050" w:type="pct"/>
            <w:tcBorders>
              <w:tl2br w:val="nil"/>
              <w:tr2bl w:val="nil"/>
            </w:tcBorders>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依据标准</w:t>
            </w:r>
          </w:p>
        </w:tc>
        <w:tc>
          <w:tcPr>
            <w:tcW w:w="801" w:type="pct"/>
            <w:tcBorders>
              <w:tl2br w:val="nil"/>
              <w:tr2bl w:val="nil"/>
            </w:tcBorders>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检查情况</w:t>
            </w:r>
          </w:p>
        </w:tc>
        <w:tc>
          <w:tcPr>
            <w:tcW w:w="373" w:type="pct"/>
            <w:tcBorders>
              <w:tl2br w:val="nil"/>
              <w:tr2bl w:val="nil"/>
            </w:tcBorders>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结论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2" w:type="pct"/>
            <w:tcBorders>
              <w:tl2br w:val="nil"/>
              <w:tr2bl w:val="nil"/>
            </w:tcBorders>
            <w:vAlign w:val="center"/>
          </w:tcPr>
          <w:p>
            <w:pPr>
              <w:numPr>
                <w:ilvl w:val="0"/>
                <w:numId w:val="82"/>
              </w:numPr>
              <w:spacing w:line="240" w:lineRule="auto"/>
              <w:ind w:firstLine="0" w:firstLineChars="0"/>
              <w:jc w:val="center"/>
              <w:rPr>
                <w:rFonts w:ascii="宋体" w:hAnsi="宋体" w:cs="宋体"/>
                <w:b/>
                <w:bCs/>
                <w:sz w:val="21"/>
                <w:szCs w:val="21"/>
              </w:rPr>
            </w:pPr>
          </w:p>
        </w:tc>
        <w:tc>
          <w:tcPr>
            <w:tcW w:w="2401"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厂内设置的安全标识应符合标准《安全色》GB2893-2008和《安全标志及其使用导则》GB2894-2008的相关要求。</w:t>
            </w:r>
          </w:p>
        </w:tc>
        <w:tc>
          <w:tcPr>
            <w:tcW w:w="1050" w:type="pct"/>
            <w:tcBorders>
              <w:tl2br w:val="nil"/>
              <w:tr2bl w:val="nil"/>
            </w:tcBorders>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《安全色》（GB2893-2008）《安全标志及其使用导则》（GB2894-2008）</w:t>
            </w:r>
          </w:p>
        </w:tc>
        <w:tc>
          <w:tcPr>
            <w:tcW w:w="801"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警示标志及安全色设置符合要求。</w:t>
            </w:r>
          </w:p>
        </w:tc>
        <w:tc>
          <w:tcPr>
            <w:tcW w:w="373" w:type="pct"/>
            <w:tcBorders>
              <w:tl2br w:val="nil"/>
              <w:tr2bl w:val="nil"/>
            </w:tcBorders>
            <w:vAlign w:val="center"/>
          </w:tcPr>
          <w:p>
            <w:pPr>
              <w:ind w:firstLine="0" w:firstLineChars="0"/>
              <w:jc w:val="center"/>
              <w:rPr>
                <w:rFonts w:cs="Times New Roman"/>
                <w:sz w:val="20"/>
                <w:szCs w:val="20"/>
              </w:rPr>
            </w:pPr>
            <w:r>
              <w:rPr>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2" w:type="pct"/>
            <w:tcBorders>
              <w:tl2br w:val="nil"/>
              <w:tr2bl w:val="nil"/>
            </w:tcBorders>
            <w:vAlign w:val="center"/>
          </w:tcPr>
          <w:p>
            <w:pPr>
              <w:numPr>
                <w:ilvl w:val="0"/>
                <w:numId w:val="82"/>
              </w:numPr>
              <w:spacing w:line="240" w:lineRule="auto"/>
              <w:ind w:firstLine="0" w:firstLineChars="0"/>
              <w:jc w:val="center"/>
              <w:rPr>
                <w:rFonts w:ascii="宋体" w:hAnsi="宋体" w:cs="宋体"/>
                <w:b/>
                <w:bCs/>
                <w:sz w:val="21"/>
                <w:szCs w:val="21"/>
              </w:rPr>
            </w:pPr>
          </w:p>
        </w:tc>
        <w:tc>
          <w:tcPr>
            <w:tcW w:w="2401"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制造安装工艺应确保梯子及其所有部件的表面光滑、无锐边、尖角、毛刺或其他可能对梯子使用者造成伤害或妨碍其通过的外部缺陷。</w:t>
            </w:r>
          </w:p>
        </w:tc>
        <w:tc>
          <w:tcPr>
            <w:tcW w:w="1050" w:type="pct"/>
            <w:tcBorders>
              <w:tl2br w:val="nil"/>
              <w:tr2bl w:val="nil"/>
            </w:tcBorders>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《固定式钢梯及平台安全要求第2部分：钢斜梯》（GB 4053.2-2009）4.4.2</w:t>
            </w:r>
          </w:p>
        </w:tc>
        <w:tc>
          <w:tcPr>
            <w:tcW w:w="801"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钢楼梯采用焊接，现场查看时未发现明显缺陷。</w:t>
            </w:r>
          </w:p>
        </w:tc>
        <w:tc>
          <w:tcPr>
            <w:tcW w:w="373" w:type="pct"/>
            <w:tcBorders>
              <w:tl2br w:val="nil"/>
              <w:tr2bl w:val="nil"/>
            </w:tcBorders>
            <w:vAlign w:val="center"/>
          </w:tcPr>
          <w:p>
            <w:pPr>
              <w:ind w:firstLine="0" w:firstLineChars="0"/>
              <w:jc w:val="center"/>
              <w:rPr>
                <w:rFonts w:cs="Times New Roman"/>
                <w:sz w:val="20"/>
                <w:szCs w:val="20"/>
              </w:rPr>
            </w:pPr>
            <w:r>
              <w:rPr>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2" w:type="pct"/>
            <w:tcBorders>
              <w:tl2br w:val="nil"/>
              <w:tr2bl w:val="nil"/>
            </w:tcBorders>
            <w:vAlign w:val="center"/>
          </w:tcPr>
          <w:p>
            <w:pPr>
              <w:numPr>
                <w:ilvl w:val="0"/>
                <w:numId w:val="82"/>
              </w:numPr>
              <w:spacing w:line="240" w:lineRule="auto"/>
              <w:ind w:firstLine="0" w:firstLineChars="0"/>
              <w:jc w:val="center"/>
              <w:rPr>
                <w:rFonts w:ascii="宋体" w:hAnsi="宋体" w:cs="宋体"/>
                <w:b/>
                <w:bCs/>
                <w:sz w:val="21"/>
                <w:szCs w:val="21"/>
              </w:rPr>
            </w:pPr>
          </w:p>
        </w:tc>
        <w:tc>
          <w:tcPr>
            <w:tcW w:w="2401"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梯高宜不大于5m，大于5m时，宜设梯间平台（休息平台），分段设梯。</w:t>
            </w:r>
          </w:p>
        </w:tc>
        <w:tc>
          <w:tcPr>
            <w:tcW w:w="1050" w:type="pct"/>
            <w:tcBorders>
              <w:tl2br w:val="nil"/>
              <w:tr2bl w:val="nil"/>
            </w:tcBorders>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《固定式钢梯及平台安全要求第2部分：钢斜</w:t>
            </w:r>
            <w:r>
              <w:rPr>
                <w:rFonts w:hint="eastAsia" w:ascii="宋体" w:hAnsi="宋体" w:cs="宋体"/>
                <w:sz w:val="21"/>
                <w:szCs w:val="21"/>
                <w:lang w:eastAsia="zh-CN"/>
              </w:rPr>
              <w:t>》</w:t>
            </w:r>
            <w:r>
              <w:rPr>
                <w:rFonts w:hint="eastAsia" w:ascii="宋体" w:hAnsi="宋体" w:cs="宋体"/>
                <w:sz w:val="21"/>
                <w:szCs w:val="21"/>
              </w:rPr>
              <w:t>（GB 4053.2-2009）5.1.1</w:t>
            </w:r>
          </w:p>
        </w:tc>
        <w:tc>
          <w:tcPr>
            <w:tcW w:w="801"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楼梯有相应设施。</w:t>
            </w:r>
          </w:p>
        </w:tc>
        <w:tc>
          <w:tcPr>
            <w:tcW w:w="373" w:type="pct"/>
            <w:tcBorders>
              <w:tl2br w:val="nil"/>
              <w:tr2bl w:val="nil"/>
            </w:tcBorders>
            <w:vAlign w:val="center"/>
          </w:tcPr>
          <w:p>
            <w:pPr>
              <w:ind w:firstLine="0" w:firstLineChars="0"/>
              <w:jc w:val="center"/>
              <w:rPr>
                <w:rFonts w:cs="Times New Roman"/>
                <w:sz w:val="20"/>
                <w:szCs w:val="20"/>
              </w:rPr>
            </w:pPr>
            <w:r>
              <w:rPr>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2" w:type="pct"/>
            <w:tcBorders>
              <w:tl2br w:val="nil"/>
              <w:tr2bl w:val="nil"/>
            </w:tcBorders>
            <w:vAlign w:val="center"/>
          </w:tcPr>
          <w:p>
            <w:pPr>
              <w:numPr>
                <w:ilvl w:val="0"/>
                <w:numId w:val="82"/>
              </w:numPr>
              <w:spacing w:line="240" w:lineRule="auto"/>
              <w:ind w:firstLine="0" w:firstLineChars="0"/>
              <w:jc w:val="center"/>
              <w:rPr>
                <w:rFonts w:ascii="宋体" w:hAnsi="宋体" w:cs="宋体"/>
                <w:b/>
                <w:bCs/>
                <w:sz w:val="21"/>
                <w:szCs w:val="21"/>
              </w:rPr>
            </w:pPr>
          </w:p>
        </w:tc>
        <w:tc>
          <w:tcPr>
            <w:tcW w:w="2401"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单梯段的梯高不应大于6m，阶梯数不宜大于16。</w:t>
            </w:r>
          </w:p>
        </w:tc>
        <w:tc>
          <w:tcPr>
            <w:tcW w:w="1050" w:type="pct"/>
            <w:tcBorders>
              <w:tl2br w:val="nil"/>
              <w:tr2bl w:val="nil"/>
            </w:tcBorders>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《固定式钢梯及平台安全要求第2部分：钢斜梯》（GB 4053.2-2009）5.1.2</w:t>
            </w:r>
          </w:p>
        </w:tc>
        <w:tc>
          <w:tcPr>
            <w:tcW w:w="801"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楼梯设置符合相关要求。</w:t>
            </w:r>
          </w:p>
        </w:tc>
        <w:tc>
          <w:tcPr>
            <w:tcW w:w="373" w:type="pct"/>
            <w:tcBorders>
              <w:tl2br w:val="nil"/>
              <w:tr2bl w:val="nil"/>
            </w:tcBorders>
            <w:vAlign w:val="center"/>
          </w:tcPr>
          <w:p>
            <w:pPr>
              <w:ind w:firstLine="0" w:firstLineChars="0"/>
              <w:jc w:val="center"/>
              <w:rPr>
                <w:rFonts w:cs="Times New Roman"/>
                <w:sz w:val="20"/>
                <w:szCs w:val="20"/>
              </w:rPr>
            </w:pPr>
            <w:r>
              <w:rPr>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2" w:type="pct"/>
            <w:tcBorders>
              <w:tl2br w:val="nil"/>
              <w:tr2bl w:val="nil"/>
            </w:tcBorders>
            <w:vAlign w:val="center"/>
          </w:tcPr>
          <w:p>
            <w:pPr>
              <w:numPr>
                <w:ilvl w:val="0"/>
                <w:numId w:val="82"/>
              </w:numPr>
              <w:spacing w:line="240" w:lineRule="auto"/>
              <w:ind w:firstLine="0" w:firstLineChars="0"/>
              <w:jc w:val="center"/>
              <w:rPr>
                <w:rFonts w:ascii="宋体" w:hAnsi="宋体" w:cs="宋体"/>
                <w:b/>
                <w:bCs/>
                <w:sz w:val="21"/>
                <w:szCs w:val="21"/>
              </w:rPr>
            </w:pPr>
          </w:p>
        </w:tc>
        <w:tc>
          <w:tcPr>
            <w:tcW w:w="2401"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踏板前后深度不小于80mm，相邻踏板前后方向重叠不应小于10mm，不大于35mm。</w:t>
            </w:r>
          </w:p>
        </w:tc>
        <w:tc>
          <w:tcPr>
            <w:tcW w:w="1050" w:type="pct"/>
            <w:tcBorders>
              <w:tl2br w:val="nil"/>
              <w:tr2bl w:val="nil"/>
            </w:tcBorders>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《固定式钢梯及平台安全要求第2部分：钢斜梯》（GB 4053.2-2009）5.3.1</w:t>
            </w:r>
          </w:p>
        </w:tc>
        <w:tc>
          <w:tcPr>
            <w:tcW w:w="801"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厂内楼梯踏板设置符合相应要求。</w:t>
            </w:r>
          </w:p>
        </w:tc>
        <w:tc>
          <w:tcPr>
            <w:tcW w:w="373" w:type="pct"/>
            <w:tcBorders>
              <w:tl2br w:val="nil"/>
              <w:tr2bl w:val="nil"/>
            </w:tcBorders>
            <w:vAlign w:val="center"/>
          </w:tcPr>
          <w:p>
            <w:pPr>
              <w:ind w:firstLine="0" w:firstLineChars="0"/>
              <w:jc w:val="center"/>
              <w:rPr>
                <w:rFonts w:cs="Times New Roman"/>
                <w:sz w:val="20"/>
                <w:szCs w:val="20"/>
              </w:rPr>
            </w:pPr>
            <w:r>
              <w:rPr>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2" w:type="pct"/>
            <w:tcBorders>
              <w:tl2br w:val="nil"/>
              <w:tr2bl w:val="nil"/>
            </w:tcBorders>
            <w:vAlign w:val="center"/>
          </w:tcPr>
          <w:p>
            <w:pPr>
              <w:numPr>
                <w:ilvl w:val="0"/>
                <w:numId w:val="82"/>
              </w:numPr>
              <w:spacing w:line="240" w:lineRule="auto"/>
              <w:ind w:firstLine="0" w:firstLineChars="0"/>
              <w:jc w:val="center"/>
              <w:rPr>
                <w:rFonts w:ascii="宋体" w:hAnsi="宋体" w:cs="宋体"/>
                <w:b/>
                <w:bCs/>
                <w:sz w:val="21"/>
                <w:szCs w:val="21"/>
              </w:rPr>
            </w:pPr>
          </w:p>
        </w:tc>
        <w:tc>
          <w:tcPr>
            <w:tcW w:w="2401"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梯宽不大于1100mm的两边敞开的斜梯，应在两边均安装扶手。</w:t>
            </w:r>
          </w:p>
        </w:tc>
        <w:tc>
          <w:tcPr>
            <w:tcW w:w="1050" w:type="pct"/>
            <w:tcBorders>
              <w:tl2br w:val="nil"/>
              <w:tr2bl w:val="nil"/>
            </w:tcBorders>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《固定式钢梯及平台安全要求第2部分：钢斜梯》（GB 4053.2-2009）5.6.3</w:t>
            </w:r>
          </w:p>
        </w:tc>
        <w:tc>
          <w:tcPr>
            <w:tcW w:w="801"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楼梯两侧安装有扶手。</w:t>
            </w:r>
          </w:p>
        </w:tc>
        <w:tc>
          <w:tcPr>
            <w:tcW w:w="373" w:type="pct"/>
            <w:tcBorders>
              <w:tl2br w:val="nil"/>
              <w:tr2bl w:val="nil"/>
            </w:tcBorders>
            <w:vAlign w:val="center"/>
          </w:tcPr>
          <w:p>
            <w:pPr>
              <w:ind w:firstLine="0" w:firstLineChars="0"/>
              <w:jc w:val="center"/>
              <w:rPr>
                <w:rFonts w:cs="Times New Roman"/>
                <w:sz w:val="20"/>
                <w:szCs w:val="20"/>
              </w:rPr>
            </w:pPr>
            <w:r>
              <w:rPr>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2" w:type="pct"/>
            <w:tcBorders>
              <w:tl2br w:val="nil"/>
              <w:tr2bl w:val="nil"/>
            </w:tcBorders>
            <w:vAlign w:val="center"/>
          </w:tcPr>
          <w:p>
            <w:pPr>
              <w:numPr>
                <w:ilvl w:val="0"/>
                <w:numId w:val="82"/>
              </w:numPr>
              <w:spacing w:line="240" w:lineRule="auto"/>
              <w:ind w:firstLine="0" w:firstLineChars="0"/>
              <w:jc w:val="center"/>
              <w:rPr>
                <w:rFonts w:ascii="宋体" w:hAnsi="宋体" w:cs="宋体"/>
                <w:b/>
                <w:bCs/>
                <w:sz w:val="21"/>
                <w:szCs w:val="21"/>
              </w:rPr>
            </w:pPr>
          </w:p>
        </w:tc>
        <w:tc>
          <w:tcPr>
            <w:tcW w:w="2401"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钢斜梯与附在设备上的平台梁相连接时，连接处应采用开长圆孔的螺栓连接。</w:t>
            </w:r>
          </w:p>
        </w:tc>
        <w:tc>
          <w:tcPr>
            <w:tcW w:w="1050" w:type="pct"/>
            <w:tcBorders>
              <w:tl2br w:val="nil"/>
              <w:tr2bl w:val="nil"/>
            </w:tcBorders>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《固定式钢梯及平台安全要求第2部分：钢斜梯》（GB 4053.2-2009）4.4.3</w:t>
            </w:r>
          </w:p>
        </w:tc>
        <w:tc>
          <w:tcPr>
            <w:tcW w:w="801"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钢斜梯与附在设备上的平台梁连接采用开长圆孔的螺栓连接。</w:t>
            </w:r>
          </w:p>
        </w:tc>
        <w:tc>
          <w:tcPr>
            <w:tcW w:w="373" w:type="pct"/>
            <w:tcBorders>
              <w:tl2br w:val="nil"/>
              <w:tr2bl w:val="nil"/>
            </w:tcBorders>
            <w:vAlign w:val="center"/>
          </w:tcPr>
          <w:p>
            <w:pPr>
              <w:ind w:firstLine="0" w:firstLineChars="0"/>
              <w:jc w:val="center"/>
              <w:rPr>
                <w:rFonts w:cs="Times New Roman"/>
                <w:sz w:val="20"/>
                <w:szCs w:val="20"/>
              </w:rPr>
            </w:pPr>
            <w:r>
              <w:rPr>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2" w:type="pct"/>
            <w:tcBorders>
              <w:tl2br w:val="nil"/>
              <w:tr2bl w:val="nil"/>
            </w:tcBorders>
            <w:vAlign w:val="center"/>
          </w:tcPr>
          <w:p>
            <w:pPr>
              <w:numPr>
                <w:ilvl w:val="0"/>
                <w:numId w:val="82"/>
              </w:numPr>
              <w:spacing w:line="240" w:lineRule="auto"/>
              <w:ind w:firstLine="0" w:firstLineChars="0"/>
              <w:jc w:val="center"/>
              <w:rPr>
                <w:rFonts w:ascii="宋体" w:hAnsi="宋体" w:cs="宋体"/>
                <w:b/>
                <w:bCs/>
                <w:sz w:val="21"/>
                <w:szCs w:val="21"/>
              </w:rPr>
            </w:pPr>
          </w:p>
        </w:tc>
        <w:tc>
          <w:tcPr>
            <w:tcW w:w="2401"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根据钢斜梯使用场合及环境条件，应对梯子进行合适的防锈及防腐涂装。</w:t>
            </w:r>
          </w:p>
        </w:tc>
        <w:tc>
          <w:tcPr>
            <w:tcW w:w="1050" w:type="pct"/>
            <w:tcBorders>
              <w:tl2br w:val="nil"/>
              <w:tr2bl w:val="nil"/>
            </w:tcBorders>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《固定式钢梯及平台安全要求第2部分：钢斜梯》（GB 4053.2-2009）4.5.2</w:t>
            </w:r>
          </w:p>
        </w:tc>
        <w:tc>
          <w:tcPr>
            <w:tcW w:w="801"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对梯子进行了防腐处理。</w:t>
            </w:r>
          </w:p>
        </w:tc>
        <w:tc>
          <w:tcPr>
            <w:tcW w:w="373" w:type="pct"/>
            <w:tcBorders>
              <w:tl2br w:val="nil"/>
              <w:tr2bl w:val="nil"/>
            </w:tcBorders>
            <w:vAlign w:val="center"/>
          </w:tcPr>
          <w:p>
            <w:pPr>
              <w:ind w:firstLine="0" w:firstLineChars="0"/>
              <w:jc w:val="center"/>
              <w:rPr>
                <w:rFonts w:cs="Times New Roman"/>
                <w:sz w:val="20"/>
                <w:szCs w:val="20"/>
              </w:rPr>
            </w:pPr>
            <w:r>
              <w:rPr>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2" w:type="pct"/>
            <w:tcBorders>
              <w:tl2br w:val="nil"/>
              <w:tr2bl w:val="nil"/>
            </w:tcBorders>
            <w:vAlign w:val="center"/>
          </w:tcPr>
          <w:p>
            <w:pPr>
              <w:numPr>
                <w:ilvl w:val="0"/>
                <w:numId w:val="82"/>
              </w:numPr>
              <w:spacing w:line="240" w:lineRule="auto"/>
              <w:ind w:firstLine="0" w:firstLineChars="0"/>
              <w:jc w:val="center"/>
              <w:rPr>
                <w:rFonts w:ascii="宋体" w:hAnsi="宋体" w:cs="宋体"/>
                <w:b/>
                <w:bCs/>
                <w:sz w:val="21"/>
                <w:szCs w:val="21"/>
              </w:rPr>
            </w:pPr>
          </w:p>
        </w:tc>
        <w:tc>
          <w:tcPr>
            <w:tcW w:w="2401"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支撑应采用角钢、钢板或钢板组焊成T型钢制作，埋设或焊接时必须牢固可靠。</w:t>
            </w:r>
          </w:p>
        </w:tc>
        <w:tc>
          <w:tcPr>
            <w:tcW w:w="1050" w:type="pct"/>
            <w:tcBorders>
              <w:tl2br w:val="nil"/>
              <w:tr2bl w:val="nil"/>
            </w:tcBorders>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《固定式钢梯及平台安全要求第1部分：钢直梯》（GB 4053.1-2009）4.1.2</w:t>
            </w:r>
          </w:p>
        </w:tc>
        <w:tc>
          <w:tcPr>
            <w:tcW w:w="801"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上述部位焊接牢固可靠。</w:t>
            </w:r>
          </w:p>
        </w:tc>
        <w:tc>
          <w:tcPr>
            <w:tcW w:w="373" w:type="pct"/>
            <w:tcBorders>
              <w:tl2br w:val="nil"/>
              <w:tr2bl w:val="nil"/>
            </w:tcBorders>
            <w:vAlign w:val="center"/>
          </w:tcPr>
          <w:p>
            <w:pPr>
              <w:ind w:firstLine="0" w:firstLineChars="0"/>
              <w:jc w:val="center"/>
              <w:rPr>
                <w:rFonts w:cs="Times New Roman"/>
                <w:sz w:val="20"/>
                <w:szCs w:val="20"/>
              </w:rPr>
            </w:pPr>
            <w:r>
              <w:rPr>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2" w:type="pct"/>
            <w:tcBorders>
              <w:tl2br w:val="nil"/>
              <w:tr2bl w:val="nil"/>
            </w:tcBorders>
            <w:vAlign w:val="center"/>
          </w:tcPr>
          <w:p>
            <w:pPr>
              <w:numPr>
                <w:ilvl w:val="0"/>
                <w:numId w:val="82"/>
              </w:numPr>
              <w:spacing w:line="240" w:lineRule="auto"/>
              <w:ind w:firstLine="0" w:firstLineChars="0"/>
              <w:jc w:val="center"/>
              <w:rPr>
                <w:rFonts w:ascii="宋体" w:hAnsi="宋体" w:cs="宋体"/>
                <w:b/>
                <w:bCs/>
                <w:sz w:val="21"/>
                <w:szCs w:val="21"/>
              </w:rPr>
            </w:pPr>
          </w:p>
        </w:tc>
        <w:tc>
          <w:tcPr>
            <w:tcW w:w="2401"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钢直梯应采用焊接连接，焊接要求应符合GB50205的规定。采用其他方式连接时，连接强度应不低于焊接。安装后的梯子不应有歪斜、扭曲、变形及其他缺陷。</w:t>
            </w:r>
          </w:p>
        </w:tc>
        <w:tc>
          <w:tcPr>
            <w:tcW w:w="1050" w:type="pct"/>
            <w:tcBorders>
              <w:tl2br w:val="nil"/>
              <w:tr2bl w:val="nil"/>
            </w:tcBorders>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《固定式钢梯及平台安全要求第1部分：钢直梯》（GB 4053.1-2009）4.4.1</w:t>
            </w:r>
          </w:p>
        </w:tc>
        <w:tc>
          <w:tcPr>
            <w:tcW w:w="801"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现场检查时未发现梯子歪斜、扭曲、变形及其他缺陷。</w:t>
            </w:r>
          </w:p>
        </w:tc>
        <w:tc>
          <w:tcPr>
            <w:tcW w:w="373" w:type="pct"/>
            <w:tcBorders>
              <w:tl2br w:val="nil"/>
              <w:tr2bl w:val="nil"/>
            </w:tcBorders>
            <w:vAlign w:val="center"/>
          </w:tcPr>
          <w:p>
            <w:pPr>
              <w:ind w:firstLine="0" w:firstLineChars="0"/>
              <w:jc w:val="center"/>
              <w:rPr>
                <w:rFonts w:cs="Times New Roman"/>
                <w:sz w:val="20"/>
                <w:szCs w:val="20"/>
              </w:rPr>
            </w:pPr>
            <w:r>
              <w:rPr>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2" w:type="pct"/>
            <w:tcBorders>
              <w:tl2br w:val="nil"/>
              <w:tr2bl w:val="nil"/>
            </w:tcBorders>
            <w:vAlign w:val="center"/>
          </w:tcPr>
          <w:p>
            <w:pPr>
              <w:numPr>
                <w:ilvl w:val="0"/>
                <w:numId w:val="82"/>
              </w:numPr>
              <w:spacing w:line="240" w:lineRule="auto"/>
              <w:ind w:firstLine="0" w:firstLineChars="0"/>
              <w:jc w:val="center"/>
              <w:rPr>
                <w:rFonts w:ascii="宋体" w:hAnsi="宋体" w:cs="宋体"/>
                <w:b/>
                <w:bCs/>
                <w:sz w:val="21"/>
                <w:szCs w:val="21"/>
              </w:rPr>
            </w:pPr>
          </w:p>
        </w:tc>
        <w:tc>
          <w:tcPr>
            <w:tcW w:w="2401"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根据钢直梯使用场合及环境条件，应对梯子进行合适的防锈及防腐涂装。</w:t>
            </w:r>
          </w:p>
        </w:tc>
        <w:tc>
          <w:tcPr>
            <w:tcW w:w="1050" w:type="pct"/>
            <w:tcBorders>
              <w:tl2br w:val="nil"/>
              <w:tr2bl w:val="nil"/>
            </w:tcBorders>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《固定式钢梯及平台安全要求第1部分：钢直梯》（GB 4053.1-2009）4.5.2</w:t>
            </w:r>
          </w:p>
        </w:tc>
        <w:tc>
          <w:tcPr>
            <w:tcW w:w="801"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梯子进行了防腐处理。</w:t>
            </w:r>
          </w:p>
        </w:tc>
        <w:tc>
          <w:tcPr>
            <w:tcW w:w="373" w:type="pct"/>
            <w:tcBorders>
              <w:tl2br w:val="nil"/>
              <w:tr2bl w:val="nil"/>
            </w:tcBorders>
            <w:vAlign w:val="center"/>
          </w:tcPr>
          <w:p>
            <w:pPr>
              <w:ind w:firstLine="0" w:firstLineChars="0"/>
              <w:jc w:val="center"/>
              <w:rPr>
                <w:rFonts w:cs="Times New Roman"/>
                <w:sz w:val="20"/>
                <w:szCs w:val="20"/>
              </w:rPr>
            </w:pPr>
            <w:r>
              <w:rPr>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2" w:type="pct"/>
            <w:tcBorders>
              <w:tl2br w:val="nil"/>
              <w:tr2bl w:val="nil"/>
            </w:tcBorders>
            <w:vAlign w:val="center"/>
          </w:tcPr>
          <w:p>
            <w:pPr>
              <w:numPr>
                <w:ilvl w:val="0"/>
                <w:numId w:val="82"/>
              </w:numPr>
              <w:spacing w:line="240" w:lineRule="auto"/>
              <w:ind w:firstLine="0" w:firstLineChars="0"/>
              <w:jc w:val="center"/>
              <w:rPr>
                <w:rFonts w:ascii="宋体" w:hAnsi="宋体" w:cs="宋体"/>
                <w:b/>
                <w:bCs/>
                <w:sz w:val="21"/>
                <w:szCs w:val="21"/>
              </w:rPr>
            </w:pPr>
          </w:p>
        </w:tc>
        <w:tc>
          <w:tcPr>
            <w:tcW w:w="2401"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由踏棍中心线到梯子后侧建筑物、结构或设备的连续性表面垂直距离应不小于180mm。对非连续性障碍物，垂直距离应不小于150mm。</w:t>
            </w:r>
          </w:p>
        </w:tc>
        <w:tc>
          <w:tcPr>
            <w:tcW w:w="1050" w:type="pct"/>
            <w:tcBorders>
              <w:tl2br w:val="nil"/>
              <w:tr2bl w:val="nil"/>
            </w:tcBorders>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《固定式钢梯及平台安全要求第1部分：钢直梯》（GB 4053.1-2009）5.2.2</w:t>
            </w:r>
          </w:p>
        </w:tc>
        <w:tc>
          <w:tcPr>
            <w:tcW w:w="801"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梯子的设置符合相关要求。</w:t>
            </w:r>
          </w:p>
        </w:tc>
        <w:tc>
          <w:tcPr>
            <w:tcW w:w="373" w:type="pct"/>
            <w:tcBorders>
              <w:tl2br w:val="nil"/>
              <w:tr2bl w:val="nil"/>
            </w:tcBorders>
            <w:vAlign w:val="center"/>
          </w:tcPr>
          <w:p>
            <w:pPr>
              <w:ind w:firstLine="0" w:firstLineChars="0"/>
              <w:jc w:val="center"/>
              <w:rPr>
                <w:rFonts w:cs="Times New Roman"/>
                <w:sz w:val="20"/>
                <w:szCs w:val="20"/>
              </w:rPr>
            </w:pPr>
            <w:r>
              <w:rPr>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2" w:type="pct"/>
            <w:tcBorders>
              <w:tl2br w:val="nil"/>
              <w:tr2bl w:val="nil"/>
            </w:tcBorders>
            <w:vAlign w:val="center"/>
          </w:tcPr>
          <w:p>
            <w:pPr>
              <w:numPr>
                <w:ilvl w:val="0"/>
                <w:numId w:val="82"/>
              </w:numPr>
              <w:spacing w:line="240" w:lineRule="auto"/>
              <w:ind w:firstLine="0" w:firstLineChars="0"/>
              <w:jc w:val="center"/>
              <w:rPr>
                <w:rFonts w:ascii="宋体" w:hAnsi="宋体" w:cs="宋体"/>
                <w:b/>
                <w:bCs/>
                <w:sz w:val="21"/>
                <w:szCs w:val="21"/>
              </w:rPr>
            </w:pPr>
          </w:p>
        </w:tc>
        <w:tc>
          <w:tcPr>
            <w:tcW w:w="2401"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单段梯高宜不大于10ｍ，攀登高度大于10m时宜采用多段梯，梯段水平交错布置，并设梯间平台，平台的垂直间距宜为６m。单段梯及多段梯的梯高均应不大于15m。</w:t>
            </w:r>
          </w:p>
        </w:tc>
        <w:tc>
          <w:tcPr>
            <w:tcW w:w="1050" w:type="pct"/>
            <w:tcBorders>
              <w:tl2br w:val="nil"/>
              <w:tr2bl w:val="nil"/>
            </w:tcBorders>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《固定式钢梯及平台安全要求第1部分：钢直梯》（GB 4053.1-2009）5.3.1</w:t>
            </w:r>
          </w:p>
        </w:tc>
        <w:tc>
          <w:tcPr>
            <w:tcW w:w="801"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梯子的设置符合相关要求。</w:t>
            </w:r>
          </w:p>
        </w:tc>
        <w:tc>
          <w:tcPr>
            <w:tcW w:w="373" w:type="pct"/>
            <w:tcBorders>
              <w:tl2br w:val="nil"/>
              <w:tr2bl w:val="nil"/>
            </w:tcBorders>
            <w:vAlign w:val="center"/>
          </w:tcPr>
          <w:p>
            <w:pPr>
              <w:ind w:firstLine="0" w:firstLineChars="0"/>
              <w:jc w:val="center"/>
              <w:rPr>
                <w:rFonts w:cs="Times New Roman"/>
                <w:sz w:val="20"/>
                <w:szCs w:val="20"/>
              </w:rPr>
            </w:pPr>
            <w:r>
              <w:rPr>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2" w:type="pct"/>
            <w:tcBorders>
              <w:tl2br w:val="nil"/>
              <w:tr2bl w:val="nil"/>
            </w:tcBorders>
            <w:vAlign w:val="center"/>
          </w:tcPr>
          <w:p>
            <w:pPr>
              <w:numPr>
                <w:ilvl w:val="0"/>
                <w:numId w:val="82"/>
              </w:numPr>
              <w:spacing w:line="240" w:lineRule="auto"/>
              <w:ind w:firstLine="0" w:firstLineChars="0"/>
              <w:jc w:val="center"/>
              <w:rPr>
                <w:rFonts w:ascii="宋体" w:hAnsi="宋体" w:cs="宋体"/>
                <w:b/>
                <w:bCs/>
                <w:sz w:val="21"/>
                <w:szCs w:val="21"/>
              </w:rPr>
            </w:pPr>
          </w:p>
        </w:tc>
        <w:tc>
          <w:tcPr>
            <w:tcW w:w="2401"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梯子的整个攀登高度上所有的踏棍垂直间距应相等，相邻踏棍垂直间距应为225mm～300mm，梯子下端的第一级踏棍距基准面距离应不大于450mm。</w:t>
            </w:r>
          </w:p>
        </w:tc>
        <w:tc>
          <w:tcPr>
            <w:tcW w:w="1050" w:type="pct"/>
            <w:tcBorders>
              <w:tl2br w:val="nil"/>
              <w:tr2bl w:val="nil"/>
            </w:tcBorders>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《固定式钢梯及平台安全要求第1部分：钢直梯》（GB 4053.1-2009）5.5.1</w:t>
            </w:r>
          </w:p>
        </w:tc>
        <w:tc>
          <w:tcPr>
            <w:tcW w:w="801"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梯子的设置符合相关要求。</w:t>
            </w:r>
          </w:p>
        </w:tc>
        <w:tc>
          <w:tcPr>
            <w:tcW w:w="373" w:type="pct"/>
            <w:tcBorders>
              <w:tl2br w:val="nil"/>
              <w:tr2bl w:val="nil"/>
            </w:tcBorders>
            <w:vAlign w:val="center"/>
          </w:tcPr>
          <w:p>
            <w:pPr>
              <w:ind w:firstLine="0" w:firstLineChars="0"/>
              <w:jc w:val="center"/>
              <w:rPr>
                <w:rFonts w:cs="Times New Roman"/>
                <w:sz w:val="20"/>
                <w:szCs w:val="20"/>
              </w:rPr>
            </w:pPr>
            <w:r>
              <w:rPr>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2" w:type="pct"/>
            <w:tcBorders>
              <w:tl2br w:val="nil"/>
              <w:tr2bl w:val="nil"/>
            </w:tcBorders>
            <w:vAlign w:val="center"/>
          </w:tcPr>
          <w:p>
            <w:pPr>
              <w:numPr>
                <w:ilvl w:val="0"/>
                <w:numId w:val="82"/>
              </w:numPr>
              <w:spacing w:line="240" w:lineRule="auto"/>
              <w:ind w:firstLine="0" w:firstLineChars="0"/>
              <w:jc w:val="center"/>
              <w:rPr>
                <w:rFonts w:ascii="宋体" w:hAnsi="宋体" w:cs="宋体"/>
                <w:b/>
                <w:bCs/>
                <w:sz w:val="21"/>
                <w:szCs w:val="21"/>
              </w:rPr>
            </w:pPr>
          </w:p>
        </w:tc>
        <w:tc>
          <w:tcPr>
            <w:tcW w:w="2401"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距下方相邻地板或地面1.2m及以上的平台、通道或工作面的所有敞开边缘应设置防护栏杆。</w:t>
            </w:r>
          </w:p>
        </w:tc>
        <w:tc>
          <w:tcPr>
            <w:tcW w:w="1050" w:type="pct"/>
            <w:tcBorders>
              <w:tl2br w:val="nil"/>
              <w:tr2bl w:val="nil"/>
            </w:tcBorders>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《固定式钢梯及平台安全要求 第3部分：工业防护栏杆及钢平台》（GB 4053.3-2009）4.1.1</w:t>
            </w:r>
          </w:p>
        </w:tc>
        <w:tc>
          <w:tcPr>
            <w:tcW w:w="801"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高处平台及通道设置有防护栏。</w:t>
            </w:r>
          </w:p>
        </w:tc>
        <w:tc>
          <w:tcPr>
            <w:tcW w:w="373" w:type="pct"/>
            <w:tcBorders>
              <w:tl2br w:val="nil"/>
              <w:tr2bl w:val="nil"/>
            </w:tcBorders>
            <w:vAlign w:val="center"/>
          </w:tcPr>
          <w:p>
            <w:pPr>
              <w:ind w:firstLine="0" w:firstLineChars="0"/>
              <w:jc w:val="center"/>
              <w:rPr>
                <w:rFonts w:cs="Times New Roman"/>
                <w:sz w:val="20"/>
                <w:szCs w:val="20"/>
              </w:rPr>
            </w:pPr>
            <w:r>
              <w:rPr>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2" w:type="pct"/>
            <w:tcBorders>
              <w:tl2br w:val="nil"/>
              <w:tr2bl w:val="nil"/>
            </w:tcBorders>
            <w:vAlign w:val="center"/>
          </w:tcPr>
          <w:p>
            <w:pPr>
              <w:numPr>
                <w:ilvl w:val="0"/>
                <w:numId w:val="82"/>
              </w:numPr>
              <w:spacing w:line="240" w:lineRule="auto"/>
              <w:ind w:firstLine="0" w:firstLineChars="0"/>
              <w:jc w:val="center"/>
              <w:rPr>
                <w:rFonts w:ascii="宋体" w:hAnsi="宋体" w:cs="宋体"/>
                <w:b/>
                <w:bCs/>
                <w:sz w:val="21"/>
                <w:szCs w:val="21"/>
              </w:rPr>
            </w:pPr>
          </w:p>
        </w:tc>
        <w:tc>
          <w:tcPr>
            <w:tcW w:w="2401"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在平台、通道或工作面上可能使用工具、机器部件或物品场合，应在所有敞开边缘设置带踢脚板的防护栏杆。</w:t>
            </w:r>
          </w:p>
        </w:tc>
        <w:tc>
          <w:tcPr>
            <w:tcW w:w="1050" w:type="pct"/>
            <w:tcBorders>
              <w:tl2br w:val="nil"/>
              <w:tr2bl w:val="nil"/>
            </w:tcBorders>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《固定式钢梯及平台安全要求 第3部分：工业防护栏杆及钢平台》（GB 4053.3-2009）4.1.2</w:t>
            </w:r>
          </w:p>
        </w:tc>
        <w:tc>
          <w:tcPr>
            <w:tcW w:w="801"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在平台、通道或工作面上可能使用工具、机器部件或物品场合敞开边缘设置了带踢脚板的防护栏杆。</w:t>
            </w:r>
          </w:p>
        </w:tc>
        <w:tc>
          <w:tcPr>
            <w:tcW w:w="373" w:type="pct"/>
            <w:tcBorders>
              <w:tl2br w:val="nil"/>
              <w:tr2bl w:val="nil"/>
            </w:tcBorders>
            <w:vAlign w:val="center"/>
          </w:tcPr>
          <w:p>
            <w:pPr>
              <w:ind w:firstLine="0" w:firstLineChars="0"/>
              <w:jc w:val="center"/>
              <w:rPr>
                <w:rFonts w:cs="Times New Roman"/>
                <w:sz w:val="20"/>
                <w:szCs w:val="20"/>
              </w:rPr>
            </w:pPr>
            <w:r>
              <w:rPr>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2" w:type="pct"/>
            <w:tcBorders>
              <w:tl2br w:val="nil"/>
              <w:tr2bl w:val="nil"/>
            </w:tcBorders>
            <w:vAlign w:val="center"/>
          </w:tcPr>
          <w:p>
            <w:pPr>
              <w:numPr>
                <w:ilvl w:val="0"/>
                <w:numId w:val="82"/>
              </w:numPr>
              <w:spacing w:line="240" w:lineRule="auto"/>
              <w:ind w:firstLine="0" w:firstLineChars="0"/>
              <w:jc w:val="center"/>
              <w:rPr>
                <w:rFonts w:ascii="宋体" w:hAnsi="宋体" w:cs="宋体"/>
                <w:b/>
                <w:bCs/>
                <w:sz w:val="21"/>
                <w:szCs w:val="21"/>
              </w:rPr>
            </w:pPr>
          </w:p>
        </w:tc>
        <w:tc>
          <w:tcPr>
            <w:tcW w:w="2401"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防护栏杆及钢平台应采用焊接连接，焊接要求应符合GB 50205的规定。当不便焊接时，可用螺栓连接，但应保证设计的结构强度。安装后的防护栏杆及钢平台不应有歪斜、扭曲、变形及其它缺陷。</w:t>
            </w:r>
          </w:p>
        </w:tc>
        <w:tc>
          <w:tcPr>
            <w:tcW w:w="1050" w:type="pct"/>
            <w:tcBorders>
              <w:tl2br w:val="nil"/>
              <w:tr2bl w:val="nil"/>
            </w:tcBorders>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《固定式钢梯及平台安全要求 第3部分：工业防护栏杆及钢平台》（GB 4053.3-2009）4.5.1</w:t>
            </w:r>
          </w:p>
        </w:tc>
        <w:tc>
          <w:tcPr>
            <w:tcW w:w="801"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防护栏杆及钢平台无歪斜、扭曲、变形及其它缺陷，牢固可靠。</w:t>
            </w:r>
          </w:p>
        </w:tc>
        <w:tc>
          <w:tcPr>
            <w:tcW w:w="373" w:type="pct"/>
            <w:tcBorders>
              <w:tl2br w:val="nil"/>
              <w:tr2bl w:val="nil"/>
            </w:tcBorders>
            <w:vAlign w:val="center"/>
          </w:tcPr>
          <w:p>
            <w:pPr>
              <w:ind w:firstLine="0" w:firstLineChars="0"/>
              <w:jc w:val="center"/>
              <w:rPr>
                <w:rFonts w:cs="Times New Roman"/>
                <w:sz w:val="20"/>
                <w:szCs w:val="20"/>
              </w:rPr>
            </w:pPr>
            <w:r>
              <w:rPr>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2" w:type="pct"/>
            <w:tcBorders>
              <w:tl2br w:val="nil"/>
              <w:tr2bl w:val="nil"/>
            </w:tcBorders>
            <w:vAlign w:val="center"/>
          </w:tcPr>
          <w:p>
            <w:pPr>
              <w:numPr>
                <w:ilvl w:val="0"/>
                <w:numId w:val="82"/>
              </w:numPr>
              <w:spacing w:line="240" w:lineRule="auto"/>
              <w:ind w:firstLine="0" w:firstLineChars="0"/>
              <w:jc w:val="center"/>
              <w:rPr>
                <w:rFonts w:ascii="宋体" w:hAnsi="宋体" w:cs="宋体"/>
                <w:b/>
                <w:bCs/>
                <w:sz w:val="21"/>
                <w:szCs w:val="21"/>
              </w:rPr>
            </w:pPr>
          </w:p>
        </w:tc>
        <w:tc>
          <w:tcPr>
            <w:tcW w:w="2401"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防护栏杆制造安装工艺应确保所有构件及其连接部分表面光滑，无锐边、尖角、毛刺或其他可能对人员造成伤害或妨碍其通过的外部缺陷。</w:t>
            </w:r>
          </w:p>
        </w:tc>
        <w:tc>
          <w:tcPr>
            <w:tcW w:w="1050" w:type="pct"/>
            <w:tcBorders>
              <w:tl2br w:val="nil"/>
              <w:tr2bl w:val="nil"/>
            </w:tcBorders>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《固定式钢梯及平台安全要求 第3部分：工业防护栏杆及钢平台》（GB 4053.3-2009）4.5.2</w:t>
            </w:r>
          </w:p>
        </w:tc>
        <w:tc>
          <w:tcPr>
            <w:tcW w:w="801"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栏杆无锐边、尖角、毛刺或其他可能对人员造成伤害或妨碍其通过的外部缺陷。</w:t>
            </w:r>
          </w:p>
        </w:tc>
        <w:tc>
          <w:tcPr>
            <w:tcW w:w="373" w:type="pct"/>
            <w:tcBorders>
              <w:tl2br w:val="nil"/>
              <w:tr2bl w:val="nil"/>
            </w:tcBorders>
            <w:vAlign w:val="center"/>
          </w:tcPr>
          <w:p>
            <w:pPr>
              <w:ind w:firstLine="0" w:firstLineChars="0"/>
              <w:jc w:val="center"/>
              <w:rPr>
                <w:rFonts w:cs="Times New Roman"/>
                <w:sz w:val="20"/>
                <w:szCs w:val="20"/>
              </w:rPr>
            </w:pPr>
            <w:r>
              <w:rPr>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2" w:type="pct"/>
            <w:tcBorders>
              <w:tl2br w:val="nil"/>
              <w:tr2bl w:val="nil"/>
            </w:tcBorders>
            <w:vAlign w:val="center"/>
          </w:tcPr>
          <w:p>
            <w:pPr>
              <w:numPr>
                <w:ilvl w:val="0"/>
                <w:numId w:val="82"/>
              </w:numPr>
              <w:spacing w:line="240" w:lineRule="auto"/>
              <w:ind w:firstLine="0" w:firstLineChars="0"/>
              <w:jc w:val="center"/>
              <w:rPr>
                <w:rFonts w:ascii="宋体" w:hAnsi="宋体" w:cs="宋体"/>
                <w:b/>
                <w:bCs/>
                <w:sz w:val="21"/>
                <w:szCs w:val="21"/>
              </w:rPr>
            </w:pPr>
          </w:p>
        </w:tc>
        <w:tc>
          <w:tcPr>
            <w:tcW w:w="2401"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安装后的平台钢梁应平直，铺板应平整，不应有歪斜、翘曲、变形及其它缺陷。</w:t>
            </w:r>
          </w:p>
        </w:tc>
        <w:tc>
          <w:tcPr>
            <w:tcW w:w="1050" w:type="pct"/>
            <w:tcBorders>
              <w:tl2br w:val="nil"/>
              <w:tr2bl w:val="nil"/>
            </w:tcBorders>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《固定式钢梯及平台安全要求 第3部分：工业防护栏杆及钢平台》（GB 4053.3-2009）4.5.4</w:t>
            </w:r>
          </w:p>
        </w:tc>
        <w:tc>
          <w:tcPr>
            <w:tcW w:w="801"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平台钢梁平直，铺板平整。</w:t>
            </w:r>
          </w:p>
        </w:tc>
        <w:tc>
          <w:tcPr>
            <w:tcW w:w="373" w:type="pct"/>
            <w:tcBorders>
              <w:tl2br w:val="nil"/>
              <w:tr2bl w:val="nil"/>
            </w:tcBorders>
            <w:vAlign w:val="center"/>
          </w:tcPr>
          <w:p>
            <w:pPr>
              <w:ind w:firstLine="0" w:firstLineChars="0"/>
              <w:jc w:val="center"/>
              <w:rPr>
                <w:rFonts w:cs="Times New Roman"/>
                <w:sz w:val="20"/>
                <w:szCs w:val="20"/>
              </w:rPr>
            </w:pPr>
            <w:r>
              <w:rPr>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2" w:type="pct"/>
            <w:tcBorders>
              <w:tl2br w:val="nil"/>
              <w:tr2bl w:val="nil"/>
            </w:tcBorders>
            <w:vAlign w:val="center"/>
          </w:tcPr>
          <w:p>
            <w:pPr>
              <w:numPr>
                <w:ilvl w:val="0"/>
                <w:numId w:val="82"/>
              </w:numPr>
              <w:spacing w:line="240" w:lineRule="auto"/>
              <w:ind w:firstLine="0" w:firstLineChars="0"/>
              <w:jc w:val="center"/>
              <w:rPr>
                <w:rFonts w:ascii="宋体" w:hAnsi="宋体" w:cs="宋体"/>
                <w:b/>
                <w:bCs/>
                <w:sz w:val="21"/>
                <w:szCs w:val="21"/>
              </w:rPr>
            </w:pPr>
          </w:p>
        </w:tc>
        <w:tc>
          <w:tcPr>
            <w:tcW w:w="2401"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防护栏杆及钢平台安装后，应对其至少涂一层底漆和一层（或多层）面漆或采用等效的防锈防腐涂装</w:t>
            </w:r>
          </w:p>
        </w:tc>
        <w:tc>
          <w:tcPr>
            <w:tcW w:w="1050" w:type="pct"/>
            <w:tcBorders>
              <w:tl2br w:val="nil"/>
              <w:tr2bl w:val="nil"/>
            </w:tcBorders>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《固定式钢梯及平台安全要求 第3部分：工业防护栏杆及钢平台》（GB 4053.3-2009）4.6.3</w:t>
            </w:r>
          </w:p>
        </w:tc>
        <w:tc>
          <w:tcPr>
            <w:tcW w:w="801"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防护栏杆及钢平台进行了防腐处理。</w:t>
            </w:r>
          </w:p>
        </w:tc>
        <w:tc>
          <w:tcPr>
            <w:tcW w:w="373" w:type="pct"/>
            <w:tcBorders>
              <w:tl2br w:val="nil"/>
              <w:tr2bl w:val="nil"/>
            </w:tcBorders>
            <w:vAlign w:val="center"/>
          </w:tcPr>
          <w:p>
            <w:pPr>
              <w:ind w:firstLine="0" w:firstLineChars="0"/>
              <w:jc w:val="center"/>
              <w:rPr>
                <w:rFonts w:cs="Times New Roman"/>
                <w:sz w:val="20"/>
                <w:szCs w:val="20"/>
              </w:rPr>
            </w:pPr>
            <w:r>
              <w:rPr>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2" w:type="pct"/>
            <w:tcBorders>
              <w:tl2br w:val="nil"/>
              <w:tr2bl w:val="nil"/>
            </w:tcBorders>
            <w:vAlign w:val="center"/>
          </w:tcPr>
          <w:p>
            <w:pPr>
              <w:numPr>
                <w:ilvl w:val="0"/>
                <w:numId w:val="82"/>
              </w:numPr>
              <w:spacing w:line="240" w:lineRule="auto"/>
              <w:ind w:firstLine="0" w:firstLineChars="0"/>
              <w:jc w:val="center"/>
              <w:rPr>
                <w:rFonts w:ascii="宋体" w:hAnsi="宋体" w:cs="宋体"/>
                <w:b/>
                <w:bCs/>
                <w:sz w:val="21"/>
                <w:szCs w:val="21"/>
              </w:rPr>
            </w:pPr>
          </w:p>
        </w:tc>
        <w:tc>
          <w:tcPr>
            <w:tcW w:w="2401"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防护栏杆各构件的布置应确保中间栏杆（横杆）与上下构件间形成的空隙间距不大于500mm。构件设置方式应阻止攀爬。</w:t>
            </w:r>
          </w:p>
        </w:tc>
        <w:tc>
          <w:tcPr>
            <w:tcW w:w="1050" w:type="pct"/>
            <w:tcBorders>
              <w:tl2br w:val="nil"/>
              <w:tr2bl w:val="nil"/>
            </w:tcBorders>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《固定式钢梯及平台安全要求 第3部分：工业防护栏杆及钢平台》（GB 4053.3-2009）5.1.2</w:t>
            </w:r>
          </w:p>
        </w:tc>
        <w:tc>
          <w:tcPr>
            <w:tcW w:w="801"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防护栏杆各构件的布置符合上述要求。</w:t>
            </w:r>
          </w:p>
        </w:tc>
        <w:tc>
          <w:tcPr>
            <w:tcW w:w="373" w:type="pct"/>
            <w:tcBorders>
              <w:tl2br w:val="nil"/>
              <w:tr2bl w:val="nil"/>
            </w:tcBorders>
            <w:vAlign w:val="center"/>
          </w:tcPr>
          <w:p>
            <w:pPr>
              <w:ind w:firstLine="0" w:firstLineChars="0"/>
              <w:jc w:val="center"/>
              <w:rPr>
                <w:rFonts w:cs="Times New Roman"/>
                <w:sz w:val="20"/>
                <w:szCs w:val="20"/>
              </w:rPr>
            </w:pPr>
            <w:r>
              <w:rPr>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2" w:type="pct"/>
            <w:tcBorders>
              <w:tl2br w:val="nil"/>
              <w:tr2bl w:val="nil"/>
            </w:tcBorders>
            <w:vAlign w:val="center"/>
          </w:tcPr>
          <w:p>
            <w:pPr>
              <w:numPr>
                <w:ilvl w:val="0"/>
                <w:numId w:val="82"/>
              </w:numPr>
              <w:spacing w:line="240" w:lineRule="auto"/>
              <w:ind w:firstLine="0" w:firstLineChars="0"/>
              <w:jc w:val="center"/>
              <w:rPr>
                <w:rFonts w:ascii="宋体" w:hAnsi="宋体" w:cs="宋体"/>
                <w:b/>
                <w:bCs/>
                <w:sz w:val="21"/>
                <w:szCs w:val="21"/>
              </w:rPr>
            </w:pPr>
          </w:p>
        </w:tc>
        <w:tc>
          <w:tcPr>
            <w:tcW w:w="2401"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当平台、通道及作业场所距基准面高度小于 2m时，防护栏杆高度应不低于900mm。</w:t>
            </w:r>
          </w:p>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在距基准面高度大于等于2m并小于20m的平台、通道及作业场所的防护栏杆高度应不低于1050mm。</w:t>
            </w:r>
          </w:p>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在距基准面高度不小于20m的平台、通道及作业场所的防护栏杆高度应不低于 1200mm。</w:t>
            </w:r>
          </w:p>
        </w:tc>
        <w:tc>
          <w:tcPr>
            <w:tcW w:w="1050" w:type="pct"/>
            <w:tcBorders>
              <w:tl2br w:val="nil"/>
              <w:tr2bl w:val="nil"/>
            </w:tcBorders>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《固定式钢梯及平台安全要求 第3部分：工业防护栏杆及钢平台》（GB 4053.3-2009）5.2</w:t>
            </w:r>
          </w:p>
        </w:tc>
        <w:tc>
          <w:tcPr>
            <w:tcW w:w="801"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高处防护栏杆的设置符合上述要求。</w:t>
            </w:r>
          </w:p>
        </w:tc>
        <w:tc>
          <w:tcPr>
            <w:tcW w:w="373" w:type="pct"/>
            <w:tcBorders>
              <w:tl2br w:val="nil"/>
              <w:tr2bl w:val="nil"/>
            </w:tcBorders>
            <w:vAlign w:val="center"/>
          </w:tcPr>
          <w:p>
            <w:pPr>
              <w:ind w:firstLine="0" w:firstLineChars="0"/>
              <w:jc w:val="center"/>
              <w:rPr>
                <w:rFonts w:cs="Times New Roman"/>
                <w:sz w:val="20"/>
                <w:szCs w:val="20"/>
              </w:rPr>
            </w:pPr>
            <w:r>
              <w:rPr>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2" w:type="pct"/>
            <w:vAlign w:val="center"/>
          </w:tcPr>
          <w:p>
            <w:pPr>
              <w:numPr>
                <w:ilvl w:val="0"/>
                <w:numId w:val="82"/>
              </w:numPr>
              <w:spacing w:line="240" w:lineRule="auto"/>
              <w:ind w:firstLine="0" w:firstLineChars="0"/>
              <w:jc w:val="center"/>
              <w:rPr>
                <w:rFonts w:ascii="宋体" w:hAnsi="宋体" w:cs="宋体"/>
                <w:b/>
                <w:bCs/>
                <w:sz w:val="21"/>
                <w:szCs w:val="21"/>
              </w:rPr>
            </w:pPr>
          </w:p>
        </w:tc>
        <w:tc>
          <w:tcPr>
            <w:tcW w:w="2401" w:type="pct"/>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在扶手和踢脚板之间，应至少设置一道中间栏杆。</w:t>
            </w:r>
          </w:p>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中间栏杆宜采用不小于25mm×4mm扁钢或直径16 mm的圆钢。中间栏杆与上、下方构件的空隙间距应不大于500mm。</w:t>
            </w:r>
          </w:p>
        </w:tc>
        <w:tc>
          <w:tcPr>
            <w:tcW w:w="1050"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《固定式钢梯及平台安全要求 第3部分：工业防护栏杆及钢平台》（GB 4053.3-2009）5.4</w:t>
            </w:r>
          </w:p>
        </w:tc>
        <w:tc>
          <w:tcPr>
            <w:tcW w:w="801" w:type="pct"/>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扶手和踢脚板符合上述要求。</w:t>
            </w:r>
          </w:p>
        </w:tc>
        <w:tc>
          <w:tcPr>
            <w:tcW w:w="373" w:type="pct"/>
            <w:vAlign w:val="center"/>
          </w:tcPr>
          <w:p>
            <w:pPr>
              <w:ind w:firstLine="0" w:firstLineChars="0"/>
              <w:jc w:val="center"/>
              <w:rPr>
                <w:rFonts w:cs="Times New Roman"/>
                <w:sz w:val="20"/>
                <w:szCs w:val="20"/>
              </w:rPr>
            </w:pPr>
            <w:r>
              <w:rPr>
                <w:sz w:val="20"/>
                <w:szCs w:val="20"/>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2" w:type="pct"/>
            <w:vAlign w:val="center"/>
          </w:tcPr>
          <w:p>
            <w:pPr>
              <w:numPr>
                <w:ilvl w:val="0"/>
                <w:numId w:val="82"/>
              </w:numPr>
              <w:spacing w:line="240" w:lineRule="auto"/>
              <w:ind w:firstLine="0" w:firstLineChars="0"/>
              <w:jc w:val="center"/>
              <w:rPr>
                <w:rFonts w:ascii="宋体" w:hAnsi="宋体" w:cs="宋体"/>
                <w:b/>
                <w:bCs/>
                <w:sz w:val="21"/>
                <w:szCs w:val="21"/>
              </w:rPr>
            </w:pPr>
          </w:p>
        </w:tc>
        <w:tc>
          <w:tcPr>
            <w:tcW w:w="2401" w:type="pct"/>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防护栏杆端部应设置立柱或确保与建筑物或其它固定结构牢固连接，立柱间距应不大于1000mm。</w:t>
            </w:r>
          </w:p>
        </w:tc>
        <w:tc>
          <w:tcPr>
            <w:tcW w:w="1050"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《固定式钢梯及平台安全要求 第3部分：工业防护栏杆及钢平台》（GB 4053.3-2009）5.5.1</w:t>
            </w:r>
          </w:p>
        </w:tc>
        <w:tc>
          <w:tcPr>
            <w:tcW w:w="801" w:type="pct"/>
            <w:vAlign w:val="center"/>
          </w:tcPr>
          <w:p>
            <w:pPr>
              <w:widowControl/>
              <w:snapToGrid w:val="0"/>
              <w:spacing w:line="240" w:lineRule="auto"/>
              <w:ind w:firstLine="0" w:firstLineChars="0"/>
              <w:jc w:val="both"/>
              <w:rPr>
                <w:rFonts w:ascii="宋体" w:hAnsi="宋体" w:cs="宋体"/>
                <w:bCs/>
                <w:kern w:val="0"/>
                <w:sz w:val="21"/>
                <w:szCs w:val="21"/>
              </w:rPr>
            </w:pPr>
            <w:r>
              <w:rPr>
                <w:rFonts w:hint="eastAsia" w:ascii="宋体" w:hAnsi="宋体" w:cs="宋体"/>
                <w:bCs/>
                <w:kern w:val="0"/>
                <w:sz w:val="21"/>
                <w:szCs w:val="21"/>
              </w:rPr>
              <w:t>防护栏杆立柱等的设置符合上述要求。</w:t>
            </w:r>
          </w:p>
        </w:tc>
        <w:tc>
          <w:tcPr>
            <w:tcW w:w="373" w:type="pct"/>
            <w:vAlign w:val="center"/>
          </w:tcPr>
          <w:p>
            <w:pPr>
              <w:ind w:firstLine="0" w:firstLineChars="0"/>
              <w:jc w:val="center"/>
              <w:rPr>
                <w:rFonts w:cs="Times New Roman"/>
                <w:sz w:val="20"/>
                <w:szCs w:val="20"/>
              </w:rPr>
            </w:pPr>
            <w:r>
              <w:rPr>
                <w:sz w:val="20"/>
                <w:szCs w:val="20"/>
              </w:rPr>
              <w:t>符合</w:t>
            </w:r>
          </w:p>
        </w:tc>
      </w:tr>
    </w:tbl>
    <w:p>
      <w:pPr>
        <w:pStyle w:val="5"/>
        <w:spacing w:before="156" w:after="156"/>
      </w:pPr>
      <w:bookmarkStart w:id="375" w:name="_Toc498299401"/>
      <w:bookmarkStart w:id="376" w:name="_Toc498519871"/>
      <w:bookmarkStart w:id="377" w:name="_Toc500007206"/>
      <w:bookmarkStart w:id="378" w:name="_Toc9999"/>
      <w:r>
        <w:t>安全设施设计中安全对策措施建议采纳情况说明</w:t>
      </w:r>
      <w:bookmarkEnd w:id="375"/>
      <w:bookmarkEnd w:id="376"/>
      <w:bookmarkEnd w:id="377"/>
      <w:bookmarkEnd w:id="378"/>
    </w:p>
    <w:p>
      <w:pPr>
        <w:ind w:firstLine="560"/>
        <w:rPr>
          <w:rFonts w:ascii="宋体" w:hAnsi="宋体" w:cs="宋体"/>
        </w:rPr>
      </w:pPr>
      <w:r>
        <w:rPr>
          <w:rFonts w:hint="eastAsia" w:ascii="宋体" w:hAnsi="宋体" w:cs="宋体"/>
        </w:rPr>
        <w:t>该项目建设过程中充分考虑并采纳了安全生产条件和综合分析报告、安全设施设计中所提到的防范措施和建议。</w:t>
      </w:r>
      <w:r>
        <w:rPr>
          <w:rFonts w:hint="eastAsia"/>
        </w:rPr>
        <w:t>《云南大姚祥华工业制造股份公司云南大姚机械配件厂退城入园整体技改搬迁项目安全设施设计》</w:t>
      </w:r>
      <w:r>
        <w:rPr>
          <w:rFonts w:hint="eastAsia" w:ascii="宋体" w:hAnsi="宋体" w:cs="宋体"/>
        </w:rPr>
        <w:t>中的安全设施与实际建设情况基本相同。落实安全生产条件和综合分析报告、安全设施设计的安全设施、安全措施及建议的情况见下表。</w:t>
      </w:r>
    </w:p>
    <w:p>
      <w:pPr>
        <w:ind w:firstLine="560"/>
      </w:pPr>
      <w:r>
        <w:rPr>
          <w:rFonts w:hint="eastAsia"/>
        </w:rPr>
        <w:t>项目防范对策措施的采纳情况如下：</w:t>
      </w:r>
    </w:p>
    <w:p>
      <w:pPr>
        <w:pStyle w:val="14"/>
        <w:spacing w:before="156" w:after="156"/>
      </w:pPr>
      <w:r>
        <w:rPr>
          <w:rFonts w:hint="eastAsia"/>
        </w:rPr>
        <w:t xml:space="preserve">表 </w:t>
      </w:r>
      <w:r>
        <w:rPr>
          <w:rFonts w:hint="eastAsia"/>
        </w:rPr>
        <w:fldChar w:fldCharType="begin"/>
      </w:r>
      <w:r>
        <w:rPr>
          <w:rFonts w:hint="eastAsia"/>
        </w:rPr>
        <w:instrText xml:space="preserve"> STYLEREF 1 \s </w:instrText>
      </w:r>
      <w:r>
        <w:rPr>
          <w:rFonts w:hint="eastAsia"/>
        </w:rPr>
        <w:fldChar w:fldCharType="separate"/>
      </w:r>
      <w:r>
        <w:rPr>
          <w:rFonts w:hint="eastAsia"/>
        </w:rPr>
        <w:t>5</w:t>
      </w:r>
      <w:r>
        <w:rPr>
          <w:rFonts w:hint="eastAsia"/>
        </w:rPr>
        <w:fldChar w:fldCharType="end"/>
      </w:r>
      <w:r>
        <w:rPr>
          <w:rFonts w:hint="eastAsia"/>
        </w:rPr>
        <w:t>.11-1安全设施设计中安全对策措施和建议采纳情况</w:t>
      </w:r>
    </w:p>
    <w:tbl>
      <w:tblPr>
        <w:tblStyle w:val="29"/>
        <w:tblW w:w="4998"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118"/>
        <w:gridCol w:w="3743"/>
        <w:gridCol w:w="2901"/>
        <w:gridCol w:w="75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spacing w:line="240" w:lineRule="auto"/>
              <w:ind w:firstLine="0" w:firstLineChars="0"/>
              <w:jc w:val="center"/>
              <w:rPr>
                <w:rFonts w:ascii="宋体" w:hAnsi="宋体"/>
                <w:b/>
                <w:sz w:val="21"/>
                <w:szCs w:val="21"/>
              </w:rPr>
            </w:pPr>
            <w:r>
              <w:rPr>
                <w:rFonts w:hint="eastAsia" w:ascii="宋体" w:hAnsi="宋体" w:cs="宋体"/>
                <w:b/>
                <w:bCs/>
                <w:color w:val="000000"/>
                <w:kern w:val="0"/>
                <w:sz w:val="21"/>
                <w:szCs w:val="21"/>
              </w:rPr>
              <w:t>设施设计章节编号</w:t>
            </w:r>
          </w:p>
        </w:tc>
        <w:tc>
          <w:tcPr>
            <w:tcW w:w="2196" w:type="pct"/>
            <w:vAlign w:val="center"/>
          </w:tcPr>
          <w:p>
            <w:pPr>
              <w:spacing w:line="240" w:lineRule="auto"/>
              <w:ind w:firstLine="0" w:firstLineChars="0"/>
              <w:jc w:val="center"/>
              <w:rPr>
                <w:rFonts w:ascii="宋体" w:hAnsi="宋体"/>
                <w:b/>
                <w:sz w:val="21"/>
                <w:szCs w:val="21"/>
              </w:rPr>
            </w:pPr>
            <w:r>
              <w:rPr>
                <w:rFonts w:hint="eastAsia" w:ascii="宋体" w:hAnsi="宋体" w:cs="宋体"/>
                <w:b/>
                <w:bCs/>
                <w:color w:val="000000"/>
                <w:kern w:val="0"/>
                <w:sz w:val="21"/>
                <w:szCs w:val="21"/>
              </w:rPr>
              <w:t>安全设施设计内容</w:t>
            </w:r>
          </w:p>
        </w:tc>
        <w:tc>
          <w:tcPr>
            <w:tcW w:w="1702" w:type="pct"/>
            <w:vAlign w:val="center"/>
          </w:tcPr>
          <w:p>
            <w:pPr>
              <w:spacing w:line="240" w:lineRule="auto"/>
              <w:ind w:firstLine="0" w:firstLineChars="0"/>
              <w:jc w:val="center"/>
              <w:rPr>
                <w:rFonts w:ascii="宋体" w:hAnsi="宋体"/>
                <w:b/>
                <w:sz w:val="21"/>
                <w:szCs w:val="21"/>
              </w:rPr>
            </w:pPr>
            <w:r>
              <w:rPr>
                <w:rFonts w:hint="eastAsia" w:ascii="宋体" w:hAnsi="宋体" w:cs="宋体"/>
                <w:b/>
                <w:bCs/>
                <w:color w:val="000000"/>
                <w:kern w:val="0"/>
                <w:sz w:val="21"/>
                <w:szCs w:val="21"/>
              </w:rPr>
              <w:t>设计落实和运行情况</w:t>
            </w:r>
          </w:p>
        </w:tc>
        <w:tc>
          <w:tcPr>
            <w:tcW w:w="444" w:type="pct"/>
            <w:vAlign w:val="center"/>
          </w:tcPr>
          <w:p>
            <w:pPr>
              <w:spacing w:line="240" w:lineRule="auto"/>
              <w:ind w:firstLine="0" w:firstLineChars="0"/>
              <w:jc w:val="center"/>
              <w:rPr>
                <w:rFonts w:ascii="宋体" w:hAnsi="宋体"/>
                <w:b/>
                <w:sz w:val="21"/>
                <w:szCs w:val="21"/>
              </w:rPr>
            </w:pPr>
            <w:r>
              <w:rPr>
                <w:rFonts w:hint="eastAsia" w:ascii="宋体" w:hAnsi="宋体" w:cs="宋体"/>
                <w:b/>
                <w:bCs/>
                <w:color w:val="000000"/>
                <w:kern w:val="0"/>
                <w:sz w:val="21"/>
                <w:szCs w:val="21"/>
              </w:rPr>
              <w:t>检查结论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spacing w:line="240" w:lineRule="auto"/>
              <w:ind w:firstLine="0" w:firstLineChars="0"/>
              <w:jc w:val="center"/>
              <w:rPr>
                <w:b/>
                <w:bCs/>
                <w:sz w:val="21"/>
                <w:szCs w:val="21"/>
              </w:rPr>
            </w:pPr>
            <w:r>
              <w:rPr>
                <w:rFonts w:hint="eastAsia"/>
                <w:b/>
                <w:bCs/>
                <w:sz w:val="21"/>
                <w:szCs w:val="21"/>
              </w:rPr>
              <w:t>5.1</w:t>
            </w:r>
          </w:p>
        </w:tc>
        <w:tc>
          <w:tcPr>
            <w:tcW w:w="2196" w:type="pct"/>
            <w:vAlign w:val="center"/>
          </w:tcPr>
          <w:p>
            <w:pPr>
              <w:spacing w:line="240" w:lineRule="auto"/>
              <w:ind w:firstLine="0" w:firstLineChars="0"/>
              <w:rPr>
                <w:b/>
                <w:bCs/>
                <w:sz w:val="21"/>
                <w:szCs w:val="21"/>
              </w:rPr>
            </w:pPr>
            <w:r>
              <w:rPr>
                <w:rFonts w:hint="eastAsia"/>
                <w:b/>
                <w:bCs/>
                <w:sz w:val="21"/>
                <w:szCs w:val="21"/>
              </w:rPr>
              <w:t>危险物料防范措施</w:t>
            </w:r>
          </w:p>
        </w:tc>
        <w:tc>
          <w:tcPr>
            <w:tcW w:w="1702" w:type="pct"/>
            <w:vAlign w:val="center"/>
          </w:tcPr>
          <w:p>
            <w:pPr>
              <w:autoSpaceDE w:val="0"/>
              <w:autoSpaceDN w:val="0"/>
              <w:spacing w:line="240" w:lineRule="auto"/>
              <w:ind w:firstLine="0" w:firstLineChars="0"/>
              <w:jc w:val="center"/>
              <w:textAlignment w:val="bottom"/>
              <w:rPr>
                <w:b/>
                <w:bCs/>
                <w:sz w:val="21"/>
                <w:szCs w:val="21"/>
              </w:rPr>
            </w:pPr>
            <w:r>
              <w:rPr>
                <w:rFonts w:hint="eastAsia"/>
                <w:b/>
                <w:bCs/>
                <w:sz w:val="21"/>
                <w:szCs w:val="21"/>
              </w:rPr>
              <w:t>/</w:t>
            </w:r>
          </w:p>
        </w:tc>
        <w:tc>
          <w:tcPr>
            <w:tcW w:w="444" w:type="pct"/>
            <w:vAlign w:val="center"/>
          </w:tcPr>
          <w:p>
            <w:pPr>
              <w:autoSpaceDE w:val="0"/>
              <w:autoSpaceDN w:val="0"/>
              <w:spacing w:line="240" w:lineRule="auto"/>
              <w:ind w:firstLine="0" w:firstLineChars="0"/>
              <w:jc w:val="center"/>
              <w:textAlignment w:val="bottom"/>
              <w:rPr>
                <w:b/>
                <w:bCs/>
                <w:sz w:val="21"/>
                <w:szCs w:val="21"/>
              </w:rPr>
            </w:pPr>
            <w:r>
              <w:rPr>
                <w:rFonts w:hint="eastAsia"/>
                <w:b/>
                <w:bCs/>
                <w:sz w:val="21"/>
                <w:szCs w:val="21"/>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spacing w:line="240" w:lineRule="auto"/>
              <w:ind w:firstLine="0" w:firstLineChars="0"/>
              <w:jc w:val="center"/>
              <w:rPr>
                <w:b/>
                <w:bCs/>
                <w:sz w:val="21"/>
                <w:szCs w:val="21"/>
              </w:rPr>
            </w:pPr>
            <w:r>
              <w:rPr>
                <w:rFonts w:hint="eastAsia"/>
                <w:b/>
                <w:bCs/>
                <w:sz w:val="21"/>
                <w:szCs w:val="21"/>
              </w:rPr>
              <w:t>5.1.1</w:t>
            </w:r>
          </w:p>
        </w:tc>
        <w:tc>
          <w:tcPr>
            <w:tcW w:w="2196" w:type="pct"/>
            <w:vAlign w:val="center"/>
          </w:tcPr>
          <w:p>
            <w:pPr>
              <w:spacing w:line="240" w:lineRule="auto"/>
              <w:ind w:firstLine="0" w:firstLineChars="0"/>
              <w:rPr>
                <w:b/>
                <w:bCs/>
                <w:sz w:val="21"/>
                <w:szCs w:val="21"/>
              </w:rPr>
            </w:pPr>
            <w:r>
              <w:rPr>
                <w:rFonts w:hint="eastAsia"/>
                <w:b/>
                <w:bCs/>
                <w:sz w:val="21"/>
                <w:szCs w:val="21"/>
              </w:rPr>
              <w:t>空气[压缩的]</w:t>
            </w:r>
          </w:p>
        </w:tc>
        <w:tc>
          <w:tcPr>
            <w:tcW w:w="1702" w:type="pct"/>
            <w:vAlign w:val="center"/>
          </w:tcPr>
          <w:p>
            <w:pPr>
              <w:autoSpaceDE w:val="0"/>
              <w:autoSpaceDN w:val="0"/>
              <w:spacing w:line="240" w:lineRule="auto"/>
              <w:ind w:firstLine="0" w:firstLineChars="0"/>
              <w:jc w:val="center"/>
              <w:textAlignment w:val="bottom"/>
              <w:rPr>
                <w:b/>
                <w:bCs/>
                <w:sz w:val="21"/>
                <w:szCs w:val="21"/>
              </w:rPr>
            </w:pPr>
            <w:r>
              <w:rPr>
                <w:rFonts w:hint="eastAsia"/>
                <w:b/>
                <w:bCs/>
                <w:sz w:val="21"/>
                <w:szCs w:val="21"/>
              </w:rPr>
              <w:t>/</w:t>
            </w:r>
          </w:p>
        </w:tc>
        <w:tc>
          <w:tcPr>
            <w:tcW w:w="444" w:type="pct"/>
            <w:vAlign w:val="center"/>
          </w:tcPr>
          <w:p>
            <w:pPr>
              <w:autoSpaceDE w:val="0"/>
              <w:autoSpaceDN w:val="0"/>
              <w:spacing w:line="240" w:lineRule="auto"/>
              <w:ind w:firstLine="0" w:firstLineChars="0"/>
              <w:jc w:val="center"/>
              <w:textAlignment w:val="bottom"/>
              <w:rPr>
                <w:b/>
                <w:bCs/>
                <w:sz w:val="21"/>
                <w:szCs w:val="21"/>
              </w:rPr>
            </w:pPr>
            <w:r>
              <w:rPr>
                <w:rFonts w:hint="eastAsia"/>
                <w:b/>
                <w:bCs/>
                <w:sz w:val="21"/>
                <w:szCs w:val="21"/>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spacing w:line="240" w:lineRule="auto"/>
              <w:ind w:firstLine="0" w:firstLineChars="0"/>
              <w:jc w:val="center"/>
              <w:rPr>
                <w:sz w:val="21"/>
                <w:szCs w:val="21"/>
              </w:rPr>
            </w:pPr>
            <w:r>
              <w:rPr>
                <w:rFonts w:hint="eastAsia"/>
                <w:sz w:val="21"/>
                <w:szCs w:val="21"/>
              </w:rPr>
              <w:t>5.1.1.3</w:t>
            </w:r>
          </w:p>
        </w:tc>
        <w:tc>
          <w:tcPr>
            <w:tcW w:w="2196" w:type="pct"/>
            <w:vAlign w:val="center"/>
          </w:tcPr>
          <w:p>
            <w:pPr>
              <w:spacing w:line="240" w:lineRule="auto"/>
              <w:ind w:firstLine="0" w:firstLineChars="0"/>
              <w:rPr>
                <w:sz w:val="21"/>
                <w:szCs w:val="21"/>
              </w:rPr>
            </w:pPr>
            <w:r>
              <w:rPr>
                <w:rFonts w:hint="eastAsia"/>
                <w:sz w:val="21"/>
                <w:szCs w:val="21"/>
              </w:rPr>
              <w:t>（1）压缩空气储罐装设安全阀，储气罐与供气总管之间，装设切断阀。</w:t>
            </w:r>
          </w:p>
          <w:p>
            <w:pPr>
              <w:spacing w:line="240" w:lineRule="auto"/>
              <w:ind w:firstLine="0" w:firstLineChars="0"/>
              <w:rPr>
                <w:sz w:val="21"/>
                <w:szCs w:val="21"/>
              </w:rPr>
            </w:pPr>
            <w:r>
              <w:rPr>
                <w:rFonts w:hint="eastAsia"/>
                <w:sz w:val="21"/>
                <w:szCs w:val="21"/>
              </w:rPr>
              <w:t>（2）空压机旁均应设置空气压缩机紧急停车按钮。</w:t>
            </w:r>
          </w:p>
          <w:p>
            <w:pPr>
              <w:spacing w:line="240" w:lineRule="auto"/>
              <w:ind w:firstLine="0" w:firstLineChars="0"/>
              <w:rPr>
                <w:sz w:val="21"/>
                <w:szCs w:val="21"/>
              </w:rPr>
            </w:pPr>
            <w:r>
              <w:rPr>
                <w:rFonts w:hint="eastAsia"/>
                <w:sz w:val="21"/>
                <w:szCs w:val="21"/>
              </w:rPr>
              <w:t>（3）空气压缩机组、管道及其建筑物上，采取隔声、消声和吸声等降低噪声。</w:t>
            </w:r>
          </w:p>
          <w:p>
            <w:pPr>
              <w:spacing w:line="240" w:lineRule="auto"/>
              <w:ind w:firstLine="0" w:firstLineChars="0"/>
              <w:rPr>
                <w:sz w:val="21"/>
                <w:szCs w:val="21"/>
              </w:rPr>
            </w:pPr>
            <w:r>
              <w:rPr>
                <w:rFonts w:hint="eastAsia"/>
                <w:sz w:val="21"/>
                <w:szCs w:val="21"/>
              </w:rPr>
              <w:t>（4）使用手提灯，其电压不超过36V；在储气罐内或空气压缩机的金属平台上使用的手提灯，其电压不超过12V。</w:t>
            </w:r>
          </w:p>
          <w:p>
            <w:pPr>
              <w:spacing w:line="240" w:lineRule="auto"/>
              <w:ind w:firstLine="0" w:firstLineChars="0"/>
              <w:rPr>
                <w:sz w:val="21"/>
                <w:szCs w:val="21"/>
              </w:rPr>
            </w:pPr>
            <w:r>
              <w:rPr>
                <w:rFonts w:hint="eastAsia"/>
                <w:sz w:val="21"/>
                <w:szCs w:val="21"/>
              </w:rPr>
              <w:t>（5）在空压机附近张贴安全告知卡。</w:t>
            </w:r>
          </w:p>
        </w:tc>
        <w:tc>
          <w:tcPr>
            <w:tcW w:w="1702"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按要求装设安全阀、切断阀，设置紧急停车按钮。采取隔声等降噪措施，张贴安全告知卡。</w:t>
            </w:r>
          </w:p>
        </w:tc>
        <w:tc>
          <w:tcPr>
            <w:tcW w:w="444" w:type="pct"/>
            <w:vAlign w:val="center"/>
          </w:tcPr>
          <w:p>
            <w:pPr>
              <w:spacing w:line="240" w:lineRule="auto"/>
              <w:ind w:firstLine="0" w:firstLineChars="0"/>
              <w:rPr>
                <w:rFonts w:ascii="宋体" w:hAnsi="宋体"/>
                <w:sz w:val="21"/>
                <w:szCs w:val="21"/>
              </w:rPr>
            </w:pPr>
            <w:r>
              <w:rPr>
                <w:rFonts w:hint="eastAsia" w:ascii="宋体" w:hAnsi="宋体"/>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8" w:hRule="atLeast"/>
          <w:jc w:val="center"/>
        </w:trPr>
        <w:tc>
          <w:tcPr>
            <w:tcW w:w="656" w:type="pct"/>
            <w:vAlign w:val="center"/>
          </w:tcPr>
          <w:p>
            <w:pPr>
              <w:spacing w:line="240" w:lineRule="auto"/>
              <w:ind w:firstLine="0" w:firstLineChars="0"/>
              <w:jc w:val="center"/>
              <w:rPr>
                <w:b/>
                <w:bCs/>
                <w:sz w:val="21"/>
                <w:szCs w:val="21"/>
              </w:rPr>
            </w:pPr>
            <w:r>
              <w:rPr>
                <w:rFonts w:hint="eastAsia"/>
                <w:b/>
                <w:bCs/>
                <w:sz w:val="21"/>
                <w:szCs w:val="21"/>
              </w:rPr>
              <w:t>5.1.2</w:t>
            </w:r>
          </w:p>
        </w:tc>
        <w:tc>
          <w:tcPr>
            <w:tcW w:w="2196" w:type="pct"/>
            <w:vAlign w:val="center"/>
          </w:tcPr>
          <w:p>
            <w:pPr>
              <w:spacing w:line="240" w:lineRule="auto"/>
              <w:ind w:firstLine="0" w:firstLineChars="0"/>
              <w:rPr>
                <w:b/>
                <w:bCs/>
                <w:sz w:val="21"/>
                <w:szCs w:val="21"/>
              </w:rPr>
            </w:pPr>
            <w:r>
              <w:rPr>
                <w:rFonts w:hint="eastAsia"/>
                <w:b/>
                <w:bCs/>
                <w:sz w:val="21"/>
                <w:szCs w:val="21"/>
              </w:rPr>
              <w:t>乙炔[溶解的]</w:t>
            </w:r>
          </w:p>
        </w:tc>
        <w:tc>
          <w:tcPr>
            <w:tcW w:w="1702" w:type="pct"/>
            <w:vAlign w:val="center"/>
          </w:tcPr>
          <w:p>
            <w:pPr>
              <w:pStyle w:val="2"/>
              <w:spacing w:after="0" w:line="240" w:lineRule="auto"/>
              <w:ind w:firstLine="0" w:firstLineChars="0"/>
              <w:rPr>
                <w:sz w:val="21"/>
                <w:szCs w:val="21"/>
              </w:rPr>
            </w:pPr>
          </w:p>
        </w:tc>
        <w:tc>
          <w:tcPr>
            <w:tcW w:w="444" w:type="pct"/>
            <w:vAlign w:val="center"/>
          </w:tcPr>
          <w:p>
            <w:pPr>
              <w:spacing w:line="240" w:lineRule="auto"/>
              <w:ind w:firstLine="0" w:firstLineChars="0"/>
              <w:rPr>
                <w:rFonts w:ascii="宋体" w:hAnsi="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autoSpaceDE w:val="0"/>
              <w:autoSpaceDN w:val="0"/>
              <w:spacing w:line="240" w:lineRule="auto"/>
              <w:ind w:firstLine="0" w:firstLineChars="0"/>
              <w:jc w:val="center"/>
              <w:textAlignment w:val="bottom"/>
              <w:rPr>
                <w:rFonts w:ascii="宋体" w:hAnsi="宋体"/>
                <w:sz w:val="21"/>
                <w:szCs w:val="21"/>
              </w:rPr>
            </w:pPr>
            <w:r>
              <w:rPr>
                <w:rFonts w:hint="eastAsia"/>
                <w:sz w:val="21"/>
                <w:szCs w:val="21"/>
              </w:rPr>
              <w:t>5.1.2.3</w:t>
            </w:r>
          </w:p>
        </w:tc>
        <w:tc>
          <w:tcPr>
            <w:tcW w:w="2196" w:type="pct"/>
            <w:vAlign w:val="center"/>
          </w:tcPr>
          <w:p>
            <w:pPr>
              <w:spacing w:line="240" w:lineRule="auto"/>
              <w:ind w:firstLine="0" w:firstLineChars="0"/>
              <w:rPr>
                <w:sz w:val="21"/>
                <w:szCs w:val="21"/>
              </w:rPr>
            </w:pPr>
            <w:r>
              <w:rPr>
                <w:rFonts w:hint="eastAsia"/>
                <w:sz w:val="21"/>
                <w:szCs w:val="21"/>
              </w:rPr>
              <w:t>本企业的乙炔，主要为乙炔气瓶，用于检维修焊接临时作业，厂区内不储存。</w:t>
            </w:r>
          </w:p>
          <w:p>
            <w:pPr>
              <w:spacing w:line="240" w:lineRule="auto"/>
              <w:ind w:firstLine="0" w:firstLineChars="0"/>
              <w:rPr>
                <w:sz w:val="21"/>
                <w:szCs w:val="21"/>
              </w:rPr>
            </w:pPr>
            <w:r>
              <w:rPr>
                <w:rFonts w:hint="eastAsia"/>
                <w:sz w:val="21"/>
                <w:szCs w:val="21"/>
              </w:rPr>
              <w:t>检修焊接现场配电线路采用封闭式金属槽盒。</w:t>
            </w:r>
          </w:p>
        </w:tc>
        <w:tc>
          <w:tcPr>
            <w:tcW w:w="1702" w:type="pct"/>
            <w:vAlign w:val="center"/>
          </w:tcPr>
          <w:p>
            <w:pPr>
              <w:spacing w:line="240" w:lineRule="auto"/>
              <w:ind w:firstLine="0" w:firstLineChars="0"/>
              <w:rPr>
                <w:sz w:val="21"/>
                <w:szCs w:val="21"/>
              </w:rPr>
            </w:pPr>
            <w:r>
              <w:rPr>
                <w:rFonts w:hint="eastAsia"/>
                <w:sz w:val="21"/>
                <w:szCs w:val="21"/>
              </w:rPr>
              <w:t>乙炔气瓶仅用于检维修焊接临时作业，厂区内不作储存。</w:t>
            </w:r>
          </w:p>
          <w:p>
            <w:pPr>
              <w:pStyle w:val="2"/>
              <w:spacing w:after="0" w:line="240" w:lineRule="auto"/>
              <w:ind w:firstLine="0" w:firstLineChars="0"/>
              <w:rPr>
                <w:sz w:val="21"/>
                <w:szCs w:val="21"/>
              </w:rPr>
            </w:pPr>
            <w:r>
              <w:rPr>
                <w:rFonts w:hint="eastAsia"/>
                <w:sz w:val="21"/>
                <w:szCs w:val="21"/>
              </w:rPr>
              <w:t>检修焊接现场配电线路采用封闭式金属槽盒。</w:t>
            </w:r>
          </w:p>
        </w:tc>
        <w:tc>
          <w:tcPr>
            <w:tcW w:w="444" w:type="pct"/>
            <w:vAlign w:val="center"/>
          </w:tcPr>
          <w:p>
            <w:pPr>
              <w:spacing w:line="240" w:lineRule="auto"/>
              <w:ind w:firstLine="0" w:firstLineChars="0"/>
              <w:rPr>
                <w:rFonts w:ascii="宋体" w:hAnsi="宋体"/>
                <w:sz w:val="21"/>
                <w:szCs w:val="21"/>
              </w:rPr>
            </w:pPr>
            <w:r>
              <w:rPr>
                <w:rFonts w:hint="eastAsia" w:ascii="宋体" w:hAnsi="宋体"/>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56" w:type="pct"/>
            <w:vAlign w:val="center"/>
          </w:tcPr>
          <w:p>
            <w:pPr>
              <w:spacing w:line="240" w:lineRule="auto"/>
              <w:ind w:firstLine="0" w:firstLineChars="0"/>
              <w:jc w:val="center"/>
              <w:rPr>
                <w:b/>
                <w:bCs/>
                <w:sz w:val="21"/>
                <w:szCs w:val="21"/>
              </w:rPr>
            </w:pPr>
            <w:r>
              <w:rPr>
                <w:rFonts w:hint="eastAsia"/>
                <w:b/>
                <w:bCs/>
                <w:sz w:val="21"/>
                <w:szCs w:val="21"/>
              </w:rPr>
              <w:t>5.1.3</w:t>
            </w:r>
          </w:p>
        </w:tc>
        <w:tc>
          <w:tcPr>
            <w:tcW w:w="2196" w:type="pct"/>
            <w:vAlign w:val="center"/>
          </w:tcPr>
          <w:p>
            <w:pPr>
              <w:spacing w:line="240" w:lineRule="auto"/>
              <w:ind w:firstLine="0" w:firstLineChars="0"/>
              <w:rPr>
                <w:b/>
                <w:bCs/>
                <w:sz w:val="21"/>
                <w:szCs w:val="21"/>
              </w:rPr>
            </w:pPr>
            <w:r>
              <w:rPr>
                <w:rFonts w:hint="eastAsia"/>
                <w:b/>
                <w:bCs/>
                <w:sz w:val="21"/>
                <w:szCs w:val="21"/>
              </w:rPr>
              <w:t>氧气[压缩的]</w:t>
            </w:r>
          </w:p>
        </w:tc>
        <w:tc>
          <w:tcPr>
            <w:tcW w:w="1702" w:type="pct"/>
            <w:vAlign w:val="center"/>
          </w:tcPr>
          <w:p>
            <w:pPr>
              <w:pStyle w:val="2"/>
              <w:spacing w:after="0" w:line="240" w:lineRule="auto"/>
              <w:ind w:firstLine="0" w:firstLineChars="0"/>
              <w:rPr>
                <w:sz w:val="21"/>
                <w:szCs w:val="21"/>
              </w:rPr>
            </w:pPr>
          </w:p>
        </w:tc>
        <w:tc>
          <w:tcPr>
            <w:tcW w:w="444" w:type="pct"/>
            <w:vAlign w:val="center"/>
          </w:tcPr>
          <w:p>
            <w:pPr>
              <w:spacing w:line="240" w:lineRule="auto"/>
              <w:ind w:firstLine="0" w:firstLineChars="0"/>
              <w:rPr>
                <w:rFonts w:ascii="宋体" w:hAnsi="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autoSpaceDE w:val="0"/>
              <w:autoSpaceDN w:val="0"/>
              <w:spacing w:line="240" w:lineRule="auto"/>
              <w:ind w:firstLine="0" w:firstLineChars="0"/>
              <w:jc w:val="center"/>
              <w:textAlignment w:val="bottom"/>
              <w:rPr>
                <w:rFonts w:ascii="宋体" w:hAnsi="宋体"/>
                <w:sz w:val="21"/>
                <w:szCs w:val="21"/>
              </w:rPr>
            </w:pPr>
            <w:r>
              <w:rPr>
                <w:rFonts w:hint="eastAsia" w:ascii="宋体" w:hAnsi="宋体"/>
                <w:sz w:val="21"/>
                <w:szCs w:val="21"/>
              </w:rPr>
              <w:t>5.1.3.3</w:t>
            </w:r>
          </w:p>
        </w:tc>
        <w:tc>
          <w:tcPr>
            <w:tcW w:w="2196" w:type="pct"/>
            <w:vAlign w:val="center"/>
          </w:tcPr>
          <w:p>
            <w:pPr>
              <w:spacing w:line="240" w:lineRule="auto"/>
              <w:ind w:firstLine="0" w:firstLineChars="0"/>
              <w:rPr>
                <w:sz w:val="21"/>
                <w:szCs w:val="21"/>
              </w:rPr>
            </w:pPr>
            <w:r>
              <w:rPr>
                <w:rFonts w:hint="eastAsia"/>
                <w:sz w:val="21"/>
                <w:szCs w:val="21"/>
              </w:rPr>
              <w:t>本企业的氧气，主要为氧气气瓶，用于检维修焊接临时作业，厂区内不储存。</w:t>
            </w:r>
          </w:p>
          <w:p>
            <w:pPr>
              <w:spacing w:line="240" w:lineRule="auto"/>
              <w:ind w:firstLine="0" w:firstLineChars="0"/>
              <w:rPr>
                <w:sz w:val="21"/>
                <w:szCs w:val="21"/>
              </w:rPr>
            </w:pPr>
            <w:r>
              <w:rPr>
                <w:rFonts w:hint="eastAsia"/>
                <w:sz w:val="21"/>
                <w:szCs w:val="21"/>
              </w:rPr>
              <w:t>检修焊接现场配电线路采用封闭式金属槽盒。</w:t>
            </w:r>
          </w:p>
        </w:tc>
        <w:tc>
          <w:tcPr>
            <w:tcW w:w="1702" w:type="pct"/>
            <w:vAlign w:val="center"/>
          </w:tcPr>
          <w:p>
            <w:pPr>
              <w:spacing w:line="240" w:lineRule="auto"/>
              <w:ind w:firstLine="0" w:firstLineChars="0"/>
              <w:jc w:val="center"/>
              <w:rPr>
                <w:sz w:val="21"/>
                <w:szCs w:val="21"/>
              </w:rPr>
            </w:pPr>
            <w:r>
              <w:rPr>
                <w:rFonts w:hint="eastAsia"/>
                <w:sz w:val="21"/>
                <w:szCs w:val="21"/>
              </w:rPr>
              <w:t>乙炔气瓶仅用于检维修焊接临时作业，厂区内不作储存。</w:t>
            </w:r>
          </w:p>
          <w:p>
            <w:pPr>
              <w:pStyle w:val="2"/>
              <w:spacing w:after="0" w:line="240" w:lineRule="auto"/>
              <w:ind w:firstLine="0" w:firstLineChars="0"/>
              <w:rPr>
                <w:sz w:val="21"/>
                <w:szCs w:val="21"/>
              </w:rPr>
            </w:pPr>
            <w:r>
              <w:rPr>
                <w:rFonts w:hint="eastAsia"/>
                <w:sz w:val="21"/>
                <w:szCs w:val="21"/>
              </w:rPr>
              <w:t>检修焊接现场配电线路采用封闭式金属槽盒。</w:t>
            </w:r>
          </w:p>
        </w:tc>
        <w:tc>
          <w:tcPr>
            <w:tcW w:w="444" w:type="pct"/>
            <w:vAlign w:val="center"/>
          </w:tcPr>
          <w:p>
            <w:pPr>
              <w:spacing w:line="240" w:lineRule="auto"/>
              <w:ind w:firstLine="0" w:firstLineChars="0"/>
              <w:rPr>
                <w:rFonts w:ascii="宋体" w:hAnsi="宋体"/>
                <w:sz w:val="21"/>
                <w:szCs w:val="21"/>
              </w:rPr>
            </w:pPr>
            <w:r>
              <w:rPr>
                <w:rFonts w:hint="eastAsia" w:ascii="宋体" w:hAnsi="宋体"/>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8" w:hRule="atLeast"/>
          <w:jc w:val="center"/>
        </w:trPr>
        <w:tc>
          <w:tcPr>
            <w:tcW w:w="656" w:type="pct"/>
            <w:vAlign w:val="center"/>
          </w:tcPr>
          <w:p>
            <w:pPr>
              <w:spacing w:line="240" w:lineRule="auto"/>
              <w:ind w:firstLine="0" w:firstLineChars="0"/>
              <w:jc w:val="center"/>
              <w:rPr>
                <w:b/>
                <w:bCs/>
                <w:sz w:val="21"/>
                <w:szCs w:val="21"/>
              </w:rPr>
            </w:pPr>
            <w:bookmarkStart w:id="379" w:name="_Toc76119906"/>
            <w:r>
              <w:rPr>
                <w:rFonts w:hint="eastAsia"/>
                <w:b/>
                <w:bCs/>
                <w:sz w:val="21"/>
                <w:szCs w:val="21"/>
              </w:rPr>
              <w:t>5.1.</w:t>
            </w:r>
            <w:bookmarkEnd w:id="379"/>
            <w:r>
              <w:rPr>
                <w:rFonts w:hint="eastAsia"/>
                <w:b/>
                <w:bCs/>
                <w:sz w:val="21"/>
                <w:szCs w:val="21"/>
              </w:rPr>
              <w:t>4</w:t>
            </w:r>
          </w:p>
        </w:tc>
        <w:tc>
          <w:tcPr>
            <w:tcW w:w="2196" w:type="pct"/>
            <w:vAlign w:val="center"/>
          </w:tcPr>
          <w:p>
            <w:pPr>
              <w:spacing w:line="240" w:lineRule="auto"/>
              <w:ind w:firstLine="0" w:firstLineChars="0"/>
              <w:rPr>
                <w:b/>
                <w:bCs/>
                <w:sz w:val="21"/>
                <w:szCs w:val="21"/>
              </w:rPr>
            </w:pPr>
            <w:r>
              <w:rPr>
                <w:rFonts w:hint="eastAsia"/>
                <w:b/>
                <w:bCs/>
                <w:sz w:val="21"/>
                <w:szCs w:val="21"/>
              </w:rPr>
              <w:t>黑醇酸调和漆</w:t>
            </w:r>
          </w:p>
        </w:tc>
        <w:tc>
          <w:tcPr>
            <w:tcW w:w="1702" w:type="pct"/>
            <w:vAlign w:val="center"/>
          </w:tcPr>
          <w:p>
            <w:pPr>
              <w:spacing w:line="240" w:lineRule="auto"/>
              <w:ind w:firstLine="0" w:firstLineChars="0"/>
              <w:rPr>
                <w:sz w:val="21"/>
                <w:szCs w:val="21"/>
              </w:rPr>
            </w:pPr>
          </w:p>
        </w:tc>
        <w:tc>
          <w:tcPr>
            <w:tcW w:w="444" w:type="pct"/>
            <w:vAlign w:val="center"/>
          </w:tcPr>
          <w:p>
            <w:pPr>
              <w:spacing w:line="240" w:lineRule="auto"/>
              <w:ind w:firstLine="0" w:firstLineChars="0"/>
              <w:jc w:val="center"/>
              <w:rPr>
                <w:rFonts w:ascii="宋体" w:hAnsi="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Merge w:val="restart"/>
            <w:vAlign w:val="center"/>
          </w:tcPr>
          <w:p>
            <w:pPr>
              <w:spacing w:line="240" w:lineRule="auto"/>
              <w:ind w:firstLine="0" w:firstLineChars="0"/>
              <w:jc w:val="center"/>
              <w:rPr>
                <w:sz w:val="21"/>
                <w:szCs w:val="21"/>
              </w:rPr>
            </w:pPr>
            <w:r>
              <w:rPr>
                <w:rFonts w:hint="eastAsia"/>
                <w:sz w:val="21"/>
                <w:szCs w:val="21"/>
              </w:rPr>
              <w:t>5.1.4.3</w:t>
            </w:r>
          </w:p>
        </w:tc>
        <w:tc>
          <w:tcPr>
            <w:tcW w:w="2196" w:type="pct"/>
            <w:vAlign w:val="center"/>
          </w:tcPr>
          <w:p>
            <w:pPr>
              <w:spacing w:line="240" w:lineRule="auto"/>
              <w:ind w:firstLine="0" w:firstLineChars="0"/>
              <w:rPr>
                <w:sz w:val="21"/>
                <w:szCs w:val="21"/>
              </w:rPr>
            </w:pPr>
            <w:r>
              <w:rPr>
                <w:rFonts w:hint="eastAsia"/>
                <w:sz w:val="21"/>
                <w:szCs w:val="21"/>
              </w:rPr>
              <w:t>1）油漆与金属防锈用油等易燃易爆同库储存（储存于厂房北侧中间仓库）。油漆采用桶装密封储存，存储区域周边设置围堰。</w:t>
            </w:r>
          </w:p>
        </w:tc>
        <w:tc>
          <w:tcPr>
            <w:tcW w:w="1702" w:type="pct"/>
            <w:vAlign w:val="center"/>
          </w:tcPr>
          <w:p>
            <w:pPr>
              <w:spacing w:line="240" w:lineRule="auto"/>
              <w:ind w:firstLine="0" w:firstLineChars="0"/>
              <w:rPr>
                <w:rFonts w:ascii="宋体" w:hAnsi="宋体"/>
                <w:sz w:val="21"/>
                <w:szCs w:val="21"/>
              </w:rPr>
            </w:pPr>
            <w:r>
              <w:rPr>
                <w:rFonts w:hint="eastAsia"/>
                <w:sz w:val="21"/>
                <w:szCs w:val="21"/>
              </w:rPr>
              <w:t>油漆采用桶装密封储存，存储区域周边设置围堰。</w:t>
            </w:r>
          </w:p>
        </w:tc>
        <w:tc>
          <w:tcPr>
            <w:tcW w:w="444"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Merge w:val="continue"/>
            <w:vAlign w:val="center"/>
          </w:tcPr>
          <w:p>
            <w:pPr>
              <w:autoSpaceDE w:val="0"/>
              <w:autoSpaceDN w:val="0"/>
              <w:spacing w:line="240" w:lineRule="auto"/>
              <w:ind w:firstLine="0" w:firstLineChars="0"/>
              <w:jc w:val="center"/>
              <w:textAlignment w:val="bottom"/>
              <w:rPr>
                <w:rFonts w:ascii="宋体" w:hAnsi="宋体"/>
                <w:sz w:val="21"/>
                <w:szCs w:val="21"/>
              </w:rPr>
            </w:pPr>
          </w:p>
        </w:tc>
        <w:tc>
          <w:tcPr>
            <w:tcW w:w="2196" w:type="pct"/>
            <w:vAlign w:val="center"/>
          </w:tcPr>
          <w:p>
            <w:pPr>
              <w:spacing w:line="240" w:lineRule="auto"/>
              <w:ind w:firstLine="0" w:firstLineChars="0"/>
              <w:rPr>
                <w:sz w:val="21"/>
                <w:szCs w:val="21"/>
              </w:rPr>
            </w:pPr>
            <w:r>
              <w:rPr>
                <w:rFonts w:hint="eastAsia"/>
                <w:sz w:val="21"/>
                <w:szCs w:val="21"/>
              </w:rPr>
              <w:t>2）储存油漆的中间仓库及厂房西侧喷涂间的电气设备均采用防爆型，防爆等级不低于ExdIICT4。</w:t>
            </w:r>
          </w:p>
          <w:p>
            <w:pPr>
              <w:spacing w:line="240" w:lineRule="auto"/>
              <w:ind w:firstLine="0" w:firstLineChars="0"/>
              <w:rPr>
                <w:sz w:val="21"/>
                <w:szCs w:val="21"/>
              </w:rPr>
            </w:pPr>
          </w:p>
        </w:tc>
        <w:tc>
          <w:tcPr>
            <w:tcW w:w="1702" w:type="pct"/>
            <w:vAlign w:val="center"/>
          </w:tcPr>
          <w:p>
            <w:pPr>
              <w:spacing w:line="240" w:lineRule="auto"/>
              <w:ind w:firstLine="0" w:firstLineChars="0"/>
              <w:rPr>
                <w:sz w:val="21"/>
                <w:szCs w:val="21"/>
              </w:rPr>
            </w:pPr>
            <w:r>
              <w:rPr>
                <w:rFonts w:hint="eastAsia"/>
                <w:sz w:val="21"/>
                <w:szCs w:val="21"/>
              </w:rPr>
              <w:t>储存油漆的中间仓库及厂房西侧喷涂间的电气设备均采用防爆型，防爆等级不低于ExdIICT4。</w:t>
            </w:r>
          </w:p>
        </w:tc>
        <w:tc>
          <w:tcPr>
            <w:tcW w:w="444" w:type="pct"/>
            <w:vAlign w:val="center"/>
          </w:tcPr>
          <w:p>
            <w:pPr>
              <w:spacing w:line="240" w:lineRule="auto"/>
              <w:ind w:firstLine="0" w:firstLineChars="0"/>
              <w:rPr>
                <w:rFonts w:ascii="宋体" w:hAnsi="宋体"/>
                <w:sz w:val="21"/>
                <w:szCs w:val="21"/>
              </w:rPr>
            </w:pPr>
            <w:r>
              <w:rPr>
                <w:rFonts w:hint="eastAsia" w:ascii="宋体" w:hAnsi="宋体"/>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Merge w:val="continue"/>
            <w:vAlign w:val="center"/>
          </w:tcPr>
          <w:p>
            <w:pPr>
              <w:autoSpaceDE w:val="0"/>
              <w:autoSpaceDN w:val="0"/>
              <w:spacing w:line="240" w:lineRule="auto"/>
              <w:ind w:firstLine="0" w:firstLineChars="0"/>
              <w:jc w:val="center"/>
              <w:textAlignment w:val="bottom"/>
              <w:rPr>
                <w:rFonts w:ascii="宋体" w:hAnsi="宋体"/>
                <w:sz w:val="21"/>
                <w:szCs w:val="21"/>
              </w:rPr>
            </w:pPr>
          </w:p>
        </w:tc>
        <w:tc>
          <w:tcPr>
            <w:tcW w:w="2196" w:type="pct"/>
            <w:vAlign w:val="center"/>
          </w:tcPr>
          <w:p>
            <w:pPr>
              <w:spacing w:line="240" w:lineRule="auto"/>
              <w:ind w:firstLine="0" w:firstLineChars="0"/>
              <w:rPr>
                <w:sz w:val="21"/>
                <w:szCs w:val="21"/>
              </w:rPr>
            </w:pPr>
            <w:r>
              <w:rPr>
                <w:rFonts w:hint="eastAsia"/>
                <w:sz w:val="21"/>
                <w:szCs w:val="21"/>
              </w:rPr>
              <w:t>3）中间仓库与厂房西侧喷涂间设置防爆事故风机，通风次数按12次/h设计。</w:t>
            </w:r>
          </w:p>
        </w:tc>
        <w:tc>
          <w:tcPr>
            <w:tcW w:w="1702" w:type="pct"/>
            <w:vAlign w:val="center"/>
          </w:tcPr>
          <w:p>
            <w:pPr>
              <w:spacing w:line="240" w:lineRule="auto"/>
              <w:ind w:firstLine="0" w:firstLineChars="0"/>
              <w:rPr>
                <w:sz w:val="21"/>
                <w:szCs w:val="21"/>
              </w:rPr>
            </w:pPr>
            <w:r>
              <w:rPr>
                <w:rFonts w:hint="eastAsia"/>
                <w:sz w:val="21"/>
                <w:szCs w:val="21"/>
              </w:rPr>
              <w:t>未设置中间仓库。厂房西侧静电粉末喷涂间设置防爆事故风机，通风次数按12次/h设计。</w:t>
            </w:r>
          </w:p>
        </w:tc>
        <w:tc>
          <w:tcPr>
            <w:tcW w:w="444" w:type="pct"/>
            <w:vAlign w:val="center"/>
          </w:tcPr>
          <w:p>
            <w:pPr>
              <w:spacing w:line="240" w:lineRule="auto"/>
              <w:ind w:firstLine="0" w:firstLineChars="0"/>
              <w:rPr>
                <w:rFonts w:ascii="宋体" w:hAnsi="宋体"/>
                <w:sz w:val="21"/>
                <w:szCs w:val="21"/>
              </w:rPr>
            </w:pPr>
            <w:r>
              <w:rPr>
                <w:rFonts w:hint="eastAsia" w:ascii="宋体" w:hAnsi="宋体"/>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Merge w:val="continue"/>
            <w:vAlign w:val="center"/>
          </w:tcPr>
          <w:p>
            <w:pPr>
              <w:autoSpaceDE w:val="0"/>
              <w:autoSpaceDN w:val="0"/>
              <w:spacing w:line="240" w:lineRule="auto"/>
              <w:ind w:firstLine="0" w:firstLineChars="0"/>
              <w:jc w:val="center"/>
              <w:textAlignment w:val="bottom"/>
              <w:rPr>
                <w:rFonts w:ascii="宋体" w:hAnsi="宋体"/>
                <w:sz w:val="21"/>
                <w:szCs w:val="21"/>
              </w:rPr>
            </w:pPr>
          </w:p>
        </w:tc>
        <w:tc>
          <w:tcPr>
            <w:tcW w:w="2196" w:type="pct"/>
            <w:vAlign w:val="center"/>
          </w:tcPr>
          <w:p>
            <w:pPr>
              <w:spacing w:line="240" w:lineRule="auto"/>
              <w:ind w:firstLine="0" w:firstLineChars="0"/>
              <w:rPr>
                <w:sz w:val="21"/>
                <w:szCs w:val="21"/>
              </w:rPr>
            </w:pPr>
            <w:r>
              <w:rPr>
                <w:rFonts w:hint="eastAsia"/>
                <w:sz w:val="21"/>
                <w:szCs w:val="21"/>
              </w:rPr>
              <w:t>4）中间仓库及厂房西侧喷涂间设置有可燃气体探测器。当空气中的可燃气体浓度达到爆炸极限的25%时发出声光报警，当空气中的浓度达到爆炸极限的50%时，联动开启所在区域的事故风机。</w:t>
            </w:r>
          </w:p>
        </w:tc>
        <w:tc>
          <w:tcPr>
            <w:tcW w:w="1702" w:type="pct"/>
            <w:vAlign w:val="center"/>
          </w:tcPr>
          <w:p>
            <w:pPr>
              <w:spacing w:line="240" w:lineRule="auto"/>
              <w:ind w:firstLine="0" w:firstLineChars="0"/>
              <w:rPr>
                <w:rFonts w:ascii="宋体" w:hAnsi="宋体"/>
                <w:sz w:val="21"/>
                <w:szCs w:val="21"/>
              </w:rPr>
            </w:pPr>
            <w:r>
              <w:rPr>
                <w:rFonts w:hint="eastAsia"/>
                <w:sz w:val="21"/>
                <w:szCs w:val="21"/>
              </w:rPr>
              <w:t>厂房西侧喷涂间设置有粉尘浓度检测报警仪和事故风机。</w:t>
            </w:r>
          </w:p>
        </w:tc>
        <w:tc>
          <w:tcPr>
            <w:tcW w:w="444"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Merge w:val="continue"/>
            <w:vAlign w:val="center"/>
          </w:tcPr>
          <w:p>
            <w:pPr>
              <w:autoSpaceDE w:val="0"/>
              <w:autoSpaceDN w:val="0"/>
              <w:spacing w:line="240" w:lineRule="auto"/>
              <w:ind w:firstLine="0" w:firstLineChars="0"/>
              <w:jc w:val="center"/>
              <w:textAlignment w:val="bottom"/>
              <w:rPr>
                <w:rFonts w:ascii="宋体" w:hAnsi="宋体"/>
                <w:sz w:val="21"/>
                <w:szCs w:val="21"/>
              </w:rPr>
            </w:pPr>
          </w:p>
        </w:tc>
        <w:tc>
          <w:tcPr>
            <w:tcW w:w="2196" w:type="pct"/>
            <w:vAlign w:val="center"/>
          </w:tcPr>
          <w:p>
            <w:pPr>
              <w:spacing w:line="240" w:lineRule="auto"/>
              <w:ind w:firstLine="0" w:firstLineChars="0"/>
              <w:rPr>
                <w:sz w:val="21"/>
                <w:szCs w:val="21"/>
              </w:rPr>
            </w:pPr>
            <w:r>
              <w:rPr>
                <w:rFonts w:hint="eastAsia"/>
                <w:sz w:val="21"/>
                <w:szCs w:val="21"/>
              </w:rPr>
              <w:t>5）喷涂间采用密闭负压作业。并设置有漆雾净化处理装置。</w:t>
            </w:r>
          </w:p>
        </w:tc>
        <w:tc>
          <w:tcPr>
            <w:tcW w:w="1702" w:type="pct"/>
            <w:vAlign w:val="center"/>
          </w:tcPr>
          <w:p>
            <w:pPr>
              <w:spacing w:line="240" w:lineRule="auto"/>
              <w:ind w:firstLine="0" w:firstLineChars="0"/>
              <w:rPr>
                <w:rFonts w:ascii="宋体" w:hAnsi="宋体"/>
                <w:sz w:val="21"/>
                <w:szCs w:val="21"/>
              </w:rPr>
            </w:pPr>
            <w:r>
              <w:rPr>
                <w:rFonts w:hint="eastAsia"/>
                <w:sz w:val="21"/>
                <w:szCs w:val="21"/>
                <w:lang w:val="en-US" w:eastAsia="zh-CN"/>
              </w:rPr>
              <w:t>项目设置专用喷涂，采用静电粉末喷涂，无漆雾。</w:t>
            </w:r>
          </w:p>
        </w:tc>
        <w:tc>
          <w:tcPr>
            <w:tcW w:w="444"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Merge w:val="continue"/>
            <w:vAlign w:val="center"/>
          </w:tcPr>
          <w:p>
            <w:pPr>
              <w:autoSpaceDE w:val="0"/>
              <w:autoSpaceDN w:val="0"/>
              <w:spacing w:line="240" w:lineRule="auto"/>
              <w:ind w:firstLine="0" w:firstLineChars="0"/>
              <w:jc w:val="center"/>
              <w:textAlignment w:val="bottom"/>
              <w:rPr>
                <w:rFonts w:ascii="宋体" w:hAnsi="宋体"/>
                <w:sz w:val="21"/>
                <w:szCs w:val="21"/>
              </w:rPr>
            </w:pPr>
          </w:p>
        </w:tc>
        <w:tc>
          <w:tcPr>
            <w:tcW w:w="2196" w:type="pct"/>
            <w:vAlign w:val="center"/>
          </w:tcPr>
          <w:p>
            <w:pPr>
              <w:spacing w:line="240" w:lineRule="auto"/>
              <w:ind w:firstLine="0" w:firstLineChars="0"/>
              <w:rPr>
                <w:sz w:val="21"/>
                <w:szCs w:val="21"/>
              </w:rPr>
            </w:pPr>
            <w:r>
              <w:rPr>
                <w:rFonts w:hint="eastAsia"/>
                <w:sz w:val="21"/>
                <w:szCs w:val="21"/>
              </w:rPr>
              <w:t>6）中间仓库紧邻厂房一北侧墙面，厂房墙面与屋面分别采用轻质墙体与轻质屋面，满足事故泄压的要求。</w:t>
            </w:r>
          </w:p>
        </w:tc>
        <w:tc>
          <w:tcPr>
            <w:tcW w:w="1702" w:type="pct"/>
            <w:vAlign w:val="center"/>
          </w:tcPr>
          <w:p>
            <w:pPr>
              <w:spacing w:line="240" w:lineRule="auto"/>
              <w:ind w:firstLine="0" w:firstLineChars="0"/>
              <w:jc w:val="center"/>
              <w:rPr>
                <w:sz w:val="21"/>
                <w:szCs w:val="21"/>
              </w:rPr>
            </w:pPr>
            <w:r>
              <w:rPr>
                <w:rFonts w:hint="eastAsia"/>
                <w:sz w:val="21"/>
                <w:szCs w:val="21"/>
              </w:rPr>
              <w:t>/</w:t>
            </w:r>
          </w:p>
        </w:tc>
        <w:tc>
          <w:tcPr>
            <w:tcW w:w="444"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Merge w:val="continue"/>
            <w:vAlign w:val="center"/>
          </w:tcPr>
          <w:p>
            <w:pPr>
              <w:autoSpaceDE w:val="0"/>
              <w:autoSpaceDN w:val="0"/>
              <w:spacing w:line="240" w:lineRule="auto"/>
              <w:ind w:firstLine="0" w:firstLineChars="0"/>
              <w:jc w:val="center"/>
              <w:textAlignment w:val="bottom"/>
              <w:rPr>
                <w:rFonts w:ascii="宋体" w:hAnsi="宋体"/>
                <w:sz w:val="21"/>
                <w:szCs w:val="21"/>
              </w:rPr>
            </w:pPr>
          </w:p>
        </w:tc>
        <w:tc>
          <w:tcPr>
            <w:tcW w:w="2196" w:type="pct"/>
            <w:vAlign w:val="center"/>
          </w:tcPr>
          <w:p>
            <w:pPr>
              <w:spacing w:line="240" w:lineRule="auto"/>
              <w:ind w:firstLine="0" w:firstLineChars="0"/>
              <w:rPr>
                <w:sz w:val="21"/>
                <w:szCs w:val="21"/>
              </w:rPr>
            </w:pPr>
            <w:r>
              <w:rPr>
                <w:rFonts w:hint="eastAsia"/>
                <w:sz w:val="21"/>
                <w:szCs w:val="21"/>
              </w:rPr>
              <w:t>7）中间仓库屋面全面积采用轻质屋面，满足事故泄压的要求。</w:t>
            </w:r>
          </w:p>
        </w:tc>
        <w:tc>
          <w:tcPr>
            <w:tcW w:w="1702" w:type="pct"/>
            <w:vAlign w:val="center"/>
          </w:tcPr>
          <w:p>
            <w:pPr>
              <w:spacing w:line="240" w:lineRule="auto"/>
              <w:ind w:firstLine="0" w:firstLineChars="0"/>
              <w:jc w:val="center"/>
              <w:rPr>
                <w:sz w:val="21"/>
                <w:szCs w:val="21"/>
              </w:rPr>
            </w:pPr>
            <w:r>
              <w:rPr>
                <w:rFonts w:hint="eastAsia"/>
                <w:sz w:val="21"/>
                <w:szCs w:val="21"/>
              </w:rPr>
              <w:t>/</w:t>
            </w:r>
          </w:p>
        </w:tc>
        <w:tc>
          <w:tcPr>
            <w:tcW w:w="444"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Merge w:val="continue"/>
            <w:vAlign w:val="center"/>
          </w:tcPr>
          <w:p>
            <w:pPr>
              <w:autoSpaceDE w:val="0"/>
              <w:autoSpaceDN w:val="0"/>
              <w:spacing w:line="240" w:lineRule="auto"/>
              <w:ind w:firstLine="0" w:firstLineChars="0"/>
              <w:jc w:val="center"/>
              <w:textAlignment w:val="bottom"/>
              <w:rPr>
                <w:rFonts w:ascii="宋体" w:hAnsi="宋体"/>
                <w:sz w:val="21"/>
                <w:szCs w:val="21"/>
              </w:rPr>
            </w:pPr>
          </w:p>
        </w:tc>
        <w:tc>
          <w:tcPr>
            <w:tcW w:w="2196" w:type="pct"/>
            <w:vAlign w:val="center"/>
          </w:tcPr>
          <w:p>
            <w:pPr>
              <w:spacing w:line="240" w:lineRule="auto"/>
              <w:ind w:firstLine="0" w:firstLineChars="0"/>
              <w:rPr>
                <w:sz w:val="21"/>
                <w:szCs w:val="21"/>
              </w:rPr>
            </w:pPr>
            <w:r>
              <w:rPr>
                <w:rFonts w:hint="eastAsia"/>
                <w:sz w:val="21"/>
                <w:szCs w:val="21"/>
              </w:rPr>
              <w:t>8）油漆中间仓库外及喷涂间外各设置1处洗眼器。</w:t>
            </w:r>
          </w:p>
        </w:tc>
        <w:tc>
          <w:tcPr>
            <w:tcW w:w="1702" w:type="pct"/>
            <w:vAlign w:val="center"/>
          </w:tcPr>
          <w:p>
            <w:pPr>
              <w:spacing w:line="240" w:lineRule="auto"/>
              <w:ind w:firstLine="0" w:firstLineChars="0"/>
              <w:jc w:val="center"/>
              <w:rPr>
                <w:sz w:val="21"/>
                <w:szCs w:val="21"/>
              </w:rPr>
            </w:pPr>
            <w:r>
              <w:rPr>
                <w:rFonts w:hint="eastAsia"/>
                <w:sz w:val="21"/>
                <w:szCs w:val="21"/>
              </w:rPr>
              <w:t>设置洗眼器。</w:t>
            </w:r>
          </w:p>
        </w:tc>
        <w:tc>
          <w:tcPr>
            <w:tcW w:w="444"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Merge w:val="continue"/>
            <w:vAlign w:val="center"/>
          </w:tcPr>
          <w:p>
            <w:pPr>
              <w:autoSpaceDE w:val="0"/>
              <w:autoSpaceDN w:val="0"/>
              <w:spacing w:line="240" w:lineRule="auto"/>
              <w:ind w:firstLine="0" w:firstLineChars="0"/>
              <w:jc w:val="center"/>
              <w:textAlignment w:val="bottom"/>
              <w:rPr>
                <w:rFonts w:ascii="宋体" w:hAnsi="宋体"/>
                <w:sz w:val="21"/>
                <w:szCs w:val="21"/>
              </w:rPr>
            </w:pPr>
          </w:p>
        </w:tc>
        <w:tc>
          <w:tcPr>
            <w:tcW w:w="2196" w:type="pct"/>
            <w:vAlign w:val="center"/>
          </w:tcPr>
          <w:p>
            <w:pPr>
              <w:spacing w:line="240" w:lineRule="auto"/>
              <w:ind w:firstLine="0" w:firstLineChars="0"/>
              <w:rPr>
                <w:sz w:val="21"/>
                <w:szCs w:val="21"/>
              </w:rPr>
            </w:pPr>
            <w:r>
              <w:rPr>
                <w:rFonts w:hint="eastAsia"/>
                <w:sz w:val="21"/>
                <w:szCs w:val="21"/>
              </w:rPr>
              <w:t>9)中间仓库内用量不能超过一昼夜的使用量。</w:t>
            </w:r>
          </w:p>
        </w:tc>
        <w:tc>
          <w:tcPr>
            <w:tcW w:w="1702" w:type="pct"/>
            <w:vAlign w:val="center"/>
          </w:tcPr>
          <w:p>
            <w:pPr>
              <w:spacing w:line="240" w:lineRule="auto"/>
              <w:ind w:firstLine="0" w:firstLineChars="0"/>
              <w:jc w:val="center"/>
              <w:rPr>
                <w:sz w:val="21"/>
                <w:szCs w:val="21"/>
              </w:rPr>
            </w:pPr>
            <w:r>
              <w:rPr>
                <w:rFonts w:hint="eastAsia"/>
                <w:sz w:val="21"/>
                <w:szCs w:val="21"/>
              </w:rPr>
              <w:t>/</w:t>
            </w:r>
          </w:p>
        </w:tc>
        <w:tc>
          <w:tcPr>
            <w:tcW w:w="444"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656" w:type="pct"/>
            <w:vAlign w:val="center"/>
          </w:tcPr>
          <w:p>
            <w:pPr>
              <w:autoSpaceDE w:val="0"/>
              <w:autoSpaceDN w:val="0"/>
              <w:spacing w:line="240" w:lineRule="auto"/>
              <w:ind w:firstLine="0" w:firstLineChars="0"/>
              <w:jc w:val="center"/>
              <w:textAlignment w:val="bottom"/>
              <w:rPr>
                <w:rFonts w:ascii="宋体" w:hAnsi="宋体"/>
                <w:b/>
                <w:bCs/>
                <w:sz w:val="21"/>
                <w:szCs w:val="21"/>
              </w:rPr>
            </w:pPr>
            <w:r>
              <w:rPr>
                <w:rFonts w:hint="eastAsia"/>
                <w:b/>
                <w:bCs/>
                <w:sz w:val="21"/>
                <w:szCs w:val="21"/>
              </w:rPr>
              <w:t>5.1.5</w:t>
            </w:r>
          </w:p>
        </w:tc>
        <w:tc>
          <w:tcPr>
            <w:tcW w:w="2196" w:type="pct"/>
            <w:vAlign w:val="center"/>
          </w:tcPr>
          <w:p>
            <w:pPr>
              <w:spacing w:line="240" w:lineRule="auto"/>
              <w:ind w:firstLine="0" w:firstLineChars="0"/>
              <w:rPr>
                <w:rFonts w:hint="eastAsia" w:eastAsia="宋体"/>
                <w:b/>
                <w:bCs/>
                <w:sz w:val="21"/>
                <w:szCs w:val="21"/>
                <w:lang w:eastAsia="zh-CN"/>
              </w:rPr>
            </w:pPr>
            <w:r>
              <w:rPr>
                <w:rFonts w:hint="eastAsia"/>
                <w:b/>
                <w:bCs/>
                <w:sz w:val="21"/>
                <w:szCs w:val="21"/>
                <w:lang w:eastAsia="zh-CN"/>
              </w:rPr>
              <w:t>铁红油性防锈漆</w:t>
            </w:r>
          </w:p>
        </w:tc>
        <w:tc>
          <w:tcPr>
            <w:tcW w:w="1702" w:type="pct"/>
            <w:vAlign w:val="center"/>
          </w:tcPr>
          <w:p>
            <w:pPr>
              <w:spacing w:line="240" w:lineRule="auto"/>
              <w:ind w:firstLine="0" w:firstLineChars="0"/>
              <w:jc w:val="center"/>
              <w:rPr>
                <w:sz w:val="21"/>
                <w:szCs w:val="21"/>
              </w:rPr>
            </w:pPr>
            <w:r>
              <w:rPr>
                <w:rFonts w:hint="eastAsia"/>
                <w:sz w:val="21"/>
                <w:szCs w:val="21"/>
              </w:rPr>
              <w:t>/</w:t>
            </w:r>
          </w:p>
        </w:tc>
        <w:tc>
          <w:tcPr>
            <w:tcW w:w="444"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Merge w:val="restart"/>
            <w:vAlign w:val="center"/>
          </w:tcPr>
          <w:p>
            <w:pPr>
              <w:autoSpaceDE w:val="0"/>
              <w:autoSpaceDN w:val="0"/>
              <w:spacing w:line="240" w:lineRule="auto"/>
              <w:ind w:firstLine="0" w:firstLineChars="0"/>
              <w:jc w:val="center"/>
              <w:textAlignment w:val="bottom"/>
              <w:rPr>
                <w:rFonts w:ascii="宋体" w:hAnsi="宋体"/>
                <w:sz w:val="21"/>
                <w:szCs w:val="21"/>
              </w:rPr>
            </w:pPr>
            <w:r>
              <w:rPr>
                <w:rFonts w:hint="eastAsia" w:ascii="宋体" w:hAnsi="宋体"/>
                <w:sz w:val="21"/>
                <w:szCs w:val="21"/>
              </w:rPr>
              <w:t>5.1.5.3</w:t>
            </w:r>
          </w:p>
        </w:tc>
        <w:tc>
          <w:tcPr>
            <w:tcW w:w="2196" w:type="pct"/>
            <w:vAlign w:val="center"/>
          </w:tcPr>
          <w:p>
            <w:pPr>
              <w:spacing w:line="240" w:lineRule="auto"/>
              <w:ind w:firstLine="0" w:firstLineChars="0"/>
              <w:rPr>
                <w:sz w:val="21"/>
                <w:szCs w:val="21"/>
              </w:rPr>
            </w:pPr>
            <w:r>
              <w:rPr>
                <w:rFonts w:hint="eastAsia"/>
                <w:sz w:val="21"/>
                <w:szCs w:val="21"/>
              </w:rPr>
              <w:t>1）油漆与金属防锈用油等易燃易爆同库储存（储存于厂房北侧中间仓库）。油漆采用桶装密封储存，存储区域周边设置围堰。</w:t>
            </w:r>
          </w:p>
        </w:tc>
        <w:tc>
          <w:tcPr>
            <w:tcW w:w="1702" w:type="pct"/>
            <w:vAlign w:val="center"/>
          </w:tcPr>
          <w:p>
            <w:pPr>
              <w:spacing w:line="240" w:lineRule="auto"/>
              <w:ind w:firstLine="0" w:firstLineChars="0"/>
              <w:rPr>
                <w:sz w:val="21"/>
                <w:szCs w:val="21"/>
              </w:rPr>
            </w:pPr>
            <w:r>
              <w:rPr>
                <w:rFonts w:hint="eastAsia"/>
                <w:sz w:val="21"/>
                <w:szCs w:val="21"/>
              </w:rPr>
              <w:t>油漆采用桶装密封储存，存储区域周边设置围堰。</w:t>
            </w:r>
          </w:p>
        </w:tc>
        <w:tc>
          <w:tcPr>
            <w:tcW w:w="444"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Merge w:val="continue"/>
            <w:vAlign w:val="center"/>
          </w:tcPr>
          <w:p>
            <w:pPr>
              <w:autoSpaceDE w:val="0"/>
              <w:autoSpaceDN w:val="0"/>
              <w:spacing w:line="240" w:lineRule="auto"/>
              <w:ind w:firstLine="0" w:firstLineChars="0"/>
              <w:jc w:val="center"/>
              <w:textAlignment w:val="bottom"/>
              <w:rPr>
                <w:rFonts w:ascii="宋体" w:hAnsi="宋体"/>
                <w:sz w:val="21"/>
                <w:szCs w:val="21"/>
              </w:rPr>
            </w:pPr>
          </w:p>
        </w:tc>
        <w:tc>
          <w:tcPr>
            <w:tcW w:w="2196" w:type="pct"/>
            <w:vAlign w:val="center"/>
          </w:tcPr>
          <w:p>
            <w:pPr>
              <w:spacing w:line="240" w:lineRule="auto"/>
              <w:ind w:firstLine="0" w:firstLineChars="0"/>
              <w:rPr>
                <w:sz w:val="21"/>
                <w:szCs w:val="21"/>
              </w:rPr>
            </w:pPr>
            <w:r>
              <w:rPr>
                <w:rFonts w:hint="eastAsia"/>
                <w:sz w:val="21"/>
                <w:szCs w:val="21"/>
              </w:rPr>
              <w:t>2）储存油漆的中间仓库及厂房西侧喷涂间的电气设备均采用防爆型，防爆等级不低于ExdIICT4。</w:t>
            </w:r>
          </w:p>
        </w:tc>
        <w:tc>
          <w:tcPr>
            <w:tcW w:w="1702" w:type="pct"/>
            <w:vAlign w:val="center"/>
          </w:tcPr>
          <w:p>
            <w:pPr>
              <w:spacing w:line="240" w:lineRule="auto"/>
              <w:ind w:firstLine="0" w:firstLineChars="0"/>
              <w:rPr>
                <w:sz w:val="21"/>
                <w:szCs w:val="21"/>
              </w:rPr>
            </w:pPr>
            <w:r>
              <w:rPr>
                <w:rFonts w:hint="eastAsia"/>
                <w:sz w:val="21"/>
                <w:szCs w:val="21"/>
              </w:rPr>
              <w:t>未设置中间仓库。厂房西侧喷涂间的电气设备均采用防爆型，防爆等级不低于ExdIICT4。</w:t>
            </w:r>
          </w:p>
        </w:tc>
        <w:tc>
          <w:tcPr>
            <w:tcW w:w="444"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Merge w:val="continue"/>
            <w:vAlign w:val="center"/>
          </w:tcPr>
          <w:p>
            <w:pPr>
              <w:autoSpaceDE w:val="0"/>
              <w:autoSpaceDN w:val="0"/>
              <w:spacing w:line="240" w:lineRule="auto"/>
              <w:ind w:firstLine="0" w:firstLineChars="0"/>
              <w:jc w:val="center"/>
              <w:textAlignment w:val="bottom"/>
              <w:rPr>
                <w:rFonts w:ascii="宋体" w:hAnsi="宋体"/>
                <w:sz w:val="21"/>
                <w:szCs w:val="21"/>
              </w:rPr>
            </w:pPr>
          </w:p>
        </w:tc>
        <w:tc>
          <w:tcPr>
            <w:tcW w:w="2196" w:type="pct"/>
            <w:vAlign w:val="center"/>
          </w:tcPr>
          <w:p>
            <w:pPr>
              <w:spacing w:line="240" w:lineRule="auto"/>
              <w:ind w:firstLine="0" w:firstLineChars="0"/>
              <w:rPr>
                <w:sz w:val="21"/>
                <w:szCs w:val="21"/>
              </w:rPr>
            </w:pPr>
            <w:r>
              <w:rPr>
                <w:rFonts w:hint="eastAsia"/>
                <w:sz w:val="21"/>
                <w:szCs w:val="21"/>
              </w:rPr>
              <w:t>3）中间仓库与厂房西侧喷涂间设置防爆事故风机，通风次数按12次/h设计。</w:t>
            </w:r>
          </w:p>
        </w:tc>
        <w:tc>
          <w:tcPr>
            <w:tcW w:w="1702" w:type="pct"/>
            <w:vAlign w:val="center"/>
          </w:tcPr>
          <w:p>
            <w:pPr>
              <w:spacing w:line="240" w:lineRule="auto"/>
              <w:ind w:firstLine="0" w:firstLineChars="0"/>
              <w:rPr>
                <w:sz w:val="21"/>
                <w:szCs w:val="21"/>
              </w:rPr>
            </w:pPr>
            <w:r>
              <w:rPr>
                <w:rFonts w:hint="eastAsia"/>
                <w:sz w:val="21"/>
                <w:szCs w:val="21"/>
              </w:rPr>
              <w:t>未设置中间仓库。厂房西侧喷涂间设置防爆事故风机，通风次数按12次/h设计。</w:t>
            </w:r>
          </w:p>
        </w:tc>
        <w:tc>
          <w:tcPr>
            <w:tcW w:w="444"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Merge w:val="continue"/>
            <w:vAlign w:val="center"/>
          </w:tcPr>
          <w:p>
            <w:pPr>
              <w:autoSpaceDE w:val="0"/>
              <w:autoSpaceDN w:val="0"/>
              <w:spacing w:line="240" w:lineRule="auto"/>
              <w:ind w:firstLine="0" w:firstLineChars="0"/>
              <w:jc w:val="center"/>
              <w:textAlignment w:val="bottom"/>
              <w:rPr>
                <w:rFonts w:ascii="宋体" w:hAnsi="宋体"/>
                <w:sz w:val="21"/>
                <w:szCs w:val="21"/>
              </w:rPr>
            </w:pPr>
          </w:p>
        </w:tc>
        <w:tc>
          <w:tcPr>
            <w:tcW w:w="2196" w:type="pct"/>
            <w:vAlign w:val="center"/>
          </w:tcPr>
          <w:p>
            <w:pPr>
              <w:spacing w:line="240" w:lineRule="auto"/>
              <w:ind w:firstLine="0" w:firstLineChars="0"/>
              <w:rPr>
                <w:sz w:val="21"/>
                <w:szCs w:val="21"/>
              </w:rPr>
            </w:pPr>
            <w:r>
              <w:rPr>
                <w:rFonts w:hint="eastAsia"/>
                <w:sz w:val="21"/>
                <w:szCs w:val="21"/>
              </w:rPr>
              <w:t>4）中间仓库及厂房西侧喷涂间设置有可燃气体探测器。当空气中的可燃气体浓度达到爆炸极限的25%时发出声光报警，当空气中的浓度达到爆炸极限的50%时，联动开启所在区域的事故风机。</w:t>
            </w:r>
          </w:p>
        </w:tc>
        <w:tc>
          <w:tcPr>
            <w:tcW w:w="1702" w:type="pct"/>
            <w:vAlign w:val="center"/>
          </w:tcPr>
          <w:p>
            <w:pPr>
              <w:spacing w:line="240" w:lineRule="auto"/>
              <w:ind w:firstLine="0" w:firstLineChars="0"/>
              <w:rPr>
                <w:sz w:val="21"/>
                <w:szCs w:val="21"/>
              </w:rPr>
            </w:pPr>
            <w:r>
              <w:rPr>
                <w:rFonts w:hint="eastAsia"/>
                <w:sz w:val="21"/>
                <w:szCs w:val="21"/>
              </w:rPr>
              <w:t>厂房西侧喷涂间设置有粉尘浓度检测报警仪和事故风机。粉尘浓度检测报警仪同事故风机联动。</w:t>
            </w:r>
          </w:p>
        </w:tc>
        <w:tc>
          <w:tcPr>
            <w:tcW w:w="444"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Merge w:val="continue"/>
            <w:vAlign w:val="center"/>
          </w:tcPr>
          <w:p>
            <w:pPr>
              <w:autoSpaceDE w:val="0"/>
              <w:autoSpaceDN w:val="0"/>
              <w:spacing w:line="240" w:lineRule="auto"/>
              <w:ind w:firstLine="0" w:firstLineChars="0"/>
              <w:jc w:val="center"/>
              <w:textAlignment w:val="bottom"/>
              <w:rPr>
                <w:rFonts w:ascii="宋体" w:hAnsi="宋体"/>
                <w:sz w:val="21"/>
                <w:szCs w:val="21"/>
              </w:rPr>
            </w:pPr>
          </w:p>
        </w:tc>
        <w:tc>
          <w:tcPr>
            <w:tcW w:w="2196" w:type="pct"/>
            <w:vAlign w:val="center"/>
          </w:tcPr>
          <w:p>
            <w:pPr>
              <w:spacing w:line="240" w:lineRule="auto"/>
              <w:ind w:firstLine="0" w:firstLineChars="0"/>
              <w:rPr>
                <w:sz w:val="21"/>
                <w:szCs w:val="21"/>
              </w:rPr>
            </w:pPr>
            <w:r>
              <w:rPr>
                <w:rFonts w:hint="eastAsia"/>
                <w:sz w:val="21"/>
                <w:szCs w:val="21"/>
              </w:rPr>
              <w:t>5）喷涂间采用密闭负压作业。并设置有漆雾净化处理装置。</w:t>
            </w:r>
          </w:p>
        </w:tc>
        <w:tc>
          <w:tcPr>
            <w:tcW w:w="1702" w:type="pct"/>
            <w:vAlign w:val="center"/>
          </w:tcPr>
          <w:p>
            <w:pPr>
              <w:spacing w:line="240" w:lineRule="auto"/>
              <w:ind w:firstLine="0" w:firstLineChars="0"/>
              <w:rPr>
                <w:rFonts w:hint="default" w:eastAsia="宋体"/>
                <w:sz w:val="21"/>
                <w:szCs w:val="21"/>
                <w:lang w:val="en-US" w:eastAsia="zh-CN"/>
              </w:rPr>
            </w:pPr>
            <w:r>
              <w:rPr>
                <w:rFonts w:hint="eastAsia"/>
                <w:sz w:val="21"/>
                <w:szCs w:val="21"/>
                <w:lang w:val="en-US" w:eastAsia="zh-CN"/>
              </w:rPr>
              <w:t>项目设置专用喷涂，采用静电粉末喷涂，无漆雾。</w:t>
            </w:r>
          </w:p>
        </w:tc>
        <w:tc>
          <w:tcPr>
            <w:tcW w:w="444"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Merge w:val="continue"/>
            <w:vAlign w:val="center"/>
          </w:tcPr>
          <w:p>
            <w:pPr>
              <w:autoSpaceDE w:val="0"/>
              <w:autoSpaceDN w:val="0"/>
              <w:spacing w:line="240" w:lineRule="auto"/>
              <w:ind w:firstLine="0" w:firstLineChars="0"/>
              <w:jc w:val="center"/>
              <w:textAlignment w:val="bottom"/>
              <w:rPr>
                <w:rFonts w:ascii="宋体" w:hAnsi="宋体"/>
                <w:sz w:val="21"/>
                <w:szCs w:val="21"/>
              </w:rPr>
            </w:pPr>
          </w:p>
        </w:tc>
        <w:tc>
          <w:tcPr>
            <w:tcW w:w="2196" w:type="pct"/>
            <w:vAlign w:val="center"/>
          </w:tcPr>
          <w:p>
            <w:pPr>
              <w:spacing w:line="240" w:lineRule="auto"/>
              <w:ind w:firstLine="0" w:firstLineChars="0"/>
              <w:rPr>
                <w:sz w:val="21"/>
                <w:szCs w:val="21"/>
              </w:rPr>
            </w:pPr>
            <w:r>
              <w:rPr>
                <w:rFonts w:hint="eastAsia"/>
                <w:sz w:val="21"/>
                <w:szCs w:val="21"/>
              </w:rPr>
              <w:t>6）中间仓库紧邻厂房一北侧墙面，厂房墙面与屋面分别采用轻质墙体与轻质屋面，满足事故泄压的要求。</w:t>
            </w:r>
          </w:p>
        </w:tc>
        <w:tc>
          <w:tcPr>
            <w:tcW w:w="1702" w:type="pct"/>
            <w:vAlign w:val="center"/>
          </w:tcPr>
          <w:p>
            <w:pPr>
              <w:spacing w:line="240" w:lineRule="auto"/>
              <w:ind w:firstLine="0" w:firstLineChars="0"/>
              <w:jc w:val="center"/>
              <w:rPr>
                <w:sz w:val="21"/>
                <w:szCs w:val="21"/>
              </w:rPr>
            </w:pPr>
            <w:r>
              <w:rPr>
                <w:rFonts w:hint="eastAsia"/>
                <w:sz w:val="21"/>
                <w:szCs w:val="21"/>
              </w:rPr>
              <w:t>/</w:t>
            </w:r>
          </w:p>
        </w:tc>
        <w:tc>
          <w:tcPr>
            <w:tcW w:w="444"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Merge w:val="continue"/>
            <w:vAlign w:val="center"/>
          </w:tcPr>
          <w:p>
            <w:pPr>
              <w:autoSpaceDE w:val="0"/>
              <w:autoSpaceDN w:val="0"/>
              <w:spacing w:line="240" w:lineRule="auto"/>
              <w:ind w:firstLine="0" w:firstLineChars="0"/>
              <w:jc w:val="center"/>
              <w:textAlignment w:val="bottom"/>
              <w:rPr>
                <w:rFonts w:ascii="宋体" w:hAnsi="宋体"/>
                <w:sz w:val="21"/>
                <w:szCs w:val="21"/>
              </w:rPr>
            </w:pPr>
          </w:p>
        </w:tc>
        <w:tc>
          <w:tcPr>
            <w:tcW w:w="2196" w:type="pct"/>
            <w:vAlign w:val="center"/>
          </w:tcPr>
          <w:p>
            <w:pPr>
              <w:spacing w:line="240" w:lineRule="auto"/>
              <w:ind w:firstLine="0" w:firstLineChars="0"/>
              <w:rPr>
                <w:sz w:val="21"/>
                <w:szCs w:val="21"/>
              </w:rPr>
            </w:pPr>
            <w:r>
              <w:rPr>
                <w:rFonts w:hint="eastAsia"/>
                <w:sz w:val="21"/>
                <w:szCs w:val="21"/>
              </w:rPr>
              <w:t>7）中间仓库屋面全面积采用轻质屋面，满足事故泄压的要求。</w:t>
            </w:r>
          </w:p>
        </w:tc>
        <w:tc>
          <w:tcPr>
            <w:tcW w:w="1702" w:type="pct"/>
            <w:vAlign w:val="center"/>
          </w:tcPr>
          <w:p>
            <w:pPr>
              <w:spacing w:line="240" w:lineRule="auto"/>
              <w:ind w:firstLine="0" w:firstLineChars="0"/>
              <w:jc w:val="center"/>
              <w:rPr>
                <w:sz w:val="21"/>
                <w:szCs w:val="21"/>
              </w:rPr>
            </w:pPr>
            <w:r>
              <w:rPr>
                <w:rFonts w:hint="eastAsia"/>
                <w:sz w:val="21"/>
                <w:szCs w:val="21"/>
              </w:rPr>
              <w:t>/</w:t>
            </w:r>
          </w:p>
        </w:tc>
        <w:tc>
          <w:tcPr>
            <w:tcW w:w="444"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Merge w:val="continue"/>
            <w:vAlign w:val="center"/>
          </w:tcPr>
          <w:p>
            <w:pPr>
              <w:autoSpaceDE w:val="0"/>
              <w:autoSpaceDN w:val="0"/>
              <w:spacing w:line="240" w:lineRule="auto"/>
              <w:ind w:firstLine="0" w:firstLineChars="0"/>
              <w:jc w:val="center"/>
              <w:textAlignment w:val="bottom"/>
              <w:rPr>
                <w:rFonts w:ascii="宋体" w:hAnsi="宋体"/>
                <w:b/>
                <w:sz w:val="21"/>
                <w:szCs w:val="21"/>
                <w:lang w:val="ru-RU"/>
              </w:rPr>
            </w:pPr>
          </w:p>
        </w:tc>
        <w:tc>
          <w:tcPr>
            <w:tcW w:w="2196" w:type="pct"/>
            <w:vAlign w:val="center"/>
          </w:tcPr>
          <w:p>
            <w:pPr>
              <w:spacing w:line="240" w:lineRule="auto"/>
              <w:ind w:firstLine="0" w:firstLineChars="0"/>
              <w:rPr>
                <w:sz w:val="21"/>
                <w:szCs w:val="21"/>
                <w:lang w:val="ru-RU"/>
              </w:rPr>
            </w:pPr>
            <w:r>
              <w:rPr>
                <w:rFonts w:hint="eastAsia"/>
                <w:sz w:val="21"/>
                <w:szCs w:val="21"/>
              </w:rPr>
              <w:t>8）油漆中间仓库外及喷涂间外各设置1处洗眼器。</w:t>
            </w:r>
          </w:p>
        </w:tc>
        <w:tc>
          <w:tcPr>
            <w:tcW w:w="1702" w:type="pct"/>
            <w:vAlign w:val="center"/>
          </w:tcPr>
          <w:p>
            <w:pPr>
              <w:spacing w:line="240" w:lineRule="auto"/>
              <w:ind w:firstLine="0" w:firstLineChars="0"/>
              <w:jc w:val="center"/>
              <w:rPr>
                <w:sz w:val="21"/>
                <w:szCs w:val="21"/>
              </w:rPr>
            </w:pPr>
            <w:r>
              <w:rPr>
                <w:rFonts w:hint="eastAsia"/>
                <w:sz w:val="21"/>
                <w:szCs w:val="21"/>
                <w:lang w:val="en-US" w:eastAsia="zh-CN"/>
              </w:rPr>
              <w:t>已</w:t>
            </w:r>
            <w:r>
              <w:rPr>
                <w:rFonts w:hint="eastAsia"/>
                <w:sz w:val="21"/>
                <w:szCs w:val="21"/>
              </w:rPr>
              <w:t>设置洗眼器。</w:t>
            </w:r>
          </w:p>
        </w:tc>
        <w:tc>
          <w:tcPr>
            <w:tcW w:w="444"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Merge w:val="continue"/>
            <w:vAlign w:val="center"/>
          </w:tcPr>
          <w:p>
            <w:pPr>
              <w:autoSpaceDE w:val="0"/>
              <w:autoSpaceDN w:val="0"/>
              <w:spacing w:line="240" w:lineRule="auto"/>
              <w:ind w:firstLine="0" w:firstLineChars="0"/>
              <w:jc w:val="center"/>
              <w:textAlignment w:val="bottom"/>
              <w:rPr>
                <w:rFonts w:ascii="宋体" w:hAnsi="宋体"/>
                <w:sz w:val="21"/>
                <w:szCs w:val="21"/>
                <w:lang w:val="ru-RU"/>
              </w:rPr>
            </w:pPr>
          </w:p>
        </w:tc>
        <w:tc>
          <w:tcPr>
            <w:tcW w:w="2196" w:type="pct"/>
            <w:vAlign w:val="center"/>
          </w:tcPr>
          <w:p>
            <w:pPr>
              <w:spacing w:line="240" w:lineRule="auto"/>
              <w:ind w:firstLine="0" w:firstLineChars="0"/>
              <w:rPr>
                <w:sz w:val="21"/>
                <w:szCs w:val="21"/>
                <w:lang w:val="ru-RU"/>
              </w:rPr>
            </w:pPr>
            <w:r>
              <w:rPr>
                <w:rFonts w:hint="eastAsia"/>
                <w:sz w:val="21"/>
                <w:szCs w:val="21"/>
              </w:rPr>
              <w:t>9)中间仓库内用量不能超过一昼夜的使用量。</w:t>
            </w:r>
          </w:p>
        </w:tc>
        <w:tc>
          <w:tcPr>
            <w:tcW w:w="1702" w:type="pct"/>
            <w:vAlign w:val="center"/>
          </w:tcPr>
          <w:p>
            <w:pPr>
              <w:spacing w:line="240" w:lineRule="auto"/>
              <w:ind w:firstLine="0" w:firstLineChars="0"/>
              <w:jc w:val="center"/>
              <w:rPr>
                <w:sz w:val="21"/>
                <w:szCs w:val="21"/>
              </w:rPr>
            </w:pPr>
            <w:r>
              <w:rPr>
                <w:rFonts w:hint="eastAsia"/>
                <w:sz w:val="21"/>
                <w:szCs w:val="21"/>
              </w:rPr>
              <w:t>/</w:t>
            </w:r>
          </w:p>
        </w:tc>
        <w:tc>
          <w:tcPr>
            <w:tcW w:w="444"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656" w:type="pct"/>
            <w:vAlign w:val="center"/>
          </w:tcPr>
          <w:p>
            <w:pPr>
              <w:spacing w:line="240" w:lineRule="auto"/>
              <w:ind w:firstLine="0" w:firstLineChars="0"/>
              <w:jc w:val="center"/>
              <w:rPr>
                <w:b/>
                <w:bCs/>
                <w:sz w:val="21"/>
                <w:szCs w:val="21"/>
                <w:lang w:val="ru-RU"/>
              </w:rPr>
            </w:pPr>
            <w:bookmarkStart w:id="380" w:name="_Toc76119907"/>
            <w:r>
              <w:rPr>
                <w:rFonts w:hint="eastAsia"/>
                <w:b/>
                <w:bCs/>
                <w:sz w:val="21"/>
                <w:szCs w:val="21"/>
                <w:lang w:val="ru-RU"/>
              </w:rPr>
              <w:t>5.1.6</w:t>
            </w:r>
            <w:bookmarkEnd w:id="380"/>
          </w:p>
        </w:tc>
        <w:tc>
          <w:tcPr>
            <w:tcW w:w="2196" w:type="pct"/>
            <w:vAlign w:val="center"/>
          </w:tcPr>
          <w:p>
            <w:pPr>
              <w:spacing w:line="240" w:lineRule="auto"/>
              <w:ind w:firstLine="0" w:firstLineChars="0"/>
              <w:rPr>
                <w:b/>
                <w:bCs/>
                <w:sz w:val="21"/>
                <w:szCs w:val="21"/>
                <w:lang w:val="ru-RU"/>
              </w:rPr>
            </w:pPr>
            <w:r>
              <w:rPr>
                <w:rFonts w:hint="eastAsia"/>
                <w:b/>
                <w:bCs/>
                <w:sz w:val="21"/>
                <w:szCs w:val="21"/>
              </w:rPr>
              <w:t>熔融金属</w:t>
            </w:r>
          </w:p>
        </w:tc>
        <w:tc>
          <w:tcPr>
            <w:tcW w:w="1702" w:type="pct"/>
            <w:vAlign w:val="center"/>
          </w:tcPr>
          <w:p>
            <w:pPr>
              <w:spacing w:line="240" w:lineRule="auto"/>
              <w:ind w:firstLine="0" w:firstLineChars="0"/>
              <w:rPr>
                <w:b/>
                <w:bCs/>
                <w:sz w:val="21"/>
                <w:szCs w:val="21"/>
              </w:rPr>
            </w:pPr>
          </w:p>
        </w:tc>
        <w:tc>
          <w:tcPr>
            <w:tcW w:w="444" w:type="pct"/>
            <w:vAlign w:val="center"/>
          </w:tcPr>
          <w:p>
            <w:pPr>
              <w:spacing w:line="240" w:lineRule="auto"/>
              <w:ind w:firstLine="0" w:firstLineChars="0"/>
              <w:jc w:val="center"/>
              <w:rPr>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autoSpaceDE w:val="0"/>
              <w:autoSpaceDN w:val="0"/>
              <w:spacing w:line="240" w:lineRule="auto"/>
              <w:ind w:firstLine="0" w:firstLineChars="0"/>
              <w:jc w:val="center"/>
              <w:textAlignment w:val="bottom"/>
              <w:rPr>
                <w:sz w:val="21"/>
                <w:szCs w:val="21"/>
              </w:rPr>
            </w:pPr>
            <w:r>
              <w:rPr>
                <w:rFonts w:hint="eastAsia"/>
                <w:sz w:val="21"/>
                <w:szCs w:val="21"/>
              </w:rPr>
              <w:t>1）</w:t>
            </w:r>
          </w:p>
          <w:p>
            <w:pPr>
              <w:autoSpaceDE w:val="0"/>
              <w:autoSpaceDN w:val="0"/>
              <w:spacing w:line="240" w:lineRule="auto"/>
              <w:ind w:firstLine="0" w:firstLineChars="0"/>
              <w:jc w:val="center"/>
              <w:textAlignment w:val="bottom"/>
              <w:rPr>
                <w:rFonts w:ascii="宋体" w:hAnsi="宋体"/>
                <w:sz w:val="21"/>
                <w:szCs w:val="21"/>
                <w:lang w:val="ru-RU"/>
              </w:rPr>
            </w:pPr>
          </w:p>
        </w:tc>
        <w:tc>
          <w:tcPr>
            <w:tcW w:w="2196" w:type="pct"/>
            <w:vAlign w:val="center"/>
          </w:tcPr>
          <w:p>
            <w:pPr>
              <w:spacing w:line="240" w:lineRule="auto"/>
              <w:ind w:firstLine="0" w:firstLineChars="0"/>
              <w:rPr>
                <w:sz w:val="21"/>
                <w:szCs w:val="21"/>
              </w:rPr>
            </w:pPr>
            <w:r>
              <w:rPr>
                <w:rFonts w:hint="eastAsia"/>
                <w:sz w:val="21"/>
                <w:szCs w:val="21"/>
              </w:rPr>
              <w:t>本项目电频炉附近易积水的坑、槽、沟，设置排水沟及时排水，排水沟上铺砌厚铸铁板或混凝土盖板。</w:t>
            </w:r>
          </w:p>
        </w:tc>
        <w:tc>
          <w:tcPr>
            <w:tcW w:w="1702" w:type="pct"/>
            <w:vAlign w:val="center"/>
          </w:tcPr>
          <w:p>
            <w:pPr>
              <w:spacing w:line="240" w:lineRule="auto"/>
              <w:ind w:firstLine="0" w:firstLineChars="0"/>
              <w:rPr>
                <w:rFonts w:ascii="宋体" w:hAnsi="宋体"/>
                <w:sz w:val="21"/>
                <w:szCs w:val="21"/>
              </w:rPr>
            </w:pPr>
            <w:r>
              <w:rPr>
                <w:rFonts w:hint="eastAsia" w:ascii="宋体" w:hAnsi="宋体"/>
                <w:sz w:val="21"/>
                <w:szCs w:val="21"/>
              </w:rPr>
              <w:t>中频炉周边按要求设置</w:t>
            </w:r>
            <w:r>
              <w:rPr>
                <w:rFonts w:hint="eastAsia"/>
                <w:sz w:val="21"/>
                <w:szCs w:val="21"/>
              </w:rPr>
              <w:t>坑、槽、沟。</w:t>
            </w:r>
          </w:p>
        </w:tc>
        <w:tc>
          <w:tcPr>
            <w:tcW w:w="444" w:type="pct"/>
            <w:vAlign w:val="center"/>
          </w:tcPr>
          <w:p>
            <w:pPr>
              <w:spacing w:line="240" w:lineRule="auto"/>
              <w:ind w:firstLine="0" w:firstLineChars="0"/>
              <w:rPr>
                <w:rFonts w:ascii="宋体" w:hAnsi="宋体"/>
                <w:sz w:val="21"/>
                <w:szCs w:val="21"/>
              </w:rPr>
            </w:pPr>
            <w:r>
              <w:rPr>
                <w:rFonts w:hint="eastAsia" w:ascii="宋体" w:hAnsi="宋体"/>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autoSpaceDE w:val="0"/>
              <w:autoSpaceDN w:val="0"/>
              <w:spacing w:line="240" w:lineRule="auto"/>
              <w:ind w:firstLine="0" w:firstLineChars="0"/>
              <w:jc w:val="center"/>
              <w:textAlignment w:val="bottom"/>
              <w:rPr>
                <w:rFonts w:ascii="宋体" w:hAnsi="宋体"/>
                <w:sz w:val="21"/>
                <w:szCs w:val="21"/>
              </w:rPr>
            </w:pPr>
            <w:r>
              <w:rPr>
                <w:rFonts w:hint="eastAsia" w:ascii="宋体" w:hAnsi="宋体"/>
                <w:sz w:val="21"/>
                <w:szCs w:val="21"/>
              </w:rPr>
              <w:t>2)</w:t>
            </w:r>
          </w:p>
        </w:tc>
        <w:tc>
          <w:tcPr>
            <w:tcW w:w="2196" w:type="pct"/>
            <w:vAlign w:val="center"/>
          </w:tcPr>
          <w:p>
            <w:pPr>
              <w:spacing w:line="240" w:lineRule="auto"/>
              <w:ind w:firstLine="0" w:firstLineChars="0"/>
              <w:rPr>
                <w:sz w:val="21"/>
                <w:szCs w:val="21"/>
                <w:lang w:val="ru-RU"/>
              </w:rPr>
            </w:pPr>
            <w:r>
              <w:rPr>
                <w:rFonts w:hint="eastAsia"/>
                <w:sz w:val="21"/>
                <w:szCs w:val="21"/>
              </w:rPr>
              <w:t>项目电频炉与浇铸区及其附近的地表与地下，不设置水管（专用渗水管除外）、电缆等管线。</w:t>
            </w:r>
          </w:p>
        </w:tc>
        <w:tc>
          <w:tcPr>
            <w:tcW w:w="1702" w:type="pct"/>
            <w:vAlign w:val="center"/>
          </w:tcPr>
          <w:p>
            <w:pPr>
              <w:spacing w:line="240" w:lineRule="auto"/>
              <w:ind w:firstLine="0" w:firstLineChars="0"/>
              <w:rPr>
                <w:rFonts w:ascii="宋体" w:hAnsi="宋体"/>
                <w:sz w:val="21"/>
                <w:szCs w:val="21"/>
              </w:rPr>
            </w:pPr>
            <w:r>
              <w:rPr>
                <w:rFonts w:hint="eastAsia"/>
                <w:sz w:val="21"/>
                <w:szCs w:val="21"/>
              </w:rPr>
              <w:t>电频炉与浇铸区及其附近的地表与地下，不设置水管</w:t>
            </w:r>
          </w:p>
        </w:tc>
        <w:tc>
          <w:tcPr>
            <w:tcW w:w="444"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autoSpaceDE w:val="0"/>
              <w:autoSpaceDN w:val="0"/>
              <w:spacing w:line="240" w:lineRule="auto"/>
              <w:ind w:firstLine="0" w:firstLineChars="0"/>
              <w:jc w:val="center"/>
              <w:textAlignment w:val="bottom"/>
              <w:rPr>
                <w:rFonts w:ascii="宋体" w:hAnsi="宋体"/>
                <w:sz w:val="21"/>
                <w:szCs w:val="21"/>
              </w:rPr>
            </w:pPr>
            <w:r>
              <w:rPr>
                <w:rFonts w:hint="eastAsia" w:ascii="宋体" w:hAnsi="宋体"/>
                <w:sz w:val="21"/>
                <w:szCs w:val="21"/>
              </w:rPr>
              <w:t>3)</w:t>
            </w:r>
          </w:p>
        </w:tc>
        <w:tc>
          <w:tcPr>
            <w:tcW w:w="2196" w:type="pct"/>
            <w:vAlign w:val="center"/>
          </w:tcPr>
          <w:p>
            <w:pPr>
              <w:spacing w:line="240" w:lineRule="auto"/>
              <w:ind w:firstLine="0" w:firstLineChars="0"/>
              <w:rPr>
                <w:sz w:val="21"/>
                <w:szCs w:val="21"/>
              </w:rPr>
            </w:pPr>
            <w:r>
              <w:rPr>
                <w:rFonts w:hint="eastAsia"/>
                <w:sz w:val="21"/>
                <w:szCs w:val="21"/>
              </w:rPr>
              <w:t>作业现场设置“当心高温”“必须佩戴劳保用品”等安全标志。</w:t>
            </w:r>
          </w:p>
        </w:tc>
        <w:tc>
          <w:tcPr>
            <w:tcW w:w="1702"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按要求设置</w:t>
            </w:r>
          </w:p>
        </w:tc>
        <w:tc>
          <w:tcPr>
            <w:tcW w:w="444" w:type="pct"/>
            <w:vAlign w:val="center"/>
          </w:tcPr>
          <w:p>
            <w:pPr>
              <w:spacing w:line="240" w:lineRule="auto"/>
              <w:ind w:firstLine="0" w:firstLineChars="0"/>
              <w:rPr>
                <w:rFonts w:ascii="宋体" w:hAnsi="宋体"/>
                <w:sz w:val="21"/>
                <w:szCs w:val="21"/>
              </w:rPr>
            </w:pPr>
            <w:r>
              <w:rPr>
                <w:rFonts w:hint="eastAsia" w:ascii="宋体" w:hAnsi="宋体"/>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autoSpaceDE w:val="0"/>
              <w:autoSpaceDN w:val="0"/>
              <w:spacing w:line="240" w:lineRule="auto"/>
              <w:ind w:firstLine="0" w:firstLineChars="0"/>
              <w:jc w:val="center"/>
              <w:textAlignment w:val="bottom"/>
              <w:rPr>
                <w:rFonts w:ascii="宋体" w:hAnsi="宋体"/>
                <w:sz w:val="21"/>
                <w:szCs w:val="21"/>
              </w:rPr>
            </w:pPr>
            <w:r>
              <w:rPr>
                <w:rFonts w:hint="eastAsia" w:ascii="宋体" w:hAnsi="宋体"/>
                <w:sz w:val="21"/>
                <w:szCs w:val="21"/>
              </w:rPr>
              <w:t>4)</w:t>
            </w:r>
          </w:p>
        </w:tc>
        <w:tc>
          <w:tcPr>
            <w:tcW w:w="2196" w:type="pct"/>
            <w:vAlign w:val="center"/>
          </w:tcPr>
          <w:p>
            <w:pPr>
              <w:spacing w:line="240" w:lineRule="auto"/>
              <w:ind w:firstLine="0" w:firstLineChars="0"/>
              <w:rPr>
                <w:sz w:val="21"/>
                <w:szCs w:val="21"/>
              </w:rPr>
            </w:pPr>
            <w:r>
              <w:rPr>
                <w:rFonts w:hint="eastAsia"/>
                <w:sz w:val="21"/>
                <w:szCs w:val="21"/>
              </w:rPr>
              <w:t>为防止熔融金属泄漏事故，设置熔融金属应急池。事故应急池容量与电频炉最大熔炼量按照1:1.15设计，项目单个电频炉最大熔炼量为2t，每台电频炉设计一个事故应急池，其有效容量不小于0.5m³，可有效容纳不小于2.3t的事故铁水（注：铁水的密度按照7t/m³计算），事故应急池设围堰，内部为耐高温浇注料。</w:t>
            </w:r>
          </w:p>
        </w:tc>
        <w:tc>
          <w:tcPr>
            <w:tcW w:w="1702"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按要求设置</w:t>
            </w:r>
          </w:p>
        </w:tc>
        <w:tc>
          <w:tcPr>
            <w:tcW w:w="444" w:type="pct"/>
            <w:vAlign w:val="center"/>
          </w:tcPr>
          <w:p>
            <w:pPr>
              <w:spacing w:line="240" w:lineRule="auto"/>
              <w:ind w:firstLine="0" w:firstLineChars="0"/>
              <w:rPr>
                <w:rFonts w:ascii="宋体" w:hAnsi="宋体"/>
                <w:sz w:val="21"/>
                <w:szCs w:val="21"/>
              </w:rPr>
            </w:pPr>
            <w:r>
              <w:rPr>
                <w:rFonts w:hint="eastAsia" w:ascii="宋体" w:hAnsi="宋体"/>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autoSpaceDE w:val="0"/>
              <w:autoSpaceDN w:val="0"/>
              <w:spacing w:line="240" w:lineRule="auto"/>
              <w:ind w:firstLine="0" w:firstLineChars="0"/>
              <w:jc w:val="center"/>
              <w:textAlignment w:val="bottom"/>
              <w:rPr>
                <w:rFonts w:ascii="宋体" w:hAnsi="宋体"/>
                <w:sz w:val="21"/>
                <w:szCs w:val="21"/>
              </w:rPr>
            </w:pPr>
            <w:r>
              <w:rPr>
                <w:rFonts w:hint="eastAsia" w:ascii="宋体" w:hAnsi="宋体"/>
                <w:sz w:val="21"/>
                <w:szCs w:val="21"/>
              </w:rPr>
              <w:t>5)</w:t>
            </w:r>
          </w:p>
        </w:tc>
        <w:tc>
          <w:tcPr>
            <w:tcW w:w="2196" w:type="pct"/>
            <w:vAlign w:val="center"/>
          </w:tcPr>
          <w:p>
            <w:pPr>
              <w:spacing w:line="240" w:lineRule="auto"/>
              <w:ind w:firstLine="0" w:firstLineChars="0"/>
              <w:rPr>
                <w:sz w:val="21"/>
                <w:szCs w:val="21"/>
              </w:rPr>
            </w:pPr>
            <w:r>
              <w:rPr>
                <w:rFonts w:hint="eastAsia"/>
                <w:sz w:val="21"/>
                <w:szCs w:val="21"/>
              </w:rPr>
              <w:t>项目电频炉、铸造运行区域附近承受重荷载和受高温辐射、热渣喷溅等危害的建（构）筑物，设置阻燃隔热防熔融金属喷溅层，并要求建设单位定期进行结构安全鉴定。</w:t>
            </w:r>
          </w:p>
        </w:tc>
        <w:tc>
          <w:tcPr>
            <w:tcW w:w="1702"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按要求设置</w:t>
            </w:r>
          </w:p>
        </w:tc>
        <w:tc>
          <w:tcPr>
            <w:tcW w:w="444" w:type="pct"/>
            <w:vAlign w:val="center"/>
          </w:tcPr>
          <w:p>
            <w:pPr>
              <w:spacing w:line="240" w:lineRule="auto"/>
              <w:ind w:firstLine="0" w:firstLineChars="0"/>
              <w:rPr>
                <w:rFonts w:ascii="宋体" w:hAnsi="宋体"/>
                <w:sz w:val="21"/>
                <w:szCs w:val="21"/>
              </w:rPr>
            </w:pPr>
            <w:r>
              <w:rPr>
                <w:rFonts w:hint="eastAsia" w:ascii="宋体" w:hAnsi="宋体"/>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656" w:type="pct"/>
            <w:vAlign w:val="center"/>
          </w:tcPr>
          <w:p>
            <w:pPr>
              <w:autoSpaceDE w:val="0"/>
              <w:autoSpaceDN w:val="0"/>
              <w:spacing w:line="240" w:lineRule="auto"/>
              <w:ind w:firstLine="0" w:firstLineChars="0"/>
              <w:jc w:val="center"/>
              <w:textAlignment w:val="bottom"/>
              <w:rPr>
                <w:b/>
                <w:bCs/>
                <w:sz w:val="21"/>
                <w:szCs w:val="21"/>
              </w:rPr>
            </w:pPr>
            <w:bookmarkStart w:id="381" w:name="_Toc76119908"/>
            <w:r>
              <w:rPr>
                <w:rFonts w:hint="eastAsia"/>
                <w:b/>
                <w:bCs/>
                <w:sz w:val="21"/>
                <w:szCs w:val="21"/>
              </w:rPr>
              <w:t>5.2</w:t>
            </w:r>
            <w:bookmarkEnd w:id="381"/>
          </w:p>
        </w:tc>
        <w:tc>
          <w:tcPr>
            <w:tcW w:w="2196" w:type="pct"/>
            <w:vAlign w:val="center"/>
          </w:tcPr>
          <w:p>
            <w:pPr>
              <w:autoSpaceDE w:val="0"/>
              <w:autoSpaceDN w:val="0"/>
              <w:spacing w:line="240" w:lineRule="auto"/>
              <w:ind w:firstLine="0" w:firstLineChars="0"/>
              <w:textAlignment w:val="bottom"/>
              <w:rPr>
                <w:b/>
                <w:bCs/>
                <w:sz w:val="21"/>
                <w:szCs w:val="21"/>
              </w:rPr>
            </w:pPr>
            <w:r>
              <w:rPr>
                <w:rFonts w:hint="eastAsia"/>
                <w:b/>
                <w:bCs/>
                <w:sz w:val="21"/>
                <w:szCs w:val="21"/>
              </w:rPr>
              <w:t>周边环境危险因素防范措施</w:t>
            </w:r>
          </w:p>
        </w:tc>
        <w:tc>
          <w:tcPr>
            <w:tcW w:w="1702"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w:t>
            </w:r>
          </w:p>
        </w:tc>
        <w:tc>
          <w:tcPr>
            <w:tcW w:w="444"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autoSpaceDE w:val="0"/>
              <w:autoSpaceDN w:val="0"/>
              <w:spacing w:line="240" w:lineRule="auto"/>
              <w:ind w:firstLine="0" w:firstLineChars="0"/>
              <w:jc w:val="center"/>
              <w:textAlignment w:val="bottom"/>
              <w:rPr>
                <w:sz w:val="21"/>
                <w:szCs w:val="21"/>
              </w:rPr>
            </w:pPr>
            <w:r>
              <w:rPr>
                <w:rFonts w:hint="eastAsia"/>
                <w:sz w:val="21"/>
                <w:szCs w:val="21"/>
              </w:rPr>
              <w:t>1）厂址选择及总平面布置</w:t>
            </w:r>
          </w:p>
          <w:p>
            <w:pPr>
              <w:autoSpaceDE w:val="0"/>
              <w:autoSpaceDN w:val="0"/>
              <w:spacing w:line="240" w:lineRule="auto"/>
              <w:ind w:firstLine="0" w:firstLineChars="0"/>
              <w:jc w:val="center"/>
              <w:textAlignment w:val="bottom"/>
              <w:rPr>
                <w:rFonts w:ascii="宋体" w:hAnsi="宋体"/>
                <w:sz w:val="21"/>
                <w:szCs w:val="21"/>
              </w:rPr>
            </w:pPr>
          </w:p>
        </w:tc>
        <w:tc>
          <w:tcPr>
            <w:tcW w:w="2196" w:type="pct"/>
            <w:vAlign w:val="center"/>
          </w:tcPr>
          <w:p>
            <w:pPr>
              <w:autoSpaceDE w:val="0"/>
              <w:autoSpaceDN w:val="0"/>
              <w:spacing w:line="240" w:lineRule="auto"/>
              <w:ind w:firstLine="0" w:firstLineChars="0"/>
              <w:textAlignment w:val="bottom"/>
              <w:rPr>
                <w:sz w:val="21"/>
                <w:szCs w:val="21"/>
              </w:rPr>
            </w:pPr>
            <w:r>
              <w:rPr>
                <w:rFonts w:hint="eastAsia"/>
                <w:sz w:val="21"/>
                <w:szCs w:val="21"/>
              </w:rPr>
              <w:t>本工程厂址选择在云南省楚雄彝族自治州大姚县金碧镇工业园区南山坝工业片区，不受台风、滑坡、泥石流、断层等自然灾害威胁。附近无名胜文物保护区，不对附近其它厂房或设施产生不良影响，比较适合建厂。总平面布置中生产设施及厂前区功能分区明确，达到了方便生产和管理的目的，符合环境卫生要求。</w:t>
            </w:r>
          </w:p>
        </w:tc>
        <w:tc>
          <w:tcPr>
            <w:tcW w:w="1702" w:type="pct"/>
            <w:vAlign w:val="center"/>
          </w:tcPr>
          <w:p>
            <w:pPr>
              <w:spacing w:line="240" w:lineRule="auto"/>
              <w:ind w:firstLine="0" w:firstLineChars="0"/>
              <w:rPr>
                <w:rFonts w:ascii="宋体" w:hAnsi="宋体"/>
                <w:sz w:val="21"/>
                <w:szCs w:val="21"/>
              </w:rPr>
            </w:pPr>
            <w:r>
              <w:rPr>
                <w:rFonts w:hint="eastAsia"/>
                <w:sz w:val="21"/>
                <w:szCs w:val="21"/>
              </w:rPr>
              <w:t>本工程厂址选择在云南省楚雄彝族自治州大姚县金碧镇工业园区南山坝工业片区，不受台风、滑坡、泥石流、断层等自然灾害威胁。附近无名胜文物保护区，不对附近其它厂房或设施产生不良影响，比较适合建厂。总平面布置中生产设施及厂前区功能分区明确，达到了方便生产和管理的目的，符合环境卫生要求。</w:t>
            </w:r>
          </w:p>
        </w:tc>
        <w:tc>
          <w:tcPr>
            <w:tcW w:w="444" w:type="pct"/>
            <w:vAlign w:val="center"/>
          </w:tcPr>
          <w:p>
            <w:pPr>
              <w:spacing w:line="240" w:lineRule="auto"/>
              <w:ind w:firstLine="0" w:firstLineChars="0"/>
              <w:rPr>
                <w:rFonts w:ascii="宋体" w:hAnsi="宋体"/>
                <w:sz w:val="21"/>
                <w:szCs w:val="21"/>
              </w:rPr>
            </w:pPr>
            <w:r>
              <w:rPr>
                <w:rFonts w:hint="eastAsia" w:ascii="宋体" w:hAnsi="宋体"/>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autoSpaceDE w:val="0"/>
              <w:autoSpaceDN w:val="0"/>
              <w:spacing w:line="240" w:lineRule="auto"/>
              <w:ind w:firstLine="0" w:firstLineChars="0"/>
              <w:jc w:val="center"/>
              <w:textAlignment w:val="bottom"/>
              <w:rPr>
                <w:rFonts w:ascii="宋体" w:hAnsi="宋体"/>
                <w:sz w:val="21"/>
                <w:szCs w:val="21"/>
              </w:rPr>
            </w:pPr>
            <w:r>
              <w:rPr>
                <w:rFonts w:hint="eastAsia"/>
                <w:sz w:val="21"/>
                <w:szCs w:val="21"/>
              </w:rPr>
              <w:t>2）防雷</w:t>
            </w:r>
          </w:p>
        </w:tc>
        <w:tc>
          <w:tcPr>
            <w:tcW w:w="2196" w:type="pct"/>
            <w:vAlign w:val="center"/>
          </w:tcPr>
          <w:p>
            <w:pPr>
              <w:autoSpaceDE w:val="0"/>
              <w:autoSpaceDN w:val="0"/>
              <w:spacing w:line="240" w:lineRule="auto"/>
              <w:ind w:firstLine="0" w:firstLineChars="0"/>
              <w:textAlignment w:val="bottom"/>
              <w:rPr>
                <w:sz w:val="21"/>
                <w:szCs w:val="21"/>
              </w:rPr>
            </w:pPr>
            <w:r>
              <w:rPr>
                <w:rFonts w:hint="eastAsia"/>
                <w:sz w:val="21"/>
                <w:szCs w:val="21"/>
              </w:rPr>
              <w:t>依据《建筑物防雷设计规范》（GB50057-2010）的要求，本项目建筑物均按第三类防雷措施设防。利用25×4的镀锌扁钢在屋面组成避雷带防直击雷；三类防雷建筑物网屋面避雷带格密度为不大于20×20m，或24×16m。为防止雷电感应，建（构）筑物内的设备、管道、构架等主要金属均就近接地。为防止雷电波侵入，本项目架空、埋地或地沟内的金属管道、电缆的金属外皮等在入户端也均就近接地。</w:t>
            </w:r>
          </w:p>
          <w:p>
            <w:pPr>
              <w:autoSpaceDE w:val="0"/>
              <w:autoSpaceDN w:val="0"/>
              <w:spacing w:line="240" w:lineRule="auto"/>
              <w:ind w:firstLine="0" w:firstLineChars="0"/>
              <w:textAlignment w:val="bottom"/>
              <w:rPr>
                <w:sz w:val="21"/>
                <w:szCs w:val="21"/>
              </w:rPr>
            </w:pPr>
            <w:r>
              <w:rPr>
                <w:rFonts w:hint="eastAsia"/>
                <w:sz w:val="21"/>
                <w:szCs w:val="21"/>
              </w:rPr>
              <w:t>本项目防雷接地、防静电接地、电气设备的工作接地、保护接地及信息系统接地，采用共用接地装置，并接入同一接地网，其接地电阻不大于1Ω。接地网由水平接地体与垂直接地体构成。接地主干线和分支线采用-40×4的扁钢。所有设备的金属外壳、金属设备、金属管道、金属构架、电气设备的金属外壳、所有电气用金属构件、铠装电缆外皮，电缆加穿的保护管两端均接地。金属管道法兰均采取防静电跨接。</w:t>
            </w:r>
          </w:p>
        </w:tc>
        <w:tc>
          <w:tcPr>
            <w:tcW w:w="1702" w:type="pct"/>
            <w:vAlign w:val="center"/>
          </w:tcPr>
          <w:p>
            <w:pPr>
              <w:autoSpaceDE w:val="0"/>
              <w:autoSpaceDN w:val="0"/>
              <w:spacing w:line="240" w:lineRule="auto"/>
              <w:ind w:firstLine="0" w:firstLineChars="0"/>
              <w:textAlignment w:val="bottom"/>
              <w:rPr>
                <w:sz w:val="21"/>
                <w:szCs w:val="21"/>
              </w:rPr>
            </w:pPr>
            <w:r>
              <w:rPr>
                <w:rFonts w:hint="eastAsia"/>
                <w:sz w:val="21"/>
                <w:szCs w:val="21"/>
              </w:rPr>
              <w:t>本项目建筑物均按第三类防雷措施设防。利用25×4的镀锌扁钢在屋面组成避雷带防直击雷；三类防雷建筑物网屋面避雷带格密度为不大于20×20m，或24×16m。为防止雷电感应，建（构）筑物内的设备、管道、构架等主要金属均就近接地。为防止雷电波侵入，本项目架空、埋地或地沟内的金属管道、电缆的金属外皮等在入户端也均就近接地。</w:t>
            </w:r>
          </w:p>
          <w:p>
            <w:pPr>
              <w:autoSpaceDE w:val="0"/>
              <w:autoSpaceDN w:val="0"/>
              <w:spacing w:line="240" w:lineRule="auto"/>
              <w:ind w:firstLine="0" w:firstLineChars="0"/>
              <w:textAlignment w:val="bottom"/>
              <w:rPr>
                <w:rFonts w:ascii="宋体" w:hAnsi="宋体"/>
                <w:sz w:val="21"/>
                <w:szCs w:val="21"/>
              </w:rPr>
            </w:pPr>
            <w:r>
              <w:rPr>
                <w:rFonts w:hint="eastAsia"/>
                <w:sz w:val="21"/>
                <w:szCs w:val="21"/>
              </w:rPr>
              <w:t>本项目防雷接地、防静电接地、电气设备的工作接地、保护接地及信息系统接地，采用共用接地装置，并接入同一接地网，其接地电阻不大于1Ω。接地网由水平接地体与垂直接地体构成。接地主干线和分支线采用-40×4的扁钢。所有设备的金属外壳、金属设备、金属管道、金属构架、电气设备的金属外壳、所有电气用金属构件、铠装电缆外皮，电缆加穿的保护管两端均接地。金属管道法兰均采取防静电跨接。</w:t>
            </w:r>
          </w:p>
        </w:tc>
        <w:tc>
          <w:tcPr>
            <w:tcW w:w="444" w:type="pct"/>
            <w:vAlign w:val="center"/>
          </w:tcPr>
          <w:p>
            <w:pPr>
              <w:spacing w:line="240" w:lineRule="auto"/>
              <w:ind w:firstLine="0" w:firstLineChars="0"/>
              <w:rPr>
                <w:rFonts w:ascii="宋体" w:hAnsi="宋体"/>
                <w:sz w:val="21"/>
                <w:szCs w:val="21"/>
              </w:rPr>
            </w:pPr>
            <w:r>
              <w:rPr>
                <w:rFonts w:hint="eastAsia" w:ascii="宋体" w:hAnsi="宋体"/>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autoSpaceDE w:val="0"/>
              <w:autoSpaceDN w:val="0"/>
              <w:spacing w:line="240" w:lineRule="auto"/>
              <w:ind w:firstLine="0" w:firstLineChars="0"/>
              <w:jc w:val="center"/>
              <w:textAlignment w:val="bottom"/>
              <w:rPr>
                <w:rFonts w:ascii="宋体" w:hAnsi="宋体"/>
                <w:sz w:val="21"/>
                <w:szCs w:val="21"/>
              </w:rPr>
            </w:pPr>
            <w:r>
              <w:rPr>
                <w:rFonts w:hint="eastAsia"/>
                <w:sz w:val="21"/>
                <w:szCs w:val="21"/>
              </w:rPr>
              <w:t>3） 抗震</w:t>
            </w:r>
          </w:p>
        </w:tc>
        <w:tc>
          <w:tcPr>
            <w:tcW w:w="2196" w:type="pct"/>
            <w:vAlign w:val="center"/>
          </w:tcPr>
          <w:p>
            <w:pPr>
              <w:autoSpaceDE w:val="0"/>
              <w:autoSpaceDN w:val="0"/>
              <w:spacing w:line="240" w:lineRule="auto"/>
              <w:ind w:firstLine="0" w:firstLineChars="0"/>
              <w:textAlignment w:val="bottom"/>
              <w:rPr>
                <w:sz w:val="21"/>
                <w:szCs w:val="21"/>
              </w:rPr>
            </w:pPr>
            <w:r>
              <w:rPr>
                <w:rFonts w:hint="eastAsia"/>
                <w:sz w:val="21"/>
                <w:szCs w:val="21"/>
              </w:rPr>
              <w:t>根据《中国地震动参数区划图》（GB18306-2015），本项目区域地震反应谱特征周期为0.45S，地震动峰值加速度为0.15g，地震基本烈度为Ⅶ度。本建设项目建（构）筑物均按Ⅶ度设防。</w:t>
            </w:r>
          </w:p>
        </w:tc>
        <w:tc>
          <w:tcPr>
            <w:tcW w:w="1702" w:type="pct"/>
            <w:vAlign w:val="center"/>
          </w:tcPr>
          <w:p>
            <w:pPr>
              <w:spacing w:line="240" w:lineRule="auto"/>
              <w:ind w:firstLine="0" w:firstLineChars="0"/>
              <w:rPr>
                <w:rFonts w:ascii="宋体" w:hAnsi="宋体"/>
                <w:sz w:val="21"/>
                <w:szCs w:val="21"/>
              </w:rPr>
            </w:pPr>
            <w:r>
              <w:rPr>
                <w:rFonts w:hint="eastAsia"/>
                <w:sz w:val="21"/>
                <w:szCs w:val="21"/>
              </w:rPr>
              <w:t>本建设项目建（构）筑物均按Ⅶ度设防。</w:t>
            </w:r>
          </w:p>
        </w:tc>
        <w:tc>
          <w:tcPr>
            <w:tcW w:w="444" w:type="pct"/>
            <w:vAlign w:val="center"/>
          </w:tcPr>
          <w:p>
            <w:pPr>
              <w:spacing w:line="240" w:lineRule="auto"/>
              <w:ind w:firstLine="0" w:firstLineChars="0"/>
              <w:rPr>
                <w:rFonts w:ascii="宋体" w:hAnsi="宋体"/>
                <w:sz w:val="21"/>
                <w:szCs w:val="21"/>
              </w:rPr>
            </w:pPr>
            <w:r>
              <w:rPr>
                <w:rFonts w:hint="eastAsia" w:ascii="宋体" w:hAnsi="宋体"/>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autoSpaceDE w:val="0"/>
              <w:autoSpaceDN w:val="0"/>
              <w:spacing w:line="240" w:lineRule="auto"/>
              <w:ind w:firstLine="0" w:firstLineChars="0"/>
              <w:jc w:val="center"/>
              <w:textAlignment w:val="bottom"/>
              <w:rPr>
                <w:rFonts w:ascii="宋体" w:hAnsi="宋体"/>
                <w:sz w:val="21"/>
                <w:szCs w:val="21"/>
              </w:rPr>
            </w:pPr>
            <w:r>
              <w:rPr>
                <w:rFonts w:hint="eastAsia"/>
                <w:sz w:val="21"/>
                <w:szCs w:val="21"/>
              </w:rPr>
              <w:t>4）防暑防寒</w:t>
            </w:r>
          </w:p>
        </w:tc>
        <w:tc>
          <w:tcPr>
            <w:tcW w:w="2196" w:type="pct"/>
            <w:vAlign w:val="center"/>
          </w:tcPr>
          <w:p>
            <w:pPr>
              <w:autoSpaceDE w:val="0"/>
              <w:autoSpaceDN w:val="0"/>
              <w:spacing w:line="240" w:lineRule="auto"/>
              <w:ind w:firstLine="0" w:firstLineChars="0"/>
              <w:textAlignment w:val="bottom"/>
              <w:rPr>
                <w:sz w:val="21"/>
                <w:szCs w:val="21"/>
              </w:rPr>
            </w:pPr>
            <w:r>
              <w:rPr>
                <w:rFonts w:hint="eastAsia"/>
                <w:sz w:val="21"/>
                <w:szCs w:val="21"/>
              </w:rPr>
              <w:t>根据项目情况及当地气候及项目情况。项目办公楼内设置空调降温措施。</w:t>
            </w:r>
          </w:p>
        </w:tc>
        <w:tc>
          <w:tcPr>
            <w:tcW w:w="1702" w:type="pct"/>
            <w:vAlign w:val="center"/>
          </w:tcPr>
          <w:p>
            <w:pPr>
              <w:spacing w:line="240" w:lineRule="auto"/>
              <w:ind w:firstLine="0" w:firstLineChars="0"/>
              <w:rPr>
                <w:rFonts w:ascii="宋体" w:hAnsi="宋体"/>
                <w:sz w:val="21"/>
                <w:szCs w:val="21"/>
              </w:rPr>
            </w:pPr>
            <w:r>
              <w:rPr>
                <w:rFonts w:hint="eastAsia"/>
                <w:sz w:val="21"/>
                <w:szCs w:val="21"/>
              </w:rPr>
              <w:t>项目办公楼内设置空调降温措施。</w:t>
            </w:r>
          </w:p>
        </w:tc>
        <w:tc>
          <w:tcPr>
            <w:tcW w:w="444" w:type="pct"/>
            <w:vAlign w:val="center"/>
          </w:tcPr>
          <w:p>
            <w:pPr>
              <w:spacing w:line="240" w:lineRule="auto"/>
              <w:ind w:firstLine="0" w:firstLineChars="0"/>
              <w:rPr>
                <w:rFonts w:ascii="宋体" w:hAnsi="宋体"/>
                <w:sz w:val="21"/>
                <w:szCs w:val="21"/>
              </w:rPr>
            </w:pPr>
            <w:r>
              <w:rPr>
                <w:rFonts w:hint="eastAsia" w:ascii="宋体" w:hAnsi="宋体"/>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autoSpaceDE w:val="0"/>
              <w:autoSpaceDN w:val="0"/>
              <w:spacing w:line="240" w:lineRule="auto"/>
              <w:ind w:firstLine="0" w:firstLineChars="0"/>
              <w:jc w:val="center"/>
              <w:textAlignment w:val="bottom"/>
              <w:rPr>
                <w:rFonts w:ascii="宋体" w:hAnsi="宋体"/>
                <w:sz w:val="21"/>
                <w:szCs w:val="21"/>
              </w:rPr>
            </w:pPr>
            <w:r>
              <w:rPr>
                <w:rFonts w:hint="eastAsia"/>
                <w:sz w:val="21"/>
                <w:szCs w:val="21"/>
              </w:rPr>
              <w:t>5）其它</w:t>
            </w:r>
          </w:p>
        </w:tc>
        <w:tc>
          <w:tcPr>
            <w:tcW w:w="2196" w:type="pct"/>
            <w:vAlign w:val="center"/>
          </w:tcPr>
          <w:p>
            <w:pPr>
              <w:autoSpaceDE w:val="0"/>
              <w:autoSpaceDN w:val="0"/>
              <w:spacing w:line="240" w:lineRule="auto"/>
              <w:ind w:firstLine="0" w:firstLineChars="0"/>
              <w:textAlignment w:val="bottom"/>
              <w:rPr>
                <w:sz w:val="21"/>
                <w:szCs w:val="21"/>
              </w:rPr>
            </w:pPr>
            <w:r>
              <w:rPr>
                <w:rFonts w:hint="eastAsia"/>
                <w:sz w:val="21"/>
                <w:szCs w:val="21"/>
              </w:rPr>
              <w:t>为了防止不良地质对建筑物的破坏，拟对重要的生产建筑物基础采取必要的地基处理措施。为了防止雨水的存积，避免形成内涝，在厂区设有雨水排水系统。</w:t>
            </w:r>
          </w:p>
        </w:tc>
        <w:tc>
          <w:tcPr>
            <w:tcW w:w="1702" w:type="pct"/>
            <w:vAlign w:val="center"/>
          </w:tcPr>
          <w:p>
            <w:pPr>
              <w:spacing w:line="240" w:lineRule="auto"/>
              <w:ind w:firstLine="0" w:firstLineChars="0"/>
              <w:rPr>
                <w:sz w:val="21"/>
                <w:szCs w:val="21"/>
              </w:rPr>
            </w:pPr>
            <w:r>
              <w:rPr>
                <w:rFonts w:hint="eastAsia"/>
                <w:sz w:val="21"/>
                <w:szCs w:val="21"/>
              </w:rPr>
              <w:t>厂区设有雨水排水系统。</w:t>
            </w:r>
          </w:p>
        </w:tc>
        <w:tc>
          <w:tcPr>
            <w:tcW w:w="444" w:type="pct"/>
            <w:vAlign w:val="center"/>
          </w:tcPr>
          <w:p>
            <w:pPr>
              <w:spacing w:line="240" w:lineRule="auto"/>
              <w:ind w:firstLine="0" w:firstLineChars="0"/>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56" w:type="pct"/>
            <w:vAlign w:val="center"/>
          </w:tcPr>
          <w:p>
            <w:pPr>
              <w:autoSpaceDE w:val="0"/>
              <w:autoSpaceDN w:val="0"/>
              <w:spacing w:line="240" w:lineRule="auto"/>
              <w:ind w:firstLine="0" w:firstLineChars="0"/>
              <w:jc w:val="center"/>
              <w:textAlignment w:val="bottom"/>
              <w:rPr>
                <w:b/>
                <w:bCs/>
                <w:sz w:val="21"/>
                <w:szCs w:val="21"/>
              </w:rPr>
            </w:pPr>
            <w:r>
              <w:rPr>
                <w:rFonts w:hint="eastAsia"/>
                <w:b/>
                <w:bCs/>
                <w:sz w:val="21"/>
                <w:szCs w:val="21"/>
              </w:rPr>
              <w:t>5.3</w:t>
            </w:r>
          </w:p>
        </w:tc>
        <w:tc>
          <w:tcPr>
            <w:tcW w:w="2196" w:type="pct"/>
            <w:vAlign w:val="center"/>
          </w:tcPr>
          <w:p>
            <w:pPr>
              <w:autoSpaceDE w:val="0"/>
              <w:autoSpaceDN w:val="0"/>
              <w:spacing w:line="240" w:lineRule="auto"/>
              <w:ind w:firstLine="0" w:firstLineChars="0"/>
              <w:textAlignment w:val="bottom"/>
              <w:rPr>
                <w:b/>
                <w:bCs/>
                <w:sz w:val="21"/>
                <w:szCs w:val="21"/>
              </w:rPr>
            </w:pPr>
            <w:bookmarkStart w:id="382" w:name="_Toc76119909"/>
            <w:r>
              <w:rPr>
                <w:rFonts w:hint="eastAsia"/>
                <w:b/>
                <w:bCs/>
                <w:sz w:val="21"/>
                <w:szCs w:val="21"/>
              </w:rPr>
              <w:t>总平面布置和建筑设计安全防范措施</w:t>
            </w:r>
            <w:bookmarkEnd w:id="382"/>
          </w:p>
        </w:tc>
        <w:tc>
          <w:tcPr>
            <w:tcW w:w="1702" w:type="pct"/>
            <w:vAlign w:val="center"/>
          </w:tcPr>
          <w:p>
            <w:pPr>
              <w:spacing w:line="240" w:lineRule="auto"/>
              <w:ind w:firstLine="0" w:firstLineChars="0"/>
              <w:jc w:val="center"/>
              <w:rPr>
                <w:sz w:val="21"/>
                <w:szCs w:val="21"/>
              </w:rPr>
            </w:pPr>
            <w:r>
              <w:rPr>
                <w:rFonts w:hint="eastAsia"/>
                <w:sz w:val="21"/>
                <w:szCs w:val="21"/>
              </w:rPr>
              <w:t>/</w:t>
            </w:r>
          </w:p>
        </w:tc>
        <w:tc>
          <w:tcPr>
            <w:tcW w:w="444" w:type="pct"/>
            <w:vAlign w:val="center"/>
          </w:tcPr>
          <w:p>
            <w:pPr>
              <w:spacing w:line="240" w:lineRule="auto"/>
              <w:ind w:firstLine="0" w:firstLineChars="0"/>
              <w:jc w:val="center"/>
              <w:rPr>
                <w:sz w:val="21"/>
                <w:szCs w:val="21"/>
              </w:rPr>
            </w:pPr>
            <w:r>
              <w:rPr>
                <w:rFonts w:hint="eastAsia"/>
                <w:sz w:val="21"/>
                <w:szCs w:val="21"/>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56" w:type="pct"/>
            <w:vAlign w:val="center"/>
          </w:tcPr>
          <w:p>
            <w:pPr>
              <w:autoSpaceDE w:val="0"/>
              <w:autoSpaceDN w:val="0"/>
              <w:spacing w:line="240" w:lineRule="auto"/>
              <w:ind w:firstLine="0" w:firstLineChars="0"/>
              <w:jc w:val="center"/>
              <w:textAlignment w:val="bottom"/>
              <w:rPr>
                <w:b/>
                <w:bCs/>
                <w:sz w:val="21"/>
                <w:szCs w:val="21"/>
              </w:rPr>
            </w:pPr>
            <w:r>
              <w:rPr>
                <w:rFonts w:hint="eastAsia"/>
                <w:b/>
                <w:bCs/>
                <w:sz w:val="21"/>
                <w:szCs w:val="21"/>
              </w:rPr>
              <w:t>5.3.1</w:t>
            </w:r>
          </w:p>
        </w:tc>
        <w:tc>
          <w:tcPr>
            <w:tcW w:w="2196" w:type="pct"/>
            <w:vAlign w:val="center"/>
          </w:tcPr>
          <w:p>
            <w:pPr>
              <w:autoSpaceDE w:val="0"/>
              <w:autoSpaceDN w:val="0"/>
              <w:spacing w:line="240" w:lineRule="auto"/>
              <w:ind w:firstLine="0" w:firstLineChars="0"/>
              <w:textAlignment w:val="bottom"/>
              <w:rPr>
                <w:b/>
                <w:bCs/>
                <w:sz w:val="21"/>
                <w:szCs w:val="21"/>
              </w:rPr>
            </w:pPr>
            <w:bookmarkStart w:id="383" w:name="_Toc76119910"/>
            <w:r>
              <w:rPr>
                <w:rFonts w:hint="eastAsia"/>
                <w:b/>
                <w:bCs/>
                <w:sz w:val="21"/>
                <w:szCs w:val="21"/>
              </w:rPr>
              <w:t>总平面布置安全防范措施</w:t>
            </w:r>
            <w:bookmarkEnd w:id="383"/>
          </w:p>
        </w:tc>
        <w:tc>
          <w:tcPr>
            <w:tcW w:w="1702" w:type="pct"/>
            <w:vAlign w:val="center"/>
          </w:tcPr>
          <w:p>
            <w:pPr>
              <w:spacing w:line="240" w:lineRule="auto"/>
              <w:ind w:firstLine="0" w:firstLineChars="0"/>
              <w:jc w:val="center"/>
              <w:rPr>
                <w:sz w:val="21"/>
                <w:szCs w:val="21"/>
              </w:rPr>
            </w:pPr>
            <w:r>
              <w:rPr>
                <w:rFonts w:hint="eastAsia"/>
                <w:sz w:val="21"/>
                <w:szCs w:val="21"/>
              </w:rPr>
              <w:t>/</w:t>
            </w:r>
          </w:p>
        </w:tc>
        <w:tc>
          <w:tcPr>
            <w:tcW w:w="444" w:type="pct"/>
            <w:vAlign w:val="center"/>
          </w:tcPr>
          <w:p>
            <w:pPr>
              <w:spacing w:line="240" w:lineRule="auto"/>
              <w:ind w:firstLine="0" w:firstLineChars="0"/>
              <w:jc w:val="center"/>
              <w:rPr>
                <w:sz w:val="21"/>
                <w:szCs w:val="21"/>
              </w:rPr>
            </w:pPr>
            <w:r>
              <w:rPr>
                <w:rFonts w:hint="eastAsia"/>
                <w:sz w:val="21"/>
                <w:szCs w:val="21"/>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autoSpaceDE w:val="0"/>
              <w:autoSpaceDN w:val="0"/>
              <w:spacing w:line="240" w:lineRule="auto"/>
              <w:ind w:firstLine="0" w:firstLineChars="0"/>
              <w:jc w:val="center"/>
              <w:textAlignment w:val="bottom"/>
              <w:rPr>
                <w:rFonts w:ascii="宋体" w:hAnsi="宋体"/>
                <w:sz w:val="21"/>
                <w:szCs w:val="21"/>
              </w:rPr>
            </w:pPr>
            <w:r>
              <w:rPr>
                <w:rFonts w:hint="eastAsia" w:ascii="宋体" w:hAnsi="宋体"/>
                <w:sz w:val="21"/>
                <w:szCs w:val="21"/>
              </w:rPr>
              <w:t>1)</w:t>
            </w:r>
          </w:p>
        </w:tc>
        <w:tc>
          <w:tcPr>
            <w:tcW w:w="2196" w:type="pct"/>
            <w:vAlign w:val="center"/>
          </w:tcPr>
          <w:p>
            <w:pPr>
              <w:autoSpaceDE w:val="0"/>
              <w:autoSpaceDN w:val="0"/>
              <w:spacing w:line="240" w:lineRule="auto"/>
              <w:ind w:firstLine="0" w:firstLineChars="0"/>
              <w:textAlignment w:val="bottom"/>
              <w:rPr>
                <w:sz w:val="21"/>
                <w:szCs w:val="21"/>
              </w:rPr>
            </w:pPr>
            <w:r>
              <w:rPr>
                <w:rFonts w:hint="eastAsia"/>
                <w:sz w:val="21"/>
                <w:szCs w:val="21"/>
              </w:rPr>
              <w:t>本项目设置环形消防道路或带回车场地的尽头式道路，路面宽度不小于4m，转弯半径不小于9米。同时满足运输、检修和消防要求。具体布置详见总平面布置图。</w:t>
            </w:r>
          </w:p>
        </w:tc>
        <w:tc>
          <w:tcPr>
            <w:tcW w:w="1702" w:type="pct"/>
            <w:vAlign w:val="center"/>
          </w:tcPr>
          <w:p>
            <w:pPr>
              <w:spacing w:line="240" w:lineRule="auto"/>
              <w:ind w:firstLine="0" w:firstLineChars="0"/>
              <w:rPr>
                <w:sz w:val="21"/>
                <w:szCs w:val="21"/>
              </w:rPr>
            </w:pPr>
            <w:r>
              <w:rPr>
                <w:rFonts w:hint="eastAsia"/>
                <w:sz w:val="21"/>
                <w:szCs w:val="21"/>
              </w:rPr>
              <w:t>本项目设置环形消防道路或带回车场地的尽头式道路，路面宽度不小于4m，转弯半径不小于9米。同时满足运输、检修和消防要求。</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autoSpaceDE w:val="0"/>
              <w:autoSpaceDN w:val="0"/>
              <w:spacing w:line="240" w:lineRule="auto"/>
              <w:ind w:firstLine="0" w:firstLineChars="0"/>
              <w:jc w:val="center"/>
              <w:textAlignment w:val="bottom"/>
              <w:rPr>
                <w:rFonts w:ascii="宋体" w:hAnsi="宋体"/>
                <w:sz w:val="21"/>
                <w:szCs w:val="21"/>
              </w:rPr>
            </w:pPr>
            <w:r>
              <w:rPr>
                <w:rFonts w:hint="eastAsia" w:ascii="宋体" w:hAnsi="宋体"/>
                <w:sz w:val="21"/>
                <w:szCs w:val="21"/>
              </w:rPr>
              <w:t>2)</w:t>
            </w:r>
          </w:p>
        </w:tc>
        <w:tc>
          <w:tcPr>
            <w:tcW w:w="2196" w:type="pct"/>
            <w:vAlign w:val="center"/>
          </w:tcPr>
          <w:p>
            <w:pPr>
              <w:autoSpaceDE w:val="0"/>
              <w:autoSpaceDN w:val="0"/>
              <w:spacing w:line="240" w:lineRule="auto"/>
              <w:ind w:firstLine="0" w:firstLineChars="0"/>
              <w:textAlignment w:val="bottom"/>
              <w:rPr>
                <w:sz w:val="21"/>
                <w:szCs w:val="21"/>
              </w:rPr>
            </w:pPr>
            <w:r>
              <w:rPr>
                <w:rFonts w:hint="eastAsia"/>
                <w:sz w:val="21"/>
                <w:szCs w:val="21"/>
              </w:rPr>
              <w:t>竖向设计，根据厂区原始地形和生产工艺的总体要求，厂区竖向布置形式采用连续平坡布置。</w:t>
            </w:r>
          </w:p>
        </w:tc>
        <w:tc>
          <w:tcPr>
            <w:tcW w:w="1702" w:type="pct"/>
            <w:vAlign w:val="center"/>
          </w:tcPr>
          <w:p>
            <w:pPr>
              <w:spacing w:line="240" w:lineRule="auto"/>
              <w:ind w:firstLine="0" w:firstLineChars="0"/>
              <w:rPr>
                <w:sz w:val="21"/>
                <w:szCs w:val="21"/>
              </w:rPr>
            </w:pPr>
            <w:r>
              <w:rPr>
                <w:rFonts w:hint="eastAsia"/>
                <w:sz w:val="21"/>
                <w:szCs w:val="21"/>
              </w:rPr>
              <w:t>厂区竖向布置形式采用连续平坡布置。</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autoSpaceDE w:val="0"/>
              <w:autoSpaceDN w:val="0"/>
              <w:spacing w:line="240" w:lineRule="auto"/>
              <w:ind w:firstLine="0" w:firstLineChars="0"/>
              <w:jc w:val="center"/>
              <w:textAlignment w:val="bottom"/>
              <w:rPr>
                <w:rFonts w:ascii="宋体" w:hAnsi="宋体"/>
                <w:sz w:val="21"/>
                <w:szCs w:val="21"/>
              </w:rPr>
            </w:pPr>
            <w:r>
              <w:rPr>
                <w:rFonts w:hint="eastAsia" w:ascii="宋体" w:hAnsi="宋体"/>
                <w:sz w:val="21"/>
                <w:szCs w:val="21"/>
              </w:rPr>
              <w:t>3)</w:t>
            </w:r>
          </w:p>
        </w:tc>
        <w:tc>
          <w:tcPr>
            <w:tcW w:w="2196" w:type="pct"/>
            <w:vAlign w:val="center"/>
          </w:tcPr>
          <w:p>
            <w:pPr>
              <w:autoSpaceDE w:val="0"/>
              <w:autoSpaceDN w:val="0"/>
              <w:spacing w:line="240" w:lineRule="auto"/>
              <w:ind w:firstLine="0" w:firstLineChars="0"/>
              <w:textAlignment w:val="bottom"/>
              <w:rPr>
                <w:sz w:val="21"/>
                <w:szCs w:val="21"/>
              </w:rPr>
            </w:pPr>
            <w:r>
              <w:rPr>
                <w:rFonts w:hint="eastAsia"/>
                <w:sz w:val="21"/>
                <w:szCs w:val="21"/>
              </w:rPr>
              <w:t>厂区道路为环形布置，采用城市型水泥混凝土路面。厂区道路路宽不小于4m，转弯半径不小于9m，净空高度不小于5m，能满足消防车辆错车、转弯等要求。</w:t>
            </w:r>
          </w:p>
        </w:tc>
        <w:tc>
          <w:tcPr>
            <w:tcW w:w="1702" w:type="pct"/>
            <w:vAlign w:val="center"/>
          </w:tcPr>
          <w:p>
            <w:pPr>
              <w:spacing w:line="240" w:lineRule="auto"/>
              <w:ind w:firstLine="0" w:firstLineChars="0"/>
              <w:rPr>
                <w:sz w:val="21"/>
                <w:szCs w:val="21"/>
              </w:rPr>
            </w:pPr>
            <w:r>
              <w:rPr>
                <w:rFonts w:hint="eastAsia"/>
                <w:sz w:val="21"/>
                <w:szCs w:val="21"/>
              </w:rPr>
              <w:t>厂区道路路宽不小于4m，转弯半径不小于9m，净空高度不小于5m，能满足消防车辆错车、转弯等要求。</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autoSpaceDE w:val="0"/>
              <w:autoSpaceDN w:val="0"/>
              <w:spacing w:line="240" w:lineRule="auto"/>
              <w:ind w:firstLine="0" w:firstLineChars="0"/>
              <w:jc w:val="center"/>
              <w:textAlignment w:val="bottom"/>
              <w:rPr>
                <w:rFonts w:ascii="宋体" w:hAnsi="宋体"/>
                <w:sz w:val="21"/>
                <w:szCs w:val="21"/>
              </w:rPr>
            </w:pPr>
            <w:r>
              <w:rPr>
                <w:rFonts w:hint="eastAsia" w:ascii="宋体" w:hAnsi="宋体"/>
                <w:sz w:val="21"/>
                <w:szCs w:val="21"/>
              </w:rPr>
              <w:t>4)</w:t>
            </w:r>
          </w:p>
        </w:tc>
        <w:tc>
          <w:tcPr>
            <w:tcW w:w="2196" w:type="pct"/>
            <w:vAlign w:val="center"/>
          </w:tcPr>
          <w:p>
            <w:pPr>
              <w:autoSpaceDE w:val="0"/>
              <w:autoSpaceDN w:val="0"/>
              <w:spacing w:line="240" w:lineRule="auto"/>
              <w:ind w:firstLine="0" w:firstLineChars="0"/>
              <w:textAlignment w:val="bottom"/>
              <w:rPr>
                <w:sz w:val="21"/>
                <w:szCs w:val="21"/>
              </w:rPr>
            </w:pPr>
            <w:r>
              <w:rPr>
                <w:rFonts w:hint="eastAsia"/>
                <w:sz w:val="21"/>
                <w:szCs w:val="21"/>
              </w:rPr>
              <w:t>全厂设有环形及带回车场地的尽头式消防通道，以保证运输、消防要求。</w:t>
            </w:r>
          </w:p>
        </w:tc>
        <w:tc>
          <w:tcPr>
            <w:tcW w:w="1702" w:type="pct"/>
            <w:vAlign w:val="center"/>
          </w:tcPr>
          <w:p>
            <w:pPr>
              <w:spacing w:line="240" w:lineRule="auto"/>
              <w:ind w:firstLine="0" w:firstLineChars="0"/>
              <w:rPr>
                <w:sz w:val="21"/>
                <w:szCs w:val="21"/>
              </w:rPr>
            </w:pPr>
            <w:r>
              <w:rPr>
                <w:rFonts w:hint="eastAsia"/>
                <w:sz w:val="21"/>
                <w:szCs w:val="21"/>
              </w:rPr>
              <w:t>消防通道按设计建设。</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autoSpaceDE w:val="0"/>
              <w:autoSpaceDN w:val="0"/>
              <w:spacing w:line="240" w:lineRule="auto"/>
              <w:ind w:firstLine="0" w:firstLineChars="0"/>
              <w:jc w:val="center"/>
              <w:textAlignment w:val="bottom"/>
              <w:rPr>
                <w:rFonts w:ascii="宋体" w:hAnsi="宋体"/>
                <w:sz w:val="21"/>
                <w:szCs w:val="21"/>
              </w:rPr>
            </w:pPr>
            <w:r>
              <w:rPr>
                <w:rFonts w:hint="eastAsia" w:ascii="宋体" w:hAnsi="宋体"/>
                <w:sz w:val="21"/>
                <w:szCs w:val="21"/>
              </w:rPr>
              <w:t>5)</w:t>
            </w:r>
          </w:p>
        </w:tc>
        <w:tc>
          <w:tcPr>
            <w:tcW w:w="2196" w:type="pct"/>
            <w:vAlign w:val="center"/>
          </w:tcPr>
          <w:p>
            <w:pPr>
              <w:autoSpaceDE w:val="0"/>
              <w:autoSpaceDN w:val="0"/>
              <w:spacing w:line="240" w:lineRule="auto"/>
              <w:ind w:firstLine="0" w:firstLineChars="0"/>
              <w:textAlignment w:val="bottom"/>
              <w:rPr>
                <w:sz w:val="21"/>
                <w:szCs w:val="21"/>
              </w:rPr>
            </w:pPr>
            <w:r>
              <w:rPr>
                <w:rFonts w:hint="eastAsia"/>
                <w:sz w:val="21"/>
                <w:szCs w:val="21"/>
              </w:rPr>
              <w:t>全厂以生产工艺为指导，按照连续加工和运输合理安排生产车间，使物料流向顺畅、运输简洁、工艺合理。</w:t>
            </w:r>
          </w:p>
        </w:tc>
        <w:tc>
          <w:tcPr>
            <w:tcW w:w="1702" w:type="pct"/>
            <w:vAlign w:val="center"/>
          </w:tcPr>
          <w:p>
            <w:pPr>
              <w:spacing w:line="240" w:lineRule="auto"/>
              <w:ind w:firstLine="0" w:firstLineChars="0"/>
              <w:rPr>
                <w:sz w:val="21"/>
                <w:szCs w:val="21"/>
              </w:rPr>
            </w:pPr>
            <w:r>
              <w:rPr>
                <w:rFonts w:hint="eastAsia"/>
                <w:sz w:val="21"/>
                <w:szCs w:val="21"/>
              </w:rPr>
              <w:t>全厂以生产工艺为指导，按照连续加工和运输合理安排生产车间，使物料流向顺畅、运输简洁、工艺合理。</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autoSpaceDE w:val="0"/>
              <w:autoSpaceDN w:val="0"/>
              <w:spacing w:line="240" w:lineRule="auto"/>
              <w:ind w:firstLine="0" w:firstLineChars="0"/>
              <w:jc w:val="center"/>
              <w:textAlignment w:val="bottom"/>
              <w:rPr>
                <w:rFonts w:ascii="宋体" w:hAnsi="宋体"/>
                <w:sz w:val="21"/>
                <w:szCs w:val="21"/>
              </w:rPr>
            </w:pPr>
            <w:r>
              <w:rPr>
                <w:rFonts w:hint="eastAsia"/>
                <w:sz w:val="21"/>
                <w:szCs w:val="21"/>
              </w:rPr>
              <w:t>6）</w:t>
            </w:r>
          </w:p>
        </w:tc>
        <w:tc>
          <w:tcPr>
            <w:tcW w:w="2196" w:type="pct"/>
            <w:vAlign w:val="center"/>
          </w:tcPr>
          <w:p>
            <w:pPr>
              <w:autoSpaceDE w:val="0"/>
              <w:autoSpaceDN w:val="0"/>
              <w:spacing w:line="240" w:lineRule="auto"/>
              <w:ind w:firstLine="0" w:firstLineChars="0"/>
              <w:textAlignment w:val="bottom"/>
              <w:rPr>
                <w:sz w:val="21"/>
                <w:szCs w:val="21"/>
              </w:rPr>
            </w:pPr>
            <w:r>
              <w:rPr>
                <w:rFonts w:hint="eastAsia"/>
                <w:sz w:val="21"/>
                <w:szCs w:val="21"/>
              </w:rPr>
              <w:t>产生高噪声的工艺与低噪声工艺分开布置。</w:t>
            </w:r>
          </w:p>
        </w:tc>
        <w:tc>
          <w:tcPr>
            <w:tcW w:w="1702" w:type="pct"/>
            <w:vAlign w:val="center"/>
          </w:tcPr>
          <w:p>
            <w:pPr>
              <w:spacing w:line="240" w:lineRule="auto"/>
              <w:ind w:firstLine="0" w:firstLineChars="0"/>
              <w:rPr>
                <w:sz w:val="21"/>
                <w:szCs w:val="21"/>
              </w:rPr>
            </w:pPr>
            <w:r>
              <w:rPr>
                <w:rFonts w:hint="eastAsia"/>
                <w:sz w:val="21"/>
                <w:szCs w:val="21"/>
              </w:rPr>
              <w:t>产生高噪声的工艺与低噪声工艺分开布置。</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autoSpaceDE w:val="0"/>
              <w:autoSpaceDN w:val="0"/>
              <w:spacing w:line="240" w:lineRule="auto"/>
              <w:ind w:firstLine="0" w:firstLineChars="0"/>
              <w:jc w:val="center"/>
              <w:textAlignment w:val="bottom"/>
              <w:rPr>
                <w:rFonts w:ascii="宋体" w:hAnsi="宋体"/>
                <w:sz w:val="21"/>
                <w:szCs w:val="21"/>
              </w:rPr>
            </w:pPr>
            <w:r>
              <w:rPr>
                <w:rFonts w:hint="eastAsia"/>
                <w:sz w:val="21"/>
                <w:szCs w:val="21"/>
              </w:rPr>
              <w:t>7）</w:t>
            </w:r>
          </w:p>
        </w:tc>
        <w:tc>
          <w:tcPr>
            <w:tcW w:w="2196" w:type="pct"/>
            <w:vAlign w:val="center"/>
          </w:tcPr>
          <w:p>
            <w:pPr>
              <w:autoSpaceDE w:val="0"/>
              <w:autoSpaceDN w:val="0"/>
              <w:spacing w:line="240" w:lineRule="auto"/>
              <w:ind w:firstLine="0" w:firstLineChars="0"/>
              <w:textAlignment w:val="bottom"/>
              <w:rPr>
                <w:sz w:val="21"/>
                <w:szCs w:val="21"/>
              </w:rPr>
            </w:pPr>
            <w:r>
              <w:rPr>
                <w:rFonts w:hint="eastAsia"/>
                <w:sz w:val="21"/>
                <w:szCs w:val="21"/>
              </w:rPr>
              <w:t>道路走向与厂区主要建筑物、构筑物轴线平行或垂直，与竖向设计协调，有利于场地及道路的雨水排出。</w:t>
            </w:r>
          </w:p>
        </w:tc>
        <w:tc>
          <w:tcPr>
            <w:tcW w:w="1702" w:type="pct"/>
            <w:vAlign w:val="center"/>
          </w:tcPr>
          <w:p>
            <w:pPr>
              <w:spacing w:line="240" w:lineRule="auto"/>
              <w:ind w:firstLine="0" w:firstLineChars="0"/>
              <w:rPr>
                <w:sz w:val="21"/>
                <w:szCs w:val="21"/>
              </w:rPr>
            </w:pPr>
            <w:r>
              <w:rPr>
                <w:rFonts w:hint="eastAsia"/>
                <w:sz w:val="21"/>
                <w:szCs w:val="21"/>
              </w:rPr>
              <w:t>道路走向与厂区主要建筑物、构筑物轴线平行或垂直，与竖向设计协调，有利于场地及道路的雨水排出。</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autoSpaceDE w:val="0"/>
              <w:autoSpaceDN w:val="0"/>
              <w:spacing w:line="240" w:lineRule="auto"/>
              <w:ind w:firstLine="0" w:firstLineChars="0"/>
              <w:jc w:val="center"/>
              <w:textAlignment w:val="bottom"/>
              <w:rPr>
                <w:rFonts w:ascii="宋体" w:hAnsi="宋体"/>
                <w:sz w:val="21"/>
                <w:szCs w:val="21"/>
              </w:rPr>
            </w:pPr>
            <w:r>
              <w:rPr>
                <w:rFonts w:hint="eastAsia"/>
                <w:sz w:val="21"/>
                <w:szCs w:val="21"/>
              </w:rPr>
              <w:t>8）</w:t>
            </w:r>
          </w:p>
        </w:tc>
        <w:tc>
          <w:tcPr>
            <w:tcW w:w="2196" w:type="pct"/>
            <w:vAlign w:val="center"/>
          </w:tcPr>
          <w:p>
            <w:pPr>
              <w:autoSpaceDE w:val="0"/>
              <w:autoSpaceDN w:val="0"/>
              <w:spacing w:line="240" w:lineRule="auto"/>
              <w:ind w:firstLine="0" w:firstLineChars="0"/>
              <w:textAlignment w:val="bottom"/>
              <w:rPr>
                <w:sz w:val="21"/>
                <w:szCs w:val="21"/>
              </w:rPr>
            </w:pPr>
            <w:r>
              <w:rPr>
                <w:rFonts w:hint="eastAsia"/>
                <w:sz w:val="21"/>
                <w:szCs w:val="21"/>
              </w:rPr>
              <w:t>厂区中其他建筑物之间、建构筑物与厂区道路、厂区围墙以及围墙外建构筑物之间的间距满足《建筑设计防火规范》（GB50016-2014（2018版））。因此，本项目平面布置的设计是合理的。本项目内各个单元与周边建构筑物的安全距离符合情况见表5-1；本项目具体布置详见“总平面布置图”。</w:t>
            </w:r>
          </w:p>
        </w:tc>
        <w:tc>
          <w:tcPr>
            <w:tcW w:w="1702" w:type="pct"/>
            <w:vAlign w:val="center"/>
          </w:tcPr>
          <w:p>
            <w:pPr>
              <w:spacing w:line="240" w:lineRule="auto"/>
              <w:ind w:firstLine="0" w:firstLineChars="0"/>
              <w:rPr>
                <w:rFonts w:ascii="宋体" w:hAnsi="宋体"/>
                <w:sz w:val="21"/>
                <w:szCs w:val="21"/>
              </w:rPr>
            </w:pPr>
            <w:r>
              <w:rPr>
                <w:rFonts w:hint="eastAsia" w:ascii="宋体" w:hAnsi="宋体"/>
                <w:sz w:val="21"/>
                <w:szCs w:val="21"/>
              </w:rPr>
              <w:t>经现场勘测，建筑防火间距满足</w:t>
            </w:r>
            <w:r>
              <w:rPr>
                <w:rFonts w:hint="eastAsia"/>
                <w:sz w:val="21"/>
                <w:szCs w:val="21"/>
              </w:rPr>
              <w:t>《建筑设计防火规范（2018年版）》（GB50016-2014）。</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656" w:type="pct"/>
            <w:vAlign w:val="center"/>
          </w:tcPr>
          <w:p>
            <w:pPr>
              <w:spacing w:line="240" w:lineRule="auto"/>
              <w:ind w:firstLine="0" w:firstLineChars="0"/>
              <w:jc w:val="center"/>
              <w:rPr>
                <w:b/>
                <w:bCs/>
                <w:sz w:val="21"/>
                <w:szCs w:val="21"/>
              </w:rPr>
            </w:pPr>
            <w:r>
              <w:rPr>
                <w:rFonts w:hint="eastAsia"/>
                <w:b/>
                <w:bCs/>
                <w:sz w:val="21"/>
                <w:szCs w:val="21"/>
              </w:rPr>
              <w:t>5.3.2</w:t>
            </w:r>
          </w:p>
        </w:tc>
        <w:tc>
          <w:tcPr>
            <w:tcW w:w="2196" w:type="pct"/>
            <w:vAlign w:val="center"/>
          </w:tcPr>
          <w:p>
            <w:pPr>
              <w:spacing w:line="240" w:lineRule="auto"/>
              <w:ind w:firstLine="0" w:firstLineChars="0"/>
              <w:jc w:val="center"/>
              <w:rPr>
                <w:b/>
                <w:bCs/>
                <w:sz w:val="21"/>
                <w:szCs w:val="21"/>
              </w:rPr>
            </w:pPr>
            <w:bookmarkStart w:id="384" w:name="_Toc76119911"/>
            <w:r>
              <w:rPr>
                <w:rFonts w:hint="eastAsia"/>
                <w:b/>
                <w:bCs/>
                <w:sz w:val="21"/>
                <w:szCs w:val="21"/>
              </w:rPr>
              <w:t>建筑设计安全防范措施</w:t>
            </w:r>
            <w:bookmarkEnd w:id="384"/>
          </w:p>
        </w:tc>
        <w:tc>
          <w:tcPr>
            <w:tcW w:w="1702" w:type="pct"/>
            <w:vAlign w:val="center"/>
          </w:tcPr>
          <w:p>
            <w:pPr>
              <w:spacing w:line="240" w:lineRule="auto"/>
              <w:ind w:firstLine="0" w:firstLineChars="0"/>
              <w:jc w:val="center"/>
              <w:rPr>
                <w:b/>
                <w:bCs/>
                <w:sz w:val="21"/>
                <w:szCs w:val="21"/>
              </w:rPr>
            </w:pPr>
          </w:p>
        </w:tc>
        <w:tc>
          <w:tcPr>
            <w:tcW w:w="444" w:type="pct"/>
            <w:vAlign w:val="center"/>
          </w:tcPr>
          <w:p>
            <w:pPr>
              <w:spacing w:line="240" w:lineRule="auto"/>
              <w:ind w:firstLine="0" w:firstLineChars="0"/>
              <w:jc w:val="center"/>
              <w:rPr>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autoSpaceDE w:val="0"/>
              <w:autoSpaceDN w:val="0"/>
              <w:spacing w:line="240" w:lineRule="auto"/>
              <w:ind w:firstLine="0" w:firstLineChars="0"/>
              <w:jc w:val="center"/>
              <w:textAlignment w:val="bottom"/>
              <w:rPr>
                <w:rFonts w:ascii="宋体" w:hAnsi="宋体" w:cs="Times New Roman"/>
                <w:sz w:val="21"/>
                <w:szCs w:val="21"/>
              </w:rPr>
            </w:pPr>
            <w:r>
              <w:rPr>
                <w:rFonts w:hint="eastAsia" w:ascii="宋体" w:hAnsi="宋体" w:cs="Times New Roman"/>
                <w:sz w:val="21"/>
                <w:szCs w:val="21"/>
              </w:rPr>
              <w:t>1）</w:t>
            </w:r>
          </w:p>
        </w:tc>
        <w:tc>
          <w:tcPr>
            <w:tcW w:w="2196" w:type="pct"/>
            <w:vAlign w:val="center"/>
          </w:tcPr>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rPr>
              <w:t>在确定建筑、结构方案时，除满足工艺生产要求外，针对不同加工车间特点，分别采取通风、散热、防尘、防腐蚀、隔热、隔声等措施，为生产创造良好的工作环境。</w:t>
            </w:r>
          </w:p>
        </w:tc>
        <w:tc>
          <w:tcPr>
            <w:tcW w:w="1702" w:type="pct"/>
            <w:vAlign w:val="center"/>
          </w:tcPr>
          <w:p>
            <w:pPr>
              <w:autoSpaceDE w:val="0"/>
              <w:autoSpaceDN w:val="0"/>
              <w:spacing w:line="240" w:lineRule="auto"/>
              <w:ind w:firstLine="0" w:firstLineChars="0"/>
              <w:jc w:val="center"/>
              <w:textAlignment w:val="bottom"/>
              <w:rPr>
                <w:rFonts w:ascii="宋体" w:hAnsi="宋体" w:cs="Times New Roman"/>
                <w:sz w:val="21"/>
                <w:szCs w:val="21"/>
              </w:rPr>
            </w:pPr>
            <w:r>
              <w:rPr>
                <w:rFonts w:hint="eastAsia" w:ascii="宋体" w:hAnsi="宋体" w:cs="Times New Roman"/>
                <w:sz w:val="21"/>
                <w:szCs w:val="21"/>
              </w:rPr>
              <w:t>项目按要求进行设计施工</w:t>
            </w:r>
          </w:p>
        </w:tc>
        <w:tc>
          <w:tcPr>
            <w:tcW w:w="444" w:type="pct"/>
            <w:vAlign w:val="center"/>
          </w:tcPr>
          <w:p>
            <w:pPr>
              <w:autoSpaceDE w:val="0"/>
              <w:autoSpaceDN w:val="0"/>
              <w:spacing w:line="240" w:lineRule="auto"/>
              <w:ind w:firstLine="0" w:firstLineChars="0"/>
              <w:jc w:val="center"/>
              <w:textAlignment w:val="bottom"/>
              <w:rPr>
                <w:rFonts w:ascii="宋体" w:hAnsi="宋体" w:cs="Times New Roman"/>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autoSpaceDE w:val="0"/>
              <w:autoSpaceDN w:val="0"/>
              <w:spacing w:line="240" w:lineRule="auto"/>
              <w:ind w:firstLine="0" w:firstLineChars="0"/>
              <w:jc w:val="center"/>
              <w:textAlignment w:val="bottom"/>
              <w:rPr>
                <w:rFonts w:ascii="宋体" w:hAnsi="宋体" w:cs="Times New Roman"/>
                <w:sz w:val="21"/>
                <w:szCs w:val="21"/>
              </w:rPr>
            </w:pPr>
            <w:r>
              <w:rPr>
                <w:rFonts w:hint="eastAsia" w:ascii="宋体" w:hAnsi="宋体" w:cs="Times New Roman"/>
                <w:sz w:val="21"/>
                <w:szCs w:val="21"/>
              </w:rPr>
              <w:t>2）</w:t>
            </w:r>
          </w:p>
        </w:tc>
        <w:tc>
          <w:tcPr>
            <w:tcW w:w="2196" w:type="pct"/>
            <w:vAlign w:val="center"/>
          </w:tcPr>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rPr>
              <w:t>执行建筑统一模数制，尽可能选用国家通用图集、标准构件，方便施工，缩短施工周期。</w:t>
            </w:r>
          </w:p>
        </w:tc>
        <w:tc>
          <w:tcPr>
            <w:tcW w:w="1702" w:type="pct"/>
            <w:vAlign w:val="center"/>
          </w:tcPr>
          <w:p>
            <w:pPr>
              <w:autoSpaceDE w:val="0"/>
              <w:autoSpaceDN w:val="0"/>
              <w:spacing w:line="240" w:lineRule="auto"/>
              <w:ind w:firstLine="0" w:firstLineChars="0"/>
              <w:jc w:val="center"/>
              <w:textAlignment w:val="bottom"/>
              <w:rPr>
                <w:rFonts w:ascii="宋体" w:hAnsi="宋体" w:cs="Times New Roman"/>
                <w:sz w:val="21"/>
                <w:szCs w:val="21"/>
              </w:rPr>
            </w:pPr>
            <w:r>
              <w:rPr>
                <w:rFonts w:hint="eastAsia" w:ascii="宋体" w:hAnsi="宋体" w:cs="Times New Roman"/>
                <w:sz w:val="21"/>
                <w:szCs w:val="21"/>
              </w:rPr>
              <w:t>项目按要求进行设计施工</w:t>
            </w:r>
          </w:p>
        </w:tc>
        <w:tc>
          <w:tcPr>
            <w:tcW w:w="444" w:type="pct"/>
            <w:vAlign w:val="center"/>
          </w:tcPr>
          <w:p>
            <w:pPr>
              <w:autoSpaceDE w:val="0"/>
              <w:autoSpaceDN w:val="0"/>
              <w:spacing w:line="240" w:lineRule="auto"/>
              <w:ind w:firstLine="0" w:firstLineChars="0"/>
              <w:jc w:val="center"/>
              <w:textAlignment w:val="bottom"/>
              <w:rPr>
                <w:rFonts w:ascii="宋体" w:hAnsi="宋体" w:cs="Times New Roman"/>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autoSpaceDE w:val="0"/>
              <w:autoSpaceDN w:val="0"/>
              <w:spacing w:line="240" w:lineRule="auto"/>
              <w:ind w:firstLine="0" w:firstLineChars="0"/>
              <w:jc w:val="center"/>
              <w:textAlignment w:val="bottom"/>
              <w:rPr>
                <w:rFonts w:ascii="宋体" w:hAnsi="宋体" w:cs="Times New Roman"/>
                <w:sz w:val="21"/>
                <w:szCs w:val="21"/>
              </w:rPr>
            </w:pPr>
            <w:r>
              <w:rPr>
                <w:rFonts w:hint="eastAsia" w:ascii="宋体" w:hAnsi="宋体" w:cs="Times New Roman"/>
                <w:sz w:val="21"/>
                <w:szCs w:val="21"/>
              </w:rPr>
              <w:t>3）</w:t>
            </w:r>
          </w:p>
        </w:tc>
        <w:tc>
          <w:tcPr>
            <w:tcW w:w="2196" w:type="pct"/>
            <w:vAlign w:val="center"/>
          </w:tcPr>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rPr>
              <w:t>本建设项目建（构）筑物均按地震基本烈度Ⅶ度设防。</w:t>
            </w:r>
          </w:p>
        </w:tc>
        <w:tc>
          <w:tcPr>
            <w:tcW w:w="1702" w:type="pct"/>
            <w:vAlign w:val="center"/>
          </w:tcPr>
          <w:p>
            <w:pPr>
              <w:autoSpaceDE w:val="0"/>
              <w:autoSpaceDN w:val="0"/>
              <w:spacing w:line="240" w:lineRule="auto"/>
              <w:ind w:firstLine="0" w:firstLineChars="0"/>
              <w:jc w:val="center"/>
              <w:textAlignment w:val="bottom"/>
              <w:rPr>
                <w:rFonts w:ascii="宋体" w:hAnsi="宋体" w:cs="Times New Roman"/>
                <w:sz w:val="21"/>
                <w:szCs w:val="21"/>
              </w:rPr>
            </w:pPr>
            <w:r>
              <w:rPr>
                <w:rFonts w:hint="eastAsia" w:ascii="宋体" w:hAnsi="宋体" w:cs="Times New Roman"/>
                <w:sz w:val="21"/>
                <w:szCs w:val="21"/>
              </w:rPr>
              <w:t>项目按要求进行设计施工</w:t>
            </w:r>
          </w:p>
        </w:tc>
        <w:tc>
          <w:tcPr>
            <w:tcW w:w="444" w:type="pct"/>
            <w:vAlign w:val="center"/>
          </w:tcPr>
          <w:p>
            <w:pPr>
              <w:autoSpaceDE w:val="0"/>
              <w:autoSpaceDN w:val="0"/>
              <w:spacing w:line="240" w:lineRule="auto"/>
              <w:ind w:firstLine="0" w:firstLineChars="0"/>
              <w:jc w:val="center"/>
              <w:textAlignment w:val="bottom"/>
              <w:rPr>
                <w:rFonts w:ascii="宋体" w:hAnsi="宋体" w:cs="Times New Roman"/>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656" w:type="pct"/>
            <w:vAlign w:val="center"/>
          </w:tcPr>
          <w:p>
            <w:pPr>
              <w:autoSpaceDE w:val="0"/>
              <w:autoSpaceDN w:val="0"/>
              <w:spacing w:line="240" w:lineRule="auto"/>
              <w:ind w:firstLine="0" w:firstLineChars="0"/>
              <w:jc w:val="center"/>
              <w:textAlignment w:val="bottom"/>
              <w:rPr>
                <w:rFonts w:ascii="宋体" w:hAnsi="宋体" w:cs="Times New Roman"/>
                <w:b/>
                <w:bCs/>
                <w:sz w:val="21"/>
                <w:szCs w:val="21"/>
              </w:rPr>
            </w:pPr>
            <w:r>
              <w:rPr>
                <w:rFonts w:hint="eastAsia" w:ascii="宋体" w:hAnsi="宋体" w:cs="Times New Roman"/>
                <w:b/>
                <w:bCs/>
                <w:sz w:val="21"/>
                <w:szCs w:val="21"/>
              </w:rPr>
              <w:t>4）</w:t>
            </w:r>
          </w:p>
        </w:tc>
        <w:tc>
          <w:tcPr>
            <w:tcW w:w="2196" w:type="pct"/>
            <w:vAlign w:val="center"/>
          </w:tcPr>
          <w:p>
            <w:pPr>
              <w:autoSpaceDE w:val="0"/>
              <w:autoSpaceDN w:val="0"/>
              <w:spacing w:line="240" w:lineRule="auto"/>
              <w:ind w:firstLine="0" w:firstLineChars="0"/>
              <w:jc w:val="center"/>
              <w:textAlignment w:val="bottom"/>
              <w:rPr>
                <w:rFonts w:ascii="宋体" w:hAnsi="宋体" w:cs="Times New Roman"/>
                <w:b/>
                <w:bCs/>
                <w:sz w:val="21"/>
                <w:szCs w:val="21"/>
              </w:rPr>
            </w:pPr>
            <w:r>
              <w:rPr>
                <w:rFonts w:hint="eastAsia" w:ascii="宋体" w:hAnsi="宋体" w:cs="Times New Roman"/>
                <w:b/>
                <w:bCs/>
                <w:sz w:val="21"/>
                <w:szCs w:val="21"/>
              </w:rPr>
              <w:t>主要建筑物设计安全防范措施</w:t>
            </w:r>
          </w:p>
        </w:tc>
        <w:tc>
          <w:tcPr>
            <w:tcW w:w="1702" w:type="pct"/>
            <w:vAlign w:val="center"/>
          </w:tcPr>
          <w:p>
            <w:pPr>
              <w:autoSpaceDE w:val="0"/>
              <w:autoSpaceDN w:val="0"/>
              <w:spacing w:line="240" w:lineRule="auto"/>
              <w:ind w:firstLine="0" w:firstLineChars="0"/>
              <w:jc w:val="center"/>
              <w:textAlignment w:val="bottom"/>
              <w:rPr>
                <w:rFonts w:ascii="宋体" w:hAnsi="宋体" w:cs="Times New Roman"/>
                <w:sz w:val="21"/>
                <w:szCs w:val="21"/>
              </w:rPr>
            </w:pPr>
            <w:r>
              <w:rPr>
                <w:rFonts w:hint="eastAsia" w:ascii="宋体" w:hAnsi="宋体" w:cs="Times New Roman"/>
                <w:sz w:val="21"/>
                <w:szCs w:val="21"/>
              </w:rPr>
              <w:t>/</w:t>
            </w:r>
          </w:p>
        </w:tc>
        <w:tc>
          <w:tcPr>
            <w:tcW w:w="444" w:type="pct"/>
            <w:vAlign w:val="center"/>
          </w:tcPr>
          <w:p>
            <w:pPr>
              <w:autoSpaceDE w:val="0"/>
              <w:autoSpaceDN w:val="0"/>
              <w:spacing w:line="240" w:lineRule="auto"/>
              <w:ind w:firstLine="0" w:firstLineChars="0"/>
              <w:jc w:val="center"/>
              <w:textAlignment w:val="bottom"/>
              <w:rPr>
                <w:rFonts w:ascii="宋体" w:hAnsi="宋体" w:cs="Times New Roman"/>
                <w:sz w:val="21"/>
                <w:szCs w:val="21"/>
              </w:rPr>
            </w:pPr>
            <w:r>
              <w:rPr>
                <w:rFonts w:hint="eastAsia" w:ascii="宋体" w:hAnsi="宋体" w:cs="Times New Roman"/>
                <w:sz w:val="21"/>
                <w:szCs w:val="21"/>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autoSpaceDE w:val="0"/>
              <w:autoSpaceDN w:val="0"/>
              <w:spacing w:line="240" w:lineRule="auto"/>
              <w:ind w:firstLine="0" w:firstLineChars="0"/>
              <w:jc w:val="center"/>
              <w:textAlignment w:val="bottom"/>
              <w:rPr>
                <w:rFonts w:cs="Times New Roman"/>
                <w:sz w:val="21"/>
                <w:szCs w:val="21"/>
              </w:rPr>
            </w:pPr>
            <w:r>
              <w:rPr>
                <w:rFonts w:hint="eastAsia" w:cs="Times New Roman"/>
                <w:sz w:val="21"/>
                <w:szCs w:val="21"/>
              </w:rPr>
              <w:t>（1）生产厂房</w:t>
            </w:r>
          </w:p>
          <w:p>
            <w:pPr>
              <w:autoSpaceDE w:val="0"/>
              <w:autoSpaceDN w:val="0"/>
              <w:spacing w:line="240" w:lineRule="auto"/>
              <w:ind w:firstLine="0" w:firstLineChars="0"/>
              <w:jc w:val="center"/>
              <w:textAlignment w:val="bottom"/>
              <w:rPr>
                <w:rFonts w:cs="Times New Roman"/>
                <w:sz w:val="21"/>
                <w:szCs w:val="21"/>
              </w:rPr>
            </w:pPr>
          </w:p>
        </w:tc>
        <w:tc>
          <w:tcPr>
            <w:tcW w:w="2196" w:type="pct"/>
            <w:vAlign w:val="center"/>
          </w:tcPr>
          <w:p>
            <w:pPr>
              <w:autoSpaceDE w:val="0"/>
              <w:autoSpaceDN w:val="0"/>
              <w:spacing w:line="240" w:lineRule="auto"/>
              <w:ind w:firstLine="0" w:firstLineChars="0"/>
              <w:textAlignment w:val="bottom"/>
              <w:rPr>
                <w:rFonts w:cs="Times New Roman"/>
                <w:sz w:val="21"/>
                <w:szCs w:val="21"/>
              </w:rPr>
            </w:pPr>
            <w:r>
              <w:rPr>
                <w:rFonts w:hint="eastAsia" w:cs="Times New Roman"/>
                <w:sz w:val="21"/>
                <w:szCs w:val="21"/>
              </w:rPr>
              <w:t>A.本项目生产厂房占地面积为15840m</w:t>
            </w:r>
            <w:r>
              <w:rPr>
                <w:rFonts w:hint="eastAsia" w:cs="Times New Roman"/>
                <w:sz w:val="21"/>
                <w:szCs w:val="21"/>
                <w:vertAlign w:val="superscript"/>
              </w:rPr>
              <w:t>2</w:t>
            </w:r>
            <w:r>
              <w:rPr>
                <w:rFonts w:hint="eastAsia" w:cs="Times New Roman"/>
                <w:sz w:val="21"/>
                <w:szCs w:val="21"/>
              </w:rPr>
              <w:t>，总建筑面积为31680m</w:t>
            </w:r>
            <w:r>
              <w:rPr>
                <w:rFonts w:hint="eastAsia" w:cs="Times New Roman"/>
                <w:sz w:val="21"/>
                <w:szCs w:val="21"/>
                <w:vertAlign w:val="superscript"/>
              </w:rPr>
              <w:t>2</w:t>
            </w:r>
            <w:r>
              <w:rPr>
                <w:rFonts w:hint="eastAsia" w:cs="Times New Roman"/>
                <w:sz w:val="21"/>
                <w:szCs w:val="21"/>
              </w:rPr>
              <w:t>（层高超8m按两层计算），单层钢结构，建筑耐火等级二级，该厂房分为四部分，分别为铸造车间、机加工车间、带顶露天跨、喷涂间和辅助车间，生产厂房为1个防火分区。生产厂房的火灾危险性类别为丁类。</w:t>
            </w:r>
          </w:p>
          <w:p>
            <w:pPr>
              <w:autoSpaceDE w:val="0"/>
              <w:autoSpaceDN w:val="0"/>
              <w:spacing w:line="240" w:lineRule="auto"/>
              <w:ind w:firstLine="0" w:firstLineChars="0"/>
              <w:textAlignment w:val="bottom"/>
              <w:rPr>
                <w:rFonts w:cs="Times New Roman"/>
                <w:sz w:val="21"/>
                <w:szCs w:val="21"/>
              </w:rPr>
            </w:pPr>
            <w:r>
              <w:rPr>
                <w:rFonts w:hint="eastAsia" w:cs="Times New Roman"/>
                <w:sz w:val="21"/>
                <w:szCs w:val="21"/>
              </w:rPr>
              <w:t>B.厂房的火灾危险性类别为丁类，具体分析如下：厂房内喷涂间、喷粉设备区属乙类生产区域，乙类生产区域总面积为240m</w:t>
            </w:r>
            <w:r>
              <w:rPr>
                <w:rFonts w:hint="eastAsia" w:cs="Times New Roman"/>
                <w:sz w:val="21"/>
                <w:szCs w:val="21"/>
                <w:vertAlign w:val="superscript"/>
              </w:rPr>
              <w:t>2</w:t>
            </w:r>
            <w:r>
              <w:rPr>
                <w:rFonts w:hint="eastAsia" w:cs="Times New Roman"/>
                <w:sz w:val="21"/>
                <w:szCs w:val="21"/>
              </w:rPr>
              <w:t>，厂房占地面积为15840m</w:t>
            </w:r>
            <w:r>
              <w:rPr>
                <w:rFonts w:hint="eastAsia" w:cs="Times New Roman"/>
                <w:sz w:val="21"/>
                <w:szCs w:val="21"/>
                <w:vertAlign w:val="superscript"/>
              </w:rPr>
              <w:t>2</w:t>
            </w:r>
            <w:r>
              <w:rPr>
                <w:rFonts w:hint="eastAsia" w:cs="Times New Roman"/>
                <w:sz w:val="21"/>
                <w:szCs w:val="21"/>
              </w:rPr>
              <w:t>，厂房一共设置为1个防火分区，乙类生产区域占厂房一总面积的比例为1.5%&lt;5%。且喷涂间、喷粉设备区均采用负压密闭作业。满足《建筑设计防火规范》GB50016-2014（2018年版）第3.1.2条可按火灾危险性较小的部分确定的要求。厂房一内除喷涂间、喷粉设备区以外的生产区域属丁类，故厂房一的火灾危险类别为丁类厂房。</w:t>
            </w:r>
          </w:p>
          <w:p>
            <w:pPr>
              <w:autoSpaceDE w:val="0"/>
              <w:autoSpaceDN w:val="0"/>
              <w:spacing w:line="240" w:lineRule="auto"/>
              <w:ind w:firstLine="0" w:firstLineChars="0"/>
              <w:textAlignment w:val="bottom"/>
              <w:rPr>
                <w:rFonts w:cs="Times New Roman"/>
                <w:sz w:val="21"/>
                <w:szCs w:val="21"/>
              </w:rPr>
            </w:pPr>
            <w:r>
              <w:rPr>
                <w:rFonts w:hint="eastAsia" w:cs="Times New Roman"/>
                <w:sz w:val="21"/>
                <w:szCs w:val="21"/>
              </w:rPr>
              <w:t>C.厂房北侧设有涂料中间仓库，采用防火墙和耐火极限不低于1.50h的不燃性楼板与其他部位分隔，其储量不宜超过1昼夜的需要量。</w:t>
            </w:r>
          </w:p>
          <w:p>
            <w:pPr>
              <w:autoSpaceDE w:val="0"/>
              <w:autoSpaceDN w:val="0"/>
              <w:spacing w:line="240" w:lineRule="auto"/>
              <w:ind w:firstLine="0" w:firstLineChars="0"/>
              <w:textAlignment w:val="bottom"/>
              <w:rPr>
                <w:rFonts w:cs="Times New Roman"/>
                <w:sz w:val="21"/>
                <w:szCs w:val="21"/>
              </w:rPr>
            </w:pPr>
            <w:r>
              <w:rPr>
                <w:rFonts w:hint="eastAsia" w:cs="Times New Roman"/>
                <w:sz w:val="21"/>
                <w:szCs w:val="21"/>
              </w:rPr>
              <w:t>D.生产厂房安全出口的设置符合《建筑设计防火规范》（GB50016-2014（2018版））第3.7节的要求。</w:t>
            </w:r>
          </w:p>
          <w:p>
            <w:pPr>
              <w:autoSpaceDE w:val="0"/>
              <w:autoSpaceDN w:val="0"/>
              <w:spacing w:line="240" w:lineRule="auto"/>
              <w:ind w:firstLine="0" w:firstLineChars="0"/>
              <w:textAlignment w:val="bottom"/>
              <w:rPr>
                <w:rFonts w:cs="Times New Roman"/>
                <w:sz w:val="21"/>
                <w:szCs w:val="21"/>
              </w:rPr>
            </w:pPr>
            <w:r>
              <w:rPr>
                <w:rFonts w:hint="eastAsia" w:cs="Times New Roman"/>
                <w:sz w:val="21"/>
                <w:szCs w:val="21"/>
              </w:rPr>
              <w:t>生产厂房内设有，疏散走道净宽度大于等于1.4m，并在用于安全疏散的安全出口、通道等处设有醒目标志。</w:t>
            </w:r>
          </w:p>
          <w:p>
            <w:pPr>
              <w:autoSpaceDE w:val="0"/>
              <w:autoSpaceDN w:val="0"/>
              <w:spacing w:line="240" w:lineRule="auto"/>
              <w:ind w:firstLine="0" w:firstLineChars="0"/>
              <w:textAlignment w:val="bottom"/>
              <w:rPr>
                <w:rFonts w:cs="Times New Roman"/>
                <w:sz w:val="21"/>
                <w:szCs w:val="21"/>
              </w:rPr>
            </w:pPr>
            <w:r>
              <w:rPr>
                <w:rFonts w:hint="eastAsia" w:cs="Times New Roman"/>
                <w:sz w:val="21"/>
                <w:szCs w:val="21"/>
              </w:rPr>
              <w:t>E.生产厂房按地震基本烈度VII度设防，建筑结构安全等级依据《建筑结构可靠度设计统一标准》（GB50068-2018）按二级设计，设计使用年限为50年，建筑屋面防水等级为Ⅱ级。</w:t>
            </w:r>
          </w:p>
          <w:p>
            <w:pPr>
              <w:autoSpaceDE w:val="0"/>
              <w:autoSpaceDN w:val="0"/>
              <w:spacing w:line="240" w:lineRule="auto"/>
              <w:ind w:firstLine="0" w:firstLineChars="0"/>
              <w:textAlignment w:val="bottom"/>
              <w:rPr>
                <w:rFonts w:cs="Times New Roman"/>
                <w:sz w:val="21"/>
                <w:szCs w:val="21"/>
              </w:rPr>
            </w:pPr>
            <w:r>
              <w:rPr>
                <w:rFonts w:hint="eastAsia" w:cs="Times New Roman"/>
                <w:sz w:val="21"/>
                <w:szCs w:val="21"/>
              </w:rPr>
              <w:t>F.生产厂房内所有明露金属构件，均先进行彻底除锈，然后刷防锈漆两道，最后再刷面层调和漆。</w:t>
            </w:r>
          </w:p>
          <w:p>
            <w:pPr>
              <w:autoSpaceDE w:val="0"/>
              <w:autoSpaceDN w:val="0"/>
              <w:spacing w:line="240" w:lineRule="auto"/>
              <w:ind w:firstLine="0" w:firstLineChars="0"/>
              <w:textAlignment w:val="bottom"/>
              <w:rPr>
                <w:rFonts w:cs="Times New Roman"/>
                <w:sz w:val="21"/>
                <w:szCs w:val="21"/>
              </w:rPr>
            </w:pPr>
            <w:r>
              <w:rPr>
                <w:rFonts w:hint="eastAsia" w:cs="Times New Roman"/>
                <w:sz w:val="21"/>
                <w:szCs w:val="21"/>
              </w:rPr>
              <w:t>生产厂房内所选用的钢结构需同时刷防火涂料和油漆（涂料）的，防火涂料与油漆（涂料）之间均先进行相容性试验，试验合格后方可使用。</w:t>
            </w:r>
          </w:p>
          <w:p>
            <w:pPr>
              <w:autoSpaceDE w:val="0"/>
              <w:autoSpaceDN w:val="0"/>
              <w:spacing w:line="240" w:lineRule="auto"/>
              <w:ind w:firstLine="0" w:firstLineChars="0"/>
              <w:textAlignment w:val="bottom"/>
              <w:rPr>
                <w:rFonts w:cs="Times New Roman"/>
                <w:sz w:val="21"/>
                <w:szCs w:val="21"/>
              </w:rPr>
            </w:pPr>
            <w:r>
              <w:rPr>
                <w:rFonts w:hint="eastAsia" w:cs="Times New Roman"/>
                <w:sz w:val="21"/>
                <w:szCs w:val="21"/>
              </w:rPr>
              <w:t>G.生产厂房设置室内消火栓系统。</w:t>
            </w:r>
          </w:p>
        </w:tc>
        <w:tc>
          <w:tcPr>
            <w:tcW w:w="1702" w:type="pct"/>
            <w:vAlign w:val="center"/>
          </w:tcPr>
          <w:p>
            <w:pPr>
              <w:autoSpaceDE w:val="0"/>
              <w:autoSpaceDN w:val="0"/>
              <w:spacing w:line="240" w:lineRule="auto"/>
              <w:ind w:firstLine="0" w:firstLineChars="0"/>
              <w:textAlignment w:val="bottom"/>
              <w:rPr>
                <w:rFonts w:cs="Times New Roman"/>
                <w:sz w:val="21"/>
                <w:szCs w:val="21"/>
              </w:rPr>
            </w:pPr>
            <w:r>
              <w:rPr>
                <w:rFonts w:hint="eastAsia" w:cs="Times New Roman"/>
                <w:sz w:val="21"/>
                <w:szCs w:val="21"/>
              </w:rPr>
              <w:t>生产厂房建筑耐火等级二级，生产厂房安全出口、疏散走道的设置与</w:t>
            </w:r>
            <w:r>
              <w:rPr>
                <w:rFonts w:hint="eastAsia" w:ascii="宋体" w:hAnsi="宋体" w:cs="宋体"/>
                <w:bCs/>
                <w:kern w:val="0"/>
                <w:sz w:val="21"/>
                <w:szCs w:val="21"/>
              </w:rPr>
              <w:t>设计要求相符，</w:t>
            </w:r>
            <w:r>
              <w:rPr>
                <w:rFonts w:hint="eastAsia" w:cs="Times New Roman"/>
                <w:sz w:val="21"/>
                <w:szCs w:val="21"/>
              </w:rPr>
              <w:t>符合《建筑防火通用规范》（GB55037-2022)的要求。生产厂房按地震基本烈度VII度设防。建筑结构安全等级依据《建筑结构可靠度设计统一标准》（GB50068-2018）按二级设计，设计使用年限为50年，建筑屋面防水等级为Ⅱ级。生产厂房内所有明露金属构件，均按设计要求除锈刷漆。生产厂房设置有室内消火栓系统。</w:t>
            </w:r>
          </w:p>
          <w:p>
            <w:pPr>
              <w:spacing w:line="240" w:lineRule="auto"/>
              <w:ind w:firstLine="0" w:firstLineChars="0"/>
              <w:rPr>
                <w:rFonts w:ascii="宋体" w:hAnsi="宋体"/>
                <w:sz w:val="21"/>
                <w:szCs w:val="21"/>
              </w:rPr>
            </w:pP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autoSpaceDE w:val="0"/>
              <w:autoSpaceDN w:val="0"/>
              <w:spacing w:line="240" w:lineRule="auto"/>
              <w:ind w:firstLine="0" w:firstLineChars="0"/>
              <w:jc w:val="center"/>
              <w:textAlignment w:val="bottom"/>
              <w:rPr>
                <w:rFonts w:ascii="宋体" w:hAnsi="宋体" w:cs="Times New Roman"/>
                <w:sz w:val="21"/>
                <w:szCs w:val="21"/>
              </w:rPr>
            </w:pPr>
            <w:r>
              <w:rPr>
                <w:rFonts w:hint="eastAsia" w:ascii="宋体" w:hAnsi="宋体" w:cs="Times New Roman"/>
                <w:sz w:val="21"/>
                <w:szCs w:val="21"/>
              </w:rPr>
              <w:t>（2）办公楼</w:t>
            </w:r>
          </w:p>
          <w:p>
            <w:pPr>
              <w:autoSpaceDE w:val="0"/>
              <w:autoSpaceDN w:val="0"/>
              <w:spacing w:line="240" w:lineRule="auto"/>
              <w:ind w:firstLine="0" w:firstLineChars="0"/>
              <w:jc w:val="center"/>
              <w:textAlignment w:val="bottom"/>
              <w:rPr>
                <w:rFonts w:ascii="宋体" w:hAnsi="宋体" w:cs="Times New Roman"/>
                <w:sz w:val="21"/>
                <w:szCs w:val="21"/>
              </w:rPr>
            </w:pPr>
          </w:p>
        </w:tc>
        <w:tc>
          <w:tcPr>
            <w:tcW w:w="2196" w:type="pct"/>
            <w:vAlign w:val="center"/>
          </w:tcPr>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rPr>
              <w:t>A.本项目办公楼占地面积为69.75m2，总建筑面积为139.5m2，共2层，为框架结构，建筑耐火等级二级，共设2个防火分区。</w:t>
            </w:r>
          </w:p>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rPr>
              <w:t>B.办公室设置2个安全出口，安全出口的设置符合《建筑设计防火规范》（GB50016-2014（2018版））第5.5节的要求。</w:t>
            </w:r>
          </w:p>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rPr>
              <w:t>C.办公室按地震基本烈度VII度设防，建筑结构安全等级依据《建筑结构可靠度设计统一标准》（GB50068-2018）按二级设计，设计使用年限为50年，建筑屋面防水等级为Ⅱ级。</w:t>
            </w:r>
          </w:p>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rPr>
              <w:t>D.办公室内所有明露金属构件，均先进行彻底除锈，然后刷防锈漆两道，最后再刷面层调和漆。</w:t>
            </w:r>
          </w:p>
        </w:tc>
        <w:tc>
          <w:tcPr>
            <w:tcW w:w="1702" w:type="pct"/>
            <w:vAlign w:val="center"/>
          </w:tcPr>
          <w:p>
            <w:pPr>
              <w:autoSpaceDE w:val="0"/>
              <w:autoSpaceDN w:val="0"/>
              <w:spacing w:line="240" w:lineRule="auto"/>
              <w:ind w:firstLine="0" w:firstLineChars="0"/>
              <w:textAlignment w:val="bottom"/>
              <w:rPr>
                <w:rFonts w:cs="Times New Roman"/>
                <w:sz w:val="21"/>
                <w:szCs w:val="21"/>
              </w:rPr>
            </w:pPr>
            <w:r>
              <w:rPr>
                <w:rFonts w:hint="eastAsia" w:cs="Times New Roman"/>
                <w:sz w:val="21"/>
                <w:szCs w:val="21"/>
              </w:rPr>
              <w:t>项目办公楼建筑耐火等级二级，安全出口设置与</w:t>
            </w:r>
            <w:r>
              <w:rPr>
                <w:rFonts w:hint="eastAsia" w:ascii="宋体" w:hAnsi="宋体" w:cs="宋体"/>
                <w:bCs/>
                <w:kern w:val="0"/>
                <w:sz w:val="21"/>
                <w:szCs w:val="21"/>
              </w:rPr>
              <w:t>设计要求相符，</w:t>
            </w:r>
            <w:r>
              <w:rPr>
                <w:rFonts w:hint="eastAsia" w:cs="Times New Roman"/>
                <w:sz w:val="21"/>
                <w:szCs w:val="21"/>
              </w:rPr>
              <w:t>符合《建筑防火通用规范》（GB55037-2022)的要求。按地震基本烈度VII度设防，建筑结构安全等级依据《建筑结构可靠度设计统一标准》（GB50068-2018）按二级设计，设计使用年限为50年，建筑屋面防水等级为Ⅱ级。办公室内所有明露金属构件均按要求除锈刷漆。</w:t>
            </w:r>
          </w:p>
          <w:p>
            <w:pPr>
              <w:spacing w:line="240" w:lineRule="auto"/>
              <w:ind w:firstLine="0" w:firstLineChars="0"/>
              <w:rPr>
                <w:rFonts w:ascii="宋体" w:hAnsi="宋体"/>
                <w:sz w:val="21"/>
                <w:szCs w:val="21"/>
              </w:rPr>
            </w:pP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autoSpaceDE w:val="0"/>
              <w:autoSpaceDN w:val="0"/>
              <w:spacing w:line="240" w:lineRule="auto"/>
              <w:ind w:firstLine="0" w:firstLineChars="0"/>
              <w:jc w:val="center"/>
              <w:textAlignment w:val="bottom"/>
              <w:rPr>
                <w:rFonts w:ascii="宋体" w:hAnsi="宋体" w:cs="Times New Roman"/>
                <w:sz w:val="21"/>
                <w:szCs w:val="21"/>
              </w:rPr>
            </w:pPr>
            <w:r>
              <w:rPr>
                <w:rFonts w:hint="eastAsia" w:ascii="宋体" w:hAnsi="宋体" w:cs="Times New Roman"/>
                <w:sz w:val="21"/>
                <w:szCs w:val="21"/>
              </w:rPr>
              <w:t>（3）仓库</w:t>
            </w:r>
          </w:p>
        </w:tc>
        <w:tc>
          <w:tcPr>
            <w:tcW w:w="2196" w:type="pct"/>
            <w:vAlign w:val="center"/>
          </w:tcPr>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rPr>
              <w:t>A.本项目仓库占地面积为3031.2m2，总建筑面积为6062.4m2（层高超8m按两层计算），单层钢结构，建筑耐火等级二级，共设1个防火分区。</w:t>
            </w:r>
          </w:p>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rPr>
              <w:t>B.仓库安全出口的设置符合《建筑设计防火规范》（GB50016-2014（2018版））第3.7节的要求。</w:t>
            </w:r>
          </w:p>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rPr>
              <w:t>C.生产厂房按地震基本烈度VII度设防，建筑结构安全等级依据《建筑结构可靠度设计统一标准》（GB50068-2018）按二级设计，设计使用年限为50年，建筑屋面防水等级为Ⅱ级。</w:t>
            </w:r>
          </w:p>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rPr>
              <w:t>D.生产厂房内所有明露金属构件，均先进行彻底除锈，然后刷防锈漆两道，最后再刷面层调和漆。</w:t>
            </w:r>
          </w:p>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rPr>
              <w:t>生产厂房内所选用的钢结构需同时刷防火涂料和油漆（涂料）的，防火涂料与油漆（涂料）之间均先进行相容性试验，试验合格后方可使用。</w:t>
            </w:r>
          </w:p>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rPr>
              <w:t>E.生产厂房设置室内消火栓系统。</w:t>
            </w:r>
          </w:p>
          <w:p>
            <w:pPr>
              <w:autoSpaceDE w:val="0"/>
              <w:autoSpaceDN w:val="0"/>
              <w:spacing w:line="240" w:lineRule="auto"/>
              <w:ind w:firstLine="0" w:firstLineChars="0"/>
              <w:textAlignment w:val="bottom"/>
              <w:rPr>
                <w:rFonts w:ascii="宋体" w:hAnsi="宋体" w:cs="Times New Roman"/>
                <w:sz w:val="21"/>
                <w:szCs w:val="21"/>
              </w:rPr>
            </w:pPr>
          </w:p>
        </w:tc>
        <w:tc>
          <w:tcPr>
            <w:tcW w:w="1702" w:type="pct"/>
            <w:vAlign w:val="center"/>
          </w:tcPr>
          <w:p>
            <w:pPr>
              <w:spacing w:line="240" w:lineRule="auto"/>
              <w:ind w:firstLine="0" w:firstLineChars="0"/>
              <w:rPr>
                <w:rFonts w:ascii="宋体" w:hAnsi="宋体"/>
                <w:sz w:val="21"/>
                <w:szCs w:val="21"/>
              </w:rPr>
            </w:pPr>
            <w:r>
              <w:rPr>
                <w:rFonts w:hint="eastAsia" w:ascii="宋体" w:hAnsi="宋体"/>
                <w:sz w:val="21"/>
                <w:szCs w:val="21"/>
              </w:rPr>
              <w:t>仓库为二期工程，不在本次验收范围。</w:t>
            </w:r>
          </w:p>
        </w:tc>
        <w:tc>
          <w:tcPr>
            <w:tcW w:w="444" w:type="pct"/>
            <w:vAlign w:val="center"/>
          </w:tcPr>
          <w:p>
            <w:pPr>
              <w:spacing w:line="240" w:lineRule="auto"/>
              <w:ind w:firstLine="0" w:firstLineChars="0"/>
              <w:jc w:val="center"/>
              <w:rPr>
                <w:sz w:val="21"/>
                <w:szCs w:val="21"/>
              </w:rPr>
            </w:pPr>
            <w:r>
              <w:rPr>
                <w:rFonts w:hint="eastAsia"/>
                <w:sz w:val="21"/>
                <w:szCs w:val="21"/>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autoSpaceDE w:val="0"/>
              <w:autoSpaceDN w:val="0"/>
              <w:spacing w:line="240" w:lineRule="auto"/>
              <w:ind w:firstLine="0" w:firstLineChars="0"/>
              <w:jc w:val="center"/>
              <w:textAlignment w:val="bottom"/>
              <w:rPr>
                <w:rFonts w:ascii="宋体" w:hAnsi="宋体" w:cs="Times New Roman"/>
                <w:sz w:val="21"/>
                <w:szCs w:val="21"/>
              </w:rPr>
            </w:pPr>
            <w:r>
              <w:rPr>
                <w:rFonts w:hint="eastAsia" w:ascii="宋体" w:hAnsi="宋体" w:cs="Times New Roman"/>
                <w:sz w:val="21"/>
                <w:szCs w:val="21"/>
              </w:rPr>
              <w:t>（4）门卫室</w:t>
            </w:r>
          </w:p>
        </w:tc>
        <w:tc>
          <w:tcPr>
            <w:tcW w:w="2196" w:type="pct"/>
            <w:vAlign w:val="center"/>
          </w:tcPr>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rPr>
              <w:t>A.本项目门卫室占地面积为13.5m2，总建筑面积为13.5m2，共一层，为框架结构，建筑耐火等级二级。</w:t>
            </w:r>
          </w:p>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rPr>
              <w:t>B.门卫室设置1个安全出口，安全出口的设置符合《建筑设计防火规范》（GB50016-2014（2018版））第5.5节的要求。</w:t>
            </w:r>
          </w:p>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rPr>
              <w:t>C.门卫室按地震基本烈度VII度设防，建筑结构安全等级依据《建筑结构可靠度设计统一标准》（GB50068-2018）按二级设计，设计使用年限为50年，建筑屋面防水等级为Ⅱ级。</w:t>
            </w:r>
          </w:p>
        </w:tc>
        <w:tc>
          <w:tcPr>
            <w:tcW w:w="1702" w:type="pct"/>
            <w:vAlign w:val="center"/>
          </w:tcPr>
          <w:p>
            <w:pPr>
              <w:spacing w:line="240" w:lineRule="auto"/>
              <w:ind w:firstLine="0" w:firstLineChars="0"/>
              <w:rPr>
                <w:rFonts w:ascii="宋体" w:hAnsi="宋体"/>
                <w:sz w:val="21"/>
                <w:szCs w:val="21"/>
              </w:rPr>
            </w:pPr>
            <w:r>
              <w:rPr>
                <w:rFonts w:hint="eastAsia" w:ascii="宋体" w:hAnsi="宋体" w:cs="Times New Roman"/>
                <w:sz w:val="21"/>
                <w:szCs w:val="21"/>
              </w:rPr>
              <w:t>门卫室建筑耐火等级二级，安全出口的</w:t>
            </w:r>
            <w:r>
              <w:rPr>
                <w:rFonts w:hint="eastAsia" w:cs="Times New Roman"/>
                <w:sz w:val="21"/>
                <w:szCs w:val="21"/>
              </w:rPr>
              <w:t>设置与</w:t>
            </w:r>
            <w:r>
              <w:rPr>
                <w:rFonts w:hint="eastAsia" w:ascii="宋体" w:hAnsi="宋体" w:cs="宋体"/>
                <w:bCs/>
                <w:kern w:val="0"/>
                <w:sz w:val="21"/>
                <w:szCs w:val="21"/>
              </w:rPr>
              <w:t>设计要求相符，</w:t>
            </w:r>
            <w:r>
              <w:rPr>
                <w:rFonts w:hint="eastAsia" w:cs="Times New Roman"/>
                <w:sz w:val="21"/>
                <w:szCs w:val="21"/>
              </w:rPr>
              <w:t>符合《建筑防火通用规范》（GB55037-2022)的要求。</w:t>
            </w:r>
            <w:r>
              <w:rPr>
                <w:rFonts w:hint="eastAsia" w:ascii="宋体" w:hAnsi="宋体" w:cs="Times New Roman"/>
                <w:sz w:val="21"/>
                <w:szCs w:val="21"/>
              </w:rPr>
              <w:t>按地震基本烈度VII度设防。建筑结构安全等级依据《建筑结构可靠度设计统一标准》（GB50068-2018）按二级设计，设计使用年限为50年，建筑屋面防水等级为Ⅱ级</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656" w:type="pct"/>
            <w:vAlign w:val="center"/>
          </w:tcPr>
          <w:p>
            <w:pPr>
              <w:spacing w:line="240" w:lineRule="auto"/>
              <w:ind w:firstLine="0" w:firstLineChars="0"/>
              <w:jc w:val="center"/>
              <w:rPr>
                <w:rFonts w:cs="Times New Roman"/>
                <w:b/>
                <w:bCs/>
                <w:sz w:val="21"/>
                <w:szCs w:val="21"/>
              </w:rPr>
            </w:pPr>
            <w:r>
              <w:rPr>
                <w:rFonts w:hint="eastAsia" w:cs="Times New Roman"/>
                <w:b/>
                <w:bCs/>
                <w:sz w:val="21"/>
                <w:szCs w:val="21"/>
              </w:rPr>
              <w:t>5.4</w:t>
            </w:r>
          </w:p>
        </w:tc>
        <w:tc>
          <w:tcPr>
            <w:tcW w:w="2196" w:type="pct"/>
            <w:vAlign w:val="center"/>
          </w:tcPr>
          <w:p>
            <w:pPr>
              <w:spacing w:line="240" w:lineRule="auto"/>
              <w:ind w:firstLine="0" w:firstLineChars="0"/>
              <w:jc w:val="center"/>
              <w:rPr>
                <w:rFonts w:cs="Times New Roman"/>
                <w:b/>
                <w:bCs/>
                <w:sz w:val="21"/>
                <w:szCs w:val="21"/>
              </w:rPr>
            </w:pPr>
            <w:bookmarkStart w:id="385" w:name="_Toc76119912"/>
            <w:r>
              <w:rPr>
                <w:rFonts w:hint="eastAsia" w:cs="Times New Roman"/>
                <w:b/>
                <w:bCs/>
                <w:sz w:val="21"/>
                <w:szCs w:val="21"/>
              </w:rPr>
              <w:t>工艺、设备安全防范措施</w:t>
            </w:r>
            <w:bookmarkEnd w:id="385"/>
          </w:p>
        </w:tc>
        <w:tc>
          <w:tcPr>
            <w:tcW w:w="1702" w:type="pct"/>
            <w:vAlign w:val="center"/>
          </w:tcPr>
          <w:p>
            <w:pPr>
              <w:spacing w:line="240" w:lineRule="auto"/>
              <w:ind w:firstLine="0" w:firstLineChars="0"/>
              <w:jc w:val="center"/>
              <w:rPr>
                <w:rFonts w:cs="Times New Roman"/>
                <w:b/>
                <w:bCs/>
                <w:sz w:val="21"/>
                <w:szCs w:val="21"/>
              </w:rPr>
            </w:pPr>
          </w:p>
        </w:tc>
        <w:tc>
          <w:tcPr>
            <w:tcW w:w="444" w:type="pct"/>
            <w:vAlign w:val="center"/>
          </w:tcPr>
          <w:p>
            <w:pPr>
              <w:spacing w:line="240" w:lineRule="auto"/>
              <w:ind w:firstLine="0" w:firstLineChars="0"/>
              <w:jc w:val="center"/>
              <w:rPr>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8" w:hRule="atLeast"/>
          <w:jc w:val="center"/>
        </w:trPr>
        <w:tc>
          <w:tcPr>
            <w:tcW w:w="656" w:type="pct"/>
            <w:vAlign w:val="center"/>
          </w:tcPr>
          <w:p>
            <w:pPr>
              <w:spacing w:line="240" w:lineRule="auto"/>
              <w:ind w:firstLine="0" w:firstLineChars="0"/>
              <w:jc w:val="center"/>
              <w:rPr>
                <w:rFonts w:cs="Times New Roman"/>
                <w:b/>
                <w:bCs/>
                <w:sz w:val="21"/>
                <w:szCs w:val="21"/>
              </w:rPr>
            </w:pPr>
            <w:r>
              <w:rPr>
                <w:rFonts w:hint="eastAsia" w:cs="Times New Roman"/>
                <w:b/>
                <w:bCs/>
                <w:sz w:val="21"/>
                <w:szCs w:val="21"/>
              </w:rPr>
              <w:t>5.4.1</w:t>
            </w:r>
          </w:p>
        </w:tc>
        <w:tc>
          <w:tcPr>
            <w:tcW w:w="2196" w:type="pct"/>
            <w:vAlign w:val="center"/>
          </w:tcPr>
          <w:p>
            <w:pPr>
              <w:spacing w:line="240" w:lineRule="auto"/>
              <w:ind w:firstLine="0" w:firstLineChars="0"/>
              <w:jc w:val="center"/>
              <w:rPr>
                <w:rFonts w:cs="Times New Roman"/>
                <w:b/>
                <w:bCs/>
                <w:sz w:val="21"/>
                <w:szCs w:val="21"/>
              </w:rPr>
            </w:pPr>
            <w:bookmarkStart w:id="386" w:name="_Toc76119913"/>
            <w:r>
              <w:rPr>
                <w:rFonts w:hint="eastAsia" w:cs="Times New Roman"/>
                <w:b/>
                <w:bCs/>
                <w:sz w:val="21"/>
                <w:szCs w:val="21"/>
              </w:rPr>
              <w:t>工艺安全防范措施</w:t>
            </w:r>
            <w:bookmarkEnd w:id="386"/>
          </w:p>
        </w:tc>
        <w:tc>
          <w:tcPr>
            <w:tcW w:w="1702" w:type="pct"/>
            <w:vAlign w:val="center"/>
          </w:tcPr>
          <w:p>
            <w:pPr>
              <w:spacing w:line="240" w:lineRule="auto"/>
              <w:ind w:firstLine="0" w:firstLineChars="0"/>
              <w:jc w:val="center"/>
              <w:rPr>
                <w:rFonts w:cs="Times New Roman"/>
                <w:b/>
                <w:bCs/>
                <w:sz w:val="21"/>
                <w:szCs w:val="21"/>
              </w:rPr>
            </w:pPr>
          </w:p>
        </w:tc>
        <w:tc>
          <w:tcPr>
            <w:tcW w:w="444" w:type="pct"/>
            <w:vAlign w:val="center"/>
          </w:tcPr>
          <w:p>
            <w:pPr>
              <w:spacing w:line="240" w:lineRule="auto"/>
              <w:ind w:firstLine="0" w:firstLineChars="0"/>
              <w:jc w:val="center"/>
              <w:rPr>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autoSpaceDE w:val="0"/>
              <w:autoSpaceDN w:val="0"/>
              <w:spacing w:line="240" w:lineRule="auto"/>
              <w:ind w:firstLine="0" w:firstLineChars="0"/>
              <w:jc w:val="center"/>
              <w:textAlignment w:val="bottom"/>
              <w:rPr>
                <w:rFonts w:ascii="宋体" w:hAnsi="宋体" w:cs="Times New Roman"/>
                <w:sz w:val="21"/>
                <w:szCs w:val="21"/>
              </w:rPr>
            </w:pPr>
            <w:r>
              <w:rPr>
                <w:rFonts w:hint="eastAsia" w:ascii="宋体" w:hAnsi="宋体" w:cs="Times New Roman"/>
                <w:sz w:val="21"/>
                <w:szCs w:val="21"/>
                <w:lang w:val="zh-CN"/>
              </w:rPr>
              <w:t>1）</w:t>
            </w:r>
          </w:p>
        </w:tc>
        <w:tc>
          <w:tcPr>
            <w:tcW w:w="2196" w:type="pct"/>
            <w:vAlign w:val="center"/>
          </w:tcPr>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lang w:val="zh-CN"/>
              </w:rPr>
              <w:t>设计、施工与安装请有相关资质的单位来承担，设备选型等严格按照相关规定进行设计，操作过程尽量实现自动化、机械化，减轻工人的劳动强度。</w:t>
            </w:r>
          </w:p>
        </w:tc>
        <w:tc>
          <w:tcPr>
            <w:tcW w:w="1702" w:type="pct"/>
            <w:vAlign w:val="center"/>
          </w:tcPr>
          <w:p>
            <w:pPr>
              <w:spacing w:line="240" w:lineRule="auto"/>
              <w:ind w:firstLine="0" w:firstLineChars="0"/>
              <w:rPr>
                <w:rFonts w:ascii="宋体" w:hAnsi="宋体"/>
                <w:sz w:val="21"/>
                <w:szCs w:val="21"/>
              </w:rPr>
            </w:pPr>
            <w:r>
              <w:rPr>
                <w:rFonts w:hint="eastAsia" w:ascii="宋体" w:hAnsi="宋体"/>
                <w:sz w:val="21"/>
                <w:szCs w:val="21"/>
              </w:rPr>
              <w:t>按要求由有</w:t>
            </w:r>
            <w:r>
              <w:rPr>
                <w:rFonts w:hint="eastAsia" w:ascii="宋体" w:hAnsi="宋体" w:cs="Times New Roman"/>
                <w:sz w:val="21"/>
                <w:szCs w:val="21"/>
                <w:lang w:val="zh-CN"/>
              </w:rPr>
              <w:t>相关资质的单位设计、施工与安装。</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autoSpaceDE w:val="0"/>
              <w:autoSpaceDN w:val="0"/>
              <w:spacing w:line="240" w:lineRule="auto"/>
              <w:ind w:firstLine="0" w:firstLineChars="0"/>
              <w:jc w:val="center"/>
              <w:textAlignment w:val="bottom"/>
              <w:rPr>
                <w:rFonts w:ascii="宋体" w:hAnsi="宋体"/>
                <w:sz w:val="21"/>
                <w:szCs w:val="21"/>
              </w:rPr>
            </w:pPr>
            <w:r>
              <w:rPr>
                <w:rFonts w:hint="eastAsia" w:ascii="宋体" w:hAnsi="宋体" w:cs="Times New Roman"/>
                <w:sz w:val="21"/>
                <w:szCs w:val="21"/>
                <w:lang w:val="zh-CN"/>
              </w:rPr>
              <w:t>2）</w:t>
            </w:r>
          </w:p>
        </w:tc>
        <w:tc>
          <w:tcPr>
            <w:tcW w:w="2196" w:type="pct"/>
            <w:vAlign w:val="center"/>
          </w:tcPr>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lang w:val="zh-CN"/>
              </w:rPr>
              <w:t xml:space="preserve">向具有相应制造许可证的厂家购进各类设备；加强设备的管理与维护，严格按安全操作规程进行操作，杜绝跑、冒、滴、漏；严格落实管理制度，生产过程中加强设备管道、阀门的维护、保养，以防危险物品外泄。 </w:t>
            </w:r>
          </w:p>
        </w:tc>
        <w:tc>
          <w:tcPr>
            <w:tcW w:w="1702" w:type="pct"/>
            <w:vAlign w:val="center"/>
          </w:tcPr>
          <w:p>
            <w:pPr>
              <w:spacing w:line="240" w:lineRule="auto"/>
              <w:ind w:firstLine="0" w:firstLineChars="0"/>
              <w:rPr>
                <w:rFonts w:ascii="宋体" w:hAnsi="宋体"/>
                <w:sz w:val="21"/>
                <w:szCs w:val="21"/>
              </w:rPr>
            </w:pPr>
            <w:r>
              <w:rPr>
                <w:rFonts w:hint="eastAsia" w:ascii="宋体" w:hAnsi="宋体" w:cs="Times New Roman"/>
                <w:sz w:val="21"/>
                <w:szCs w:val="21"/>
                <w:lang w:val="zh-CN"/>
              </w:rPr>
              <w:t>向具有相应制造许可证的厂家购进各类设备。</w:t>
            </w:r>
            <w:r>
              <w:rPr>
                <w:rFonts w:hint="eastAsia" w:ascii="宋体" w:hAnsi="宋体" w:cs="Times New Roman"/>
                <w:sz w:val="21"/>
                <w:szCs w:val="21"/>
              </w:rPr>
              <w:t>加强日常管理。</w:t>
            </w:r>
            <w:r>
              <w:rPr>
                <w:rFonts w:hint="eastAsia" w:ascii="宋体" w:hAnsi="宋体" w:cs="Times New Roman"/>
                <w:sz w:val="21"/>
                <w:szCs w:val="21"/>
                <w:lang w:val="zh-CN"/>
              </w:rPr>
              <w:t>杜绝跑、冒、滴、漏。</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autoSpaceDE w:val="0"/>
              <w:autoSpaceDN w:val="0"/>
              <w:spacing w:line="240" w:lineRule="auto"/>
              <w:ind w:firstLine="0" w:firstLineChars="0"/>
              <w:jc w:val="center"/>
              <w:textAlignment w:val="bottom"/>
              <w:rPr>
                <w:rFonts w:ascii="宋体" w:hAnsi="宋体"/>
                <w:sz w:val="21"/>
                <w:szCs w:val="21"/>
              </w:rPr>
            </w:pPr>
            <w:r>
              <w:rPr>
                <w:rFonts w:hint="eastAsia" w:ascii="宋体" w:hAnsi="宋体" w:cs="Times New Roman"/>
                <w:sz w:val="21"/>
                <w:szCs w:val="21"/>
                <w:lang w:val="zh-CN"/>
              </w:rPr>
              <w:t>3）</w:t>
            </w:r>
          </w:p>
        </w:tc>
        <w:tc>
          <w:tcPr>
            <w:tcW w:w="2196" w:type="pct"/>
            <w:vAlign w:val="center"/>
          </w:tcPr>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lang w:val="zh-CN"/>
              </w:rPr>
              <w:t>采用安全可靠的生产技术和设备。</w:t>
            </w:r>
          </w:p>
        </w:tc>
        <w:tc>
          <w:tcPr>
            <w:tcW w:w="1702" w:type="pct"/>
            <w:vAlign w:val="center"/>
          </w:tcPr>
          <w:p>
            <w:pPr>
              <w:spacing w:line="240" w:lineRule="auto"/>
              <w:ind w:firstLine="0" w:firstLineChars="0"/>
              <w:rPr>
                <w:rFonts w:ascii="宋体" w:hAnsi="宋体"/>
                <w:sz w:val="21"/>
                <w:szCs w:val="21"/>
              </w:rPr>
            </w:pPr>
            <w:r>
              <w:rPr>
                <w:rFonts w:hint="eastAsia" w:ascii="宋体" w:hAnsi="宋体" w:cs="Times New Roman"/>
                <w:sz w:val="21"/>
                <w:szCs w:val="21"/>
              </w:rPr>
              <w:t>按要求</w:t>
            </w:r>
            <w:r>
              <w:rPr>
                <w:rFonts w:hint="eastAsia" w:ascii="宋体" w:hAnsi="宋体" w:cs="Times New Roman"/>
                <w:sz w:val="21"/>
                <w:szCs w:val="21"/>
                <w:lang w:val="zh-CN"/>
              </w:rPr>
              <w:t>采用安全可靠的生产技术和设备。</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autoSpaceDE w:val="0"/>
              <w:autoSpaceDN w:val="0"/>
              <w:spacing w:line="240" w:lineRule="auto"/>
              <w:ind w:firstLine="0" w:firstLineChars="0"/>
              <w:jc w:val="center"/>
              <w:textAlignment w:val="bottom"/>
              <w:rPr>
                <w:rFonts w:ascii="宋体" w:hAnsi="宋体"/>
                <w:sz w:val="21"/>
                <w:szCs w:val="21"/>
              </w:rPr>
            </w:pPr>
            <w:r>
              <w:rPr>
                <w:rFonts w:hint="eastAsia" w:ascii="宋体" w:hAnsi="宋体" w:cs="Times New Roman"/>
                <w:sz w:val="21"/>
                <w:szCs w:val="21"/>
                <w:lang w:val="zh-CN"/>
              </w:rPr>
              <w:t>4）</w:t>
            </w:r>
          </w:p>
        </w:tc>
        <w:tc>
          <w:tcPr>
            <w:tcW w:w="2196" w:type="pct"/>
            <w:vAlign w:val="center"/>
          </w:tcPr>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lang w:val="zh-CN"/>
              </w:rPr>
              <w:t>工艺上采取安全措施，</w:t>
            </w:r>
            <w:r>
              <w:rPr>
                <w:rFonts w:hint="eastAsia" w:ascii="宋体" w:hAnsi="宋体" w:cs="Times New Roman"/>
                <w:sz w:val="21"/>
                <w:szCs w:val="21"/>
              </w:rPr>
              <w:t>熔炼炉采用电力加热，并设置过载保护。熔炼</w:t>
            </w:r>
            <w:r>
              <w:rPr>
                <w:rFonts w:hint="eastAsia" w:ascii="宋体" w:hAnsi="宋体" w:cs="Times New Roman"/>
                <w:sz w:val="21"/>
                <w:szCs w:val="21"/>
                <w:lang w:val="zh-CN"/>
              </w:rPr>
              <w:t>炉设置尾气处理系统，空气储罐设置安全阀和压力表。</w:t>
            </w:r>
          </w:p>
        </w:tc>
        <w:tc>
          <w:tcPr>
            <w:tcW w:w="1702" w:type="pct"/>
            <w:vAlign w:val="center"/>
          </w:tcPr>
          <w:p>
            <w:pPr>
              <w:spacing w:line="240" w:lineRule="auto"/>
              <w:ind w:firstLine="0" w:firstLineChars="0"/>
              <w:rPr>
                <w:rFonts w:ascii="宋体" w:hAnsi="宋体"/>
                <w:sz w:val="21"/>
                <w:szCs w:val="21"/>
              </w:rPr>
            </w:pPr>
            <w:r>
              <w:rPr>
                <w:rFonts w:hint="eastAsia" w:ascii="宋体" w:hAnsi="宋体" w:cs="Times New Roman"/>
                <w:sz w:val="21"/>
                <w:szCs w:val="21"/>
              </w:rPr>
              <w:t>熔炼炉采用电力加热设置有过载保护。熔炼</w:t>
            </w:r>
            <w:r>
              <w:rPr>
                <w:rFonts w:hint="eastAsia" w:ascii="宋体" w:hAnsi="宋体" w:cs="Times New Roman"/>
                <w:sz w:val="21"/>
                <w:szCs w:val="21"/>
                <w:lang w:val="zh-CN"/>
              </w:rPr>
              <w:t>炉设置尾气处理系统，空气储罐设置安全阀和压力表。</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autoSpaceDE w:val="0"/>
              <w:autoSpaceDN w:val="0"/>
              <w:spacing w:line="240" w:lineRule="auto"/>
              <w:ind w:firstLine="0" w:firstLineChars="0"/>
              <w:jc w:val="center"/>
              <w:textAlignment w:val="bottom"/>
              <w:rPr>
                <w:rFonts w:ascii="宋体" w:hAnsi="宋体"/>
                <w:sz w:val="21"/>
                <w:szCs w:val="21"/>
              </w:rPr>
            </w:pPr>
            <w:r>
              <w:rPr>
                <w:rFonts w:hint="eastAsia" w:ascii="宋体" w:hAnsi="宋体" w:cs="Times New Roman"/>
                <w:sz w:val="21"/>
                <w:szCs w:val="21"/>
              </w:rPr>
              <w:t>5）</w:t>
            </w:r>
          </w:p>
        </w:tc>
        <w:tc>
          <w:tcPr>
            <w:tcW w:w="2196" w:type="pct"/>
            <w:vAlign w:val="center"/>
          </w:tcPr>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rPr>
              <w:t>喷涂间设置有安全通风装置。</w:t>
            </w:r>
          </w:p>
        </w:tc>
        <w:tc>
          <w:tcPr>
            <w:tcW w:w="1702" w:type="pct"/>
            <w:vAlign w:val="center"/>
          </w:tcPr>
          <w:p>
            <w:pPr>
              <w:spacing w:line="240" w:lineRule="auto"/>
              <w:ind w:firstLine="0" w:firstLineChars="0"/>
              <w:rPr>
                <w:rFonts w:ascii="宋体" w:hAnsi="宋体"/>
                <w:sz w:val="21"/>
                <w:szCs w:val="21"/>
              </w:rPr>
            </w:pPr>
            <w:r>
              <w:rPr>
                <w:rFonts w:hint="eastAsia" w:ascii="宋体" w:hAnsi="宋体" w:cs="Times New Roman"/>
                <w:sz w:val="21"/>
                <w:szCs w:val="21"/>
              </w:rPr>
              <w:t>喷涂间设置有安全通风装置。</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autoSpaceDE w:val="0"/>
              <w:autoSpaceDN w:val="0"/>
              <w:spacing w:line="240" w:lineRule="auto"/>
              <w:ind w:firstLine="0" w:firstLineChars="0"/>
              <w:jc w:val="center"/>
              <w:textAlignment w:val="bottom"/>
              <w:rPr>
                <w:rFonts w:ascii="宋体" w:hAnsi="宋体"/>
                <w:sz w:val="21"/>
                <w:szCs w:val="21"/>
              </w:rPr>
            </w:pPr>
            <w:r>
              <w:rPr>
                <w:rFonts w:hint="eastAsia" w:ascii="宋体" w:hAnsi="宋体" w:cs="Times New Roman"/>
                <w:sz w:val="21"/>
                <w:szCs w:val="21"/>
              </w:rPr>
              <w:t>6）</w:t>
            </w:r>
          </w:p>
        </w:tc>
        <w:tc>
          <w:tcPr>
            <w:tcW w:w="2196" w:type="pct"/>
            <w:vAlign w:val="center"/>
          </w:tcPr>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rPr>
              <w:t>喷涂间的墙体、天花板、地坪，喷涂间的室体及与其相连的送风、排风管道均采用不燃、难燃材料或组件建造（且不用铝材）。室体内表面光滑、连续而无棱角。</w:t>
            </w:r>
          </w:p>
        </w:tc>
        <w:tc>
          <w:tcPr>
            <w:tcW w:w="1702" w:type="pct"/>
            <w:vAlign w:val="center"/>
          </w:tcPr>
          <w:p>
            <w:pPr>
              <w:spacing w:line="240" w:lineRule="auto"/>
              <w:ind w:firstLine="0" w:firstLineChars="0"/>
              <w:rPr>
                <w:rFonts w:ascii="宋体" w:hAnsi="宋体"/>
                <w:sz w:val="21"/>
                <w:szCs w:val="21"/>
              </w:rPr>
            </w:pPr>
            <w:r>
              <w:rPr>
                <w:rFonts w:hint="eastAsia" w:ascii="宋体" w:hAnsi="宋体" w:cs="Times New Roman"/>
                <w:sz w:val="21"/>
                <w:szCs w:val="21"/>
              </w:rPr>
              <w:t>喷涂间的设置符合设计要求。</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autoSpaceDE w:val="0"/>
              <w:autoSpaceDN w:val="0"/>
              <w:spacing w:line="240" w:lineRule="auto"/>
              <w:ind w:firstLine="0" w:firstLineChars="0"/>
              <w:jc w:val="center"/>
              <w:textAlignment w:val="bottom"/>
              <w:rPr>
                <w:rFonts w:ascii="宋体" w:hAnsi="宋体"/>
                <w:sz w:val="21"/>
                <w:szCs w:val="21"/>
              </w:rPr>
            </w:pPr>
            <w:r>
              <w:rPr>
                <w:rFonts w:hint="eastAsia" w:ascii="宋体" w:hAnsi="宋体" w:cs="Times New Roman"/>
                <w:sz w:val="21"/>
                <w:szCs w:val="21"/>
              </w:rPr>
              <w:t>7）</w:t>
            </w:r>
          </w:p>
        </w:tc>
        <w:tc>
          <w:tcPr>
            <w:tcW w:w="2196" w:type="pct"/>
            <w:vAlign w:val="center"/>
          </w:tcPr>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rPr>
              <w:t>在中间仓库、喷涂间设置可燃气体探测报警系统。</w:t>
            </w:r>
          </w:p>
        </w:tc>
        <w:tc>
          <w:tcPr>
            <w:tcW w:w="1702" w:type="pct"/>
            <w:vAlign w:val="center"/>
          </w:tcPr>
          <w:p>
            <w:pPr>
              <w:spacing w:line="240" w:lineRule="auto"/>
              <w:ind w:firstLine="0" w:firstLineChars="0"/>
              <w:rPr>
                <w:rFonts w:ascii="宋体" w:hAnsi="宋体"/>
                <w:sz w:val="21"/>
                <w:szCs w:val="21"/>
              </w:rPr>
            </w:pPr>
            <w:r>
              <w:rPr>
                <w:rFonts w:hint="eastAsia" w:ascii="宋体" w:hAnsi="宋体" w:cs="Times New Roman"/>
                <w:sz w:val="21"/>
                <w:szCs w:val="21"/>
              </w:rPr>
              <w:t>喷涂间设置</w:t>
            </w:r>
            <w:r>
              <w:rPr>
                <w:rFonts w:hint="eastAsia" w:ascii="宋体" w:hAnsi="宋体" w:cs="Times New Roman"/>
                <w:sz w:val="21"/>
                <w:szCs w:val="21"/>
                <w:lang w:eastAsia="zh-CN"/>
              </w:rPr>
              <w:t>有</w:t>
            </w:r>
            <w:r>
              <w:rPr>
                <w:rFonts w:hint="eastAsia"/>
                <w:sz w:val="21"/>
                <w:szCs w:val="21"/>
              </w:rPr>
              <w:t>粉尘浓度检测报警</w:t>
            </w:r>
            <w:r>
              <w:rPr>
                <w:rFonts w:hint="eastAsia" w:ascii="宋体" w:hAnsi="宋体" w:cs="Times New Roman"/>
                <w:sz w:val="21"/>
                <w:szCs w:val="21"/>
              </w:rPr>
              <w:t>系统。</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656" w:type="pct"/>
            <w:vAlign w:val="center"/>
          </w:tcPr>
          <w:p>
            <w:pPr>
              <w:spacing w:line="240" w:lineRule="auto"/>
              <w:ind w:firstLine="0" w:firstLineChars="0"/>
              <w:jc w:val="center"/>
              <w:rPr>
                <w:rFonts w:cs="Times New Roman"/>
                <w:b/>
                <w:bCs/>
                <w:sz w:val="21"/>
                <w:szCs w:val="21"/>
              </w:rPr>
            </w:pPr>
            <w:r>
              <w:rPr>
                <w:rFonts w:hint="eastAsia" w:cs="Times New Roman"/>
                <w:b/>
                <w:bCs/>
                <w:sz w:val="21"/>
                <w:szCs w:val="21"/>
              </w:rPr>
              <w:t>5.4.2</w:t>
            </w:r>
          </w:p>
        </w:tc>
        <w:tc>
          <w:tcPr>
            <w:tcW w:w="2196" w:type="pct"/>
            <w:vAlign w:val="center"/>
          </w:tcPr>
          <w:p>
            <w:pPr>
              <w:spacing w:line="240" w:lineRule="auto"/>
              <w:ind w:firstLine="0" w:firstLineChars="0"/>
              <w:jc w:val="center"/>
              <w:rPr>
                <w:rFonts w:cs="Times New Roman"/>
                <w:b/>
                <w:bCs/>
                <w:sz w:val="21"/>
                <w:szCs w:val="21"/>
              </w:rPr>
            </w:pPr>
            <w:bookmarkStart w:id="387" w:name="_Toc76119914"/>
            <w:r>
              <w:rPr>
                <w:rFonts w:hint="eastAsia" w:cs="Times New Roman"/>
                <w:b/>
                <w:bCs/>
                <w:sz w:val="21"/>
                <w:szCs w:val="21"/>
              </w:rPr>
              <w:t>设备安全防范措施</w:t>
            </w:r>
            <w:bookmarkEnd w:id="387"/>
          </w:p>
        </w:tc>
        <w:tc>
          <w:tcPr>
            <w:tcW w:w="1702" w:type="pct"/>
            <w:vAlign w:val="center"/>
          </w:tcPr>
          <w:p>
            <w:pPr>
              <w:spacing w:line="240" w:lineRule="auto"/>
              <w:ind w:firstLine="0" w:firstLineChars="0"/>
              <w:jc w:val="center"/>
              <w:rPr>
                <w:rFonts w:cs="Times New Roman"/>
                <w:b/>
                <w:bCs/>
                <w:sz w:val="21"/>
                <w:szCs w:val="21"/>
              </w:rPr>
            </w:pPr>
          </w:p>
        </w:tc>
        <w:tc>
          <w:tcPr>
            <w:tcW w:w="444" w:type="pct"/>
            <w:vAlign w:val="center"/>
          </w:tcPr>
          <w:p>
            <w:pPr>
              <w:spacing w:line="240" w:lineRule="auto"/>
              <w:ind w:firstLine="0" w:firstLineChars="0"/>
              <w:jc w:val="center"/>
              <w:rPr>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autoSpaceDE w:val="0"/>
              <w:autoSpaceDN w:val="0"/>
              <w:spacing w:line="240" w:lineRule="auto"/>
              <w:ind w:firstLine="0" w:firstLineChars="0"/>
              <w:jc w:val="center"/>
              <w:textAlignment w:val="bottom"/>
              <w:rPr>
                <w:rFonts w:ascii="宋体" w:hAnsi="宋体" w:cs="Times New Roman"/>
                <w:sz w:val="21"/>
                <w:szCs w:val="21"/>
              </w:rPr>
            </w:pPr>
            <w:r>
              <w:rPr>
                <w:rFonts w:hint="eastAsia" w:ascii="宋体" w:hAnsi="宋体" w:cs="Times New Roman"/>
                <w:sz w:val="21"/>
                <w:szCs w:val="21"/>
              </w:rPr>
              <w:t>1）</w:t>
            </w:r>
          </w:p>
        </w:tc>
        <w:tc>
          <w:tcPr>
            <w:tcW w:w="2196" w:type="pct"/>
            <w:vAlign w:val="center"/>
          </w:tcPr>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rPr>
              <w:t>在机械的传动部分、操作区、高处作业区、机械的其他运动部分等部位均采取安全防护措施。安全防护装置的设置原则如下：</w:t>
            </w:r>
          </w:p>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rPr>
              <w:t>（1）以操作人员所站立的平面为基准，凡高度在2m以内的各种运动零部件均设置防护罩。</w:t>
            </w:r>
          </w:p>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rPr>
              <w:t>（2）以操作人员所站立的平面为基准，凡高度在2m以上，有物料传输装置、皮带传动装置以及在施工机械施工处的下方，均设置防护（罩）。</w:t>
            </w:r>
          </w:p>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rPr>
              <w:t>（3）凡在坠落高度基准面2m以上的作业位置，设置防护。</w:t>
            </w:r>
          </w:p>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rPr>
              <w:t>（4）为避免挤压伤害，直线运动部件之间或直线运动部件与静止部件之间的间距符合安全距离的要求。</w:t>
            </w:r>
          </w:p>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rPr>
              <w:t>（5）运动部件有行程要求距离要求的，如各种起重机械等，设置可靠的限位装置，防止因超行程运动而造成伤害。</w:t>
            </w:r>
          </w:p>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rPr>
              <w:t>（6）对可能因超负荷发生部件损坏而造成伤害的，设置负荷限制装置。</w:t>
            </w:r>
          </w:p>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rPr>
              <w:t>（7）有惯性冲撞运动部件（如货物起重机）采取可靠的缓冲装置，防止因惯性而造成伤害事故。</w:t>
            </w:r>
          </w:p>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rPr>
              <w:t>（8）运动中可能松动的零部件采取有效措施加以紧固，防止由于启动、制动、冲击、振动而引起松动。</w:t>
            </w:r>
          </w:p>
        </w:tc>
        <w:tc>
          <w:tcPr>
            <w:tcW w:w="1702" w:type="pct"/>
            <w:vAlign w:val="center"/>
          </w:tcPr>
          <w:p>
            <w:pPr>
              <w:spacing w:line="240" w:lineRule="auto"/>
              <w:ind w:firstLine="0" w:firstLineChars="0"/>
              <w:rPr>
                <w:rFonts w:ascii="宋体" w:hAnsi="宋体"/>
                <w:sz w:val="21"/>
                <w:szCs w:val="21"/>
              </w:rPr>
            </w:pPr>
            <w:r>
              <w:rPr>
                <w:rFonts w:hint="eastAsia" w:ascii="宋体" w:hAnsi="宋体" w:cs="Times New Roman"/>
                <w:sz w:val="21"/>
                <w:szCs w:val="21"/>
              </w:rPr>
              <w:t>按要求在机械的传动部分、操作区、高处作业区、机械的其他运动部分采取安全防护措施。</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autoSpaceDE w:val="0"/>
              <w:autoSpaceDN w:val="0"/>
              <w:spacing w:line="240" w:lineRule="auto"/>
              <w:ind w:firstLine="0" w:firstLineChars="0"/>
              <w:jc w:val="center"/>
              <w:textAlignment w:val="bottom"/>
              <w:rPr>
                <w:rFonts w:ascii="宋体" w:hAnsi="宋体"/>
                <w:sz w:val="21"/>
                <w:szCs w:val="21"/>
              </w:rPr>
            </w:pPr>
            <w:r>
              <w:rPr>
                <w:rFonts w:hint="eastAsia" w:ascii="宋体" w:hAnsi="宋体" w:cs="宋体"/>
                <w:kern w:val="0"/>
                <w:sz w:val="21"/>
                <w:szCs w:val="21"/>
              </w:rPr>
              <w:t>2）</w:t>
            </w:r>
          </w:p>
        </w:tc>
        <w:tc>
          <w:tcPr>
            <w:tcW w:w="2196" w:type="pct"/>
            <w:vAlign w:val="center"/>
          </w:tcPr>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b/>
                <w:bCs/>
                <w:sz w:val="21"/>
                <w:szCs w:val="21"/>
              </w:rPr>
              <w:t>中频炉及高温熔体吊运的安全防范措施</w:t>
            </w:r>
          </w:p>
        </w:tc>
        <w:tc>
          <w:tcPr>
            <w:tcW w:w="1702"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w:t>
            </w:r>
          </w:p>
        </w:tc>
        <w:tc>
          <w:tcPr>
            <w:tcW w:w="444" w:type="pct"/>
            <w:vAlign w:val="center"/>
          </w:tcPr>
          <w:p>
            <w:pPr>
              <w:spacing w:line="240" w:lineRule="auto"/>
              <w:ind w:firstLine="0" w:firstLineChars="0"/>
              <w:jc w:val="center"/>
              <w:rPr>
                <w:sz w:val="21"/>
                <w:szCs w:val="21"/>
              </w:rPr>
            </w:pPr>
            <w:r>
              <w:rPr>
                <w:rFonts w:hint="eastAsia"/>
                <w:sz w:val="21"/>
                <w:szCs w:val="21"/>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autoSpaceDE w:val="0"/>
              <w:autoSpaceDN w:val="0"/>
              <w:spacing w:line="240" w:lineRule="auto"/>
              <w:ind w:firstLine="0" w:firstLineChars="0"/>
              <w:jc w:val="center"/>
              <w:textAlignment w:val="bottom"/>
              <w:rPr>
                <w:rFonts w:ascii="宋体" w:hAnsi="宋体"/>
                <w:sz w:val="21"/>
                <w:szCs w:val="21"/>
              </w:rPr>
            </w:pPr>
            <w:r>
              <w:rPr>
                <w:rFonts w:hint="eastAsia" w:ascii="宋体" w:hAnsi="宋体" w:cs="Times New Roman"/>
                <w:sz w:val="21"/>
                <w:szCs w:val="21"/>
              </w:rPr>
              <w:t>（1）</w:t>
            </w:r>
          </w:p>
        </w:tc>
        <w:tc>
          <w:tcPr>
            <w:tcW w:w="2196" w:type="pct"/>
            <w:vAlign w:val="center"/>
          </w:tcPr>
          <w:p>
            <w:pPr>
              <w:autoSpaceDE w:val="0"/>
              <w:autoSpaceDN w:val="0"/>
              <w:spacing w:line="240" w:lineRule="auto"/>
              <w:ind w:firstLine="0" w:firstLineChars="0"/>
              <w:textAlignment w:val="bottom"/>
              <w:rPr>
                <w:rFonts w:ascii="宋体" w:hAnsi="宋体"/>
                <w:sz w:val="21"/>
                <w:szCs w:val="21"/>
              </w:rPr>
            </w:pPr>
            <w:r>
              <w:rPr>
                <w:rFonts w:hint="eastAsia" w:ascii="宋体" w:hAnsi="宋体" w:cs="Times New Roman"/>
                <w:sz w:val="21"/>
                <w:szCs w:val="21"/>
              </w:rPr>
              <w:t>操作人员上岗前，除按公司规定进行安全教育外，电炉熔炼及设备操作人员还必须进行电炉熔炼操作安全培训和电炉设备操作安全培训，培训合格后方准上岗工作。</w:t>
            </w:r>
          </w:p>
        </w:tc>
        <w:tc>
          <w:tcPr>
            <w:tcW w:w="1702" w:type="pct"/>
            <w:vAlign w:val="center"/>
          </w:tcPr>
          <w:p>
            <w:pPr>
              <w:spacing w:line="240" w:lineRule="auto"/>
              <w:ind w:firstLine="0" w:firstLineChars="0"/>
              <w:rPr>
                <w:rFonts w:ascii="宋体" w:hAnsi="宋体"/>
                <w:sz w:val="21"/>
                <w:szCs w:val="21"/>
              </w:rPr>
            </w:pPr>
            <w:r>
              <w:rPr>
                <w:rFonts w:hint="eastAsia" w:ascii="宋体" w:hAnsi="宋体"/>
                <w:sz w:val="21"/>
                <w:szCs w:val="21"/>
              </w:rPr>
              <w:t>企业员工经</w:t>
            </w:r>
            <w:r>
              <w:rPr>
                <w:rFonts w:hint="eastAsia" w:ascii="宋体" w:hAnsi="宋体" w:cs="Times New Roman"/>
                <w:sz w:val="21"/>
                <w:szCs w:val="21"/>
              </w:rPr>
              <w:t>培训合格后方准上岗工作。</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autoSpaceDE w:val="0"/>
              <w:autoSpaceDN w:val="0"/>
              <w:spacing w:line="240" w:lineRule="auto"/>
              <w:ind w:firstLine="0" w:firstLineChars="0"/>
              <w:jc w:val="center"/>
              <w:textAlignment w:val="bottom"/>
              <w:rPr>
                <w:rFonts w:ascii="宋体" w:hAnsi="宋体"/>
                <w:sz w:val="21"/>
                <w:szCs w:val="21"/>
              </w:rPr>
            </w:pPr>
            <w:r>
              <w:rPr>
                <w:rFonts w:hint="eastAsia" w:ascii="宋体" w:hAnsi="宋体" w:cs="Times New Roman"/>
                <w:sz w:val="21"/>
                <w:szCs w:val="21"/>
              </w:rPr>
              <w:t>（2）</w:t>
            </w:r>
          </w:p>
        </w:tc>
        <w:tc>
          <w:tcPr>
            <w:tcW w:w="2196" w:type="pct"/>
            <w:vAlign w:val="center"/>
          </w:tcPr>
          <w:p>
            <w:pPr>
              <w:autoSpaceDE w:val="0"/>
              <w:autoSpaceDN w:val="0"/>
              <w:spacing w:line="240" w:lineRule="auto"/>
              <w:ind w:firstLine="0" w:firstLineChars="0"/>
              <w:textAlignment w:val="bottom"/>
              <w:rPr>
                <w:rFonts w:ascii="宋体" w:hAnsi="宋体"/>
                <w:sz w:val="21"/>
                <w:szCs w:val="21"/>
              </w:rPr>
            </w:pPr>
            <w:r>
              <w:rPr>
                <w:rFonts w:hint="eastAsia" w:ascii="宋体" w:hAnsi="宋体" w:cs="Times New Roman"/>
                <w:sz w:val="21"/>
                <w:szCs w:val="21"/>
              </w:rPr>
              <w:t>各岗位操作人员必须熟悉本岗位危险源辨识内容及本岗位安全明白卡，保证在操作中严格遵守设备及岗位工艺安全操作规程和安全制度。</w:t>
            </w:r>
          </w:p>
        </w:tc>
        <w:tc>
          <w:tcPr>
            <w:tcW w:w="1702" w:type="pct"/>
            <w:vAlign w:val="center"/>
          </w:tcPr>
          <w:p>
            <w:pPr>
              <w:spacing w:line="240" w:lineRule="auto"/>
              <w:ind w:firstLine="0" w:firstLineChars="0"/>
              <w:rPr>
                <w:rFonts w:ascii="宋体" w:hAnsi="宋体"/>
                <w:sz w:val="21"/>
                <w:szCs w:val="21"/>
              </w:rPr>
            </w:pPr>
            <w:r>
              <w:rPr>
                <w:rFonts w:hint="eastAsia" w:ascii="宋体" w:hAnsi="宋体"/>
                <w:sz w:val="21"/>
                <w:szCs w:val="21"/>
              </w:rPr>
              <w:t>岗位员工经</w:t>
            </w:r>
            <w:r>
              <w:rPr>
                <w:rFonts w:hint="eastAsia" w:ascii="宋体" w:hAnsi="宋体" w:cs="Times New Roman"/>
                <w:sz w:val="21"/>
                <w:szCs w:val="21"/>
              </w:rPr>
              <w:t>培训合格后方准上岗工作。</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autoSpaceDE w:val="0"/>
              <w:autoSpaceDN w:val="0"/>
              <w:spacing w:line="240" w:lineRule="auto"/>
              <w:ind w:firstLine="0" w:firstLineChars="0"/>
              <w:jc w:val="center"/>
              <w:textAlignment w:val="bottom"/>
              <w:rPr>
                <w:rFonts w:ascii="宋体" w:hAnsi="宋体"/>
                <w:sz w:val="21"/>
                <w:szCs w:val="21"/>
              </w:rPr>
            </w:pPr>
            <w:r>
              <w:rPr>
                <w:rFonts w:hint="eastAsia" w:ascii="宋体" w:hAnsi="宋体" w:cs="Times New Roman"/>
                <w:sz w:val="21"/>
                <w:szCs w:val="21"/>
              </w:rPr>
              <w:t>（3）</w:t>
            </w:r>
          </w:p>
        </w:tc>
        <w:tc>
          <w:tcPr>
            <w:tcW w:w="2196" w:type="pct"/>
            <w:vAlign w:val="center"/>
          </w:tcPr>
          <w:p>
            <w:pPr>
              <w:autoSpaceDE w:val="0"/>
              <w:autoSpaceDN w:val="0"/>
              <w:spacing w:line="240" w:lineRule="auto"/>
              <w:ind w:firstLine="0" w:firstLineChars="0"/>
              <w:textAlignment w:val="bottom"/>
              <w:rPr>
                <w:rFonts w:ascii="宋体" w:hAnsi="宋体"/>
                <w:sz w:val="21"/>
                <w:szCs w:val="21"/>
              </w:rPr>
            </w:pPr>
            <w:r>
              <w:rPr>
                <w:rFonts w:hint="eastAsia" w:ascii="宋体" w:hAnsi="宋体" w:cs="Times New Roman"/>
                <w:sz w:val="21"/>
                <w:szCs w:val="21"/>
              </w:rPr>
              <w:t xml:space="preserve"> 职工上岗时，应穿戴好本岗位规定的劳动防护用品（包括劳保鞋、工作服、安全帽、手套、口罩、防护眼镜、防护面罩等）。接触电气设备的操作人员应穿戴绝缘劳保用品；接触铁水操作的人员必须穿戴防护鞋套和防护眼镜。</w:t>
            </w:r>
          </w:p>
        </w:tc>
        <w:tc>
          <w:tcPr>
            <w:tcW w:w="1702" w:type="pct"/>
            <w:vAlign w:val="center"/>
          </w:tcPr>
          <w:p>
            <w:pPr>
              <w:spacing w:line="240" w:lineRule="auto"/>
              <w:ind w:firstLine="0" w:firstLineChars="0"/>
              <w:rPr>
                <w:rFonts w:ascii="宋体" w:hAnsi="宋体"/>
                <w:sz w:val="21"/>
                <w:szCs w:val="21"/>
              </w:rPr>
            </w:pPr>
            <w:r>
              <w:rPr>
                <w:rFonts w:hint="eastAsia" w:ascii="宋体" w:hAnsi="宋体"/>
                <w:sz w:val="21"/>
                <w:szCs w:val="21"/>
              </w:rPr>
              <w:t>企业为职工配备相应岗位的</w:t>
            </w:r>
            <w:r>
              <w:rPr>
                <w:rFonts w:hint="eastAsia" w:ascii="宋体" w:hAnsi="宋体" w:cs="Times New Roman"/>
                <w:sz w:val="21"/>
                <w:szCs w:val="21"/>
              </w:rPr>
              <w:t>劳动防护用品，并督促职工穿戴。</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autoSpaceDE w:val="0"/>
              <w:autoSpaceDN w:val="0"/>
              <w:spacing w:line="240" w:lineRule="auto"/>
              <w:ind w:firstLine="0" w:firstLineChars="0"/>
              <w:jc w:val="center"/>
              <w:textAlignment w:val="bottom"/>
              <w:rPr>
                <w:rFonts w:ascii="宋体" w:hAnsi="宋体"/>
                <w:sz w:val="21"/>
                <w:szCs w:val="21"/>
              </w:rPr>
            </w:pPr>
            <w:r>
              <w:rPr>
                <w:rFonts w:hint="eastAsia" w:ascii="宋体" w:hAnsi="宋体" w:cs="Times New Roman"/>
                <w:sz w:val="21"/>
                <w:szCs w:val="21"/>
              </w:rPr>
              <w:t>（4）</w:t>
            </w:r>
          </w:p>
        </w:tc>
        <w:tc>
          <w:tcPr>
            <w:tcW w:w="2196" w:type="pct"/>
            <w:vAlign w:val="center"/>
          </w:tcPr>
          <w:p>
            <w:pPr>
              <w:autoSpaceDE w:val="0"/>
              <w:autoSpaceDN w:val="0"/>
              <w:spacing w:line="240" w:lineRule="auto"/>
              <w:ind w:firstLine="0" w:firstLineChars="0"/>
              <w:textAlignment w:val="bottom"/>
              <w:rPr>
                <w:sz w:val="21"/>
                <w:szCs w:val="21"/>
              </w:rPr>
            </w:pPr>
            <w:r>
              <w:rPr>
                <w:rFonts w:hint="eastAsia" w:ascii="宋体" w:hAnsi="宋体" w:cs="Times New Roman"/>
                <w:sz w:val="21"/>
                <w:szCs w:val="21"/>
              </w:rPr>
              <w:t>工作前与工作中要检查好本岗位的设备工装、工具等，操作人员发现不安全因素或隐患必须解决后再工作；不安全因素或隐患无法立即解决时，操作人员立即通知本单位现场生产安全负责人安排处理。</w:t>
            </w:r>
          </w:p>
        </w:tc>
        <w:tc>
          <w:tcPr>
            <w:tcW w:w="1702" w:type="pct"/>
            <w:vAlign w:val="center"/>
          </w:tcPr>
          <w:p>
            <w:pPr>
              <w:spacing w:line="240" w:lineRule="auto"/>
              <w:ind w:firstLine="0" w:firstLineChars="0"/>
              <w:rPr>
                <w:rFonts w:ascii="宋体" w:hAnsi="宋体"/>
                <w:sz w:val="21"/>
                <w:szCs w:val="21"/>
              </w:rPr>
            </w:pPr>
            <w:r>
              <w:rPr>
                <w:rFonts w:hint="eastAsia" w:ascii="宋体" w:hAnsi="宋体"/>
                <w:sz w:val="21"/>
                <w:szCs w:val="21"/>
              </w:rPr>
              <w:t>现场检查企业落实了相关措施</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autoSpaceDE w:val="0"/>
              <w:autoSpaceDN w:val="0"/>
              <w:spacing w:line="240" w:lineRule="auto"/>
              <w:ind w:firstLine="0" w:firstLineChars="0"/>
              <w:jc w:val="center"/>
              <w:textAlignment w:val="bottom"/>
              <w:rPr>
                <w:rFonts w:ascii="宋体" w:hAnsi="宋体"/>
                <w:sz w:val="21"/>
                <w:szCs w:val="21"/>
              </w:rPr>
            </w:pPr>
            <w:r>
              <w:rPr>
                <w:rFonts w:hint="eastAsia" w:ascii="宋体" w:hAnsi="宋体" w:cs="Times New Roman"/>
                <w:sz w:val="21"/>
                <w:szCs w:val="21"/>
              </w:rPr>
              <w:t>（5）</w:t>
            </w:r>
          </w:p>
        </w:tc>
        <w:tc>
          <w:tcPr>
            <w:tcW w:w="2196" w:type="pct"/>
            <w:vAlign w:val="center"/>
          </w:tcPr>
          <w:p>
            <w:pPr>
              <w:autoSpaceDE w:val="0"/>
              <w:autoSpaceDN w:val="0"/>
              <w:spacing w:line="240" w:lineRule="auto"/>
              <w:ind w:firstLine="0" w:firstLineChars="0"/>
              <w:textAlignment w:val="bottom"/>
              <w:rPr>
                <w:sz w:val="21"/>
                <w:szCs w:val="21"/>
              </w:rPr>
            </w:pPr>
            <w:r>
              <w:rPr>
                <w:rFonts w:hint="eastAsia" w:ascii="宋体" w:hAnsi="宋体" w:cs="Times New Roman"/>
                <w:sz w:val="21"/>
                <w:szCs w:val="21"/>
              </w:rPr>
              <w:t>定位操作人员，时刻注意所操作设备状况与周围环境是否有异常，发现不安全因素积极解决，解决问题后再工作。</w:t>
            </w:r>
          </w:p>
        </w:tc>
        <w:tc>
          <w:tcPr>
            <w:tcW w:w="1702" w:type="pct"/>
            <w:vAlign w:val="center"/>
          </w:tcPr>
          <w:p>
            <w:pPr>
              <w:spacing w:line="240" w:lineRule="auto"/>
              <w:ind w:firstLine="0" w:firstLineChars="0"/>
              <w:rPr>
                <w:rFonts w:ascii="宋体" w:hAnsi="宋体"/>
                <w:sz w:val="21"/>
                <w:szCs w:val="21"/>
              </w:rPr>
            </w:pPr>
            <w:r>
              <w:rPr>
                <w:rFonts w:hint="eastAsia" w:ascii="宋体" w:hAnsi="宋体"/>
                <w:sz w:val="21"/>
                <w:szCs w:val="21"/>
              </w:rPr>
              <w:t>现场检查企业落实了相关措施</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autoSpaceDE w:val="0"/>
              <w:autoSpaceDN w:val="0"/>
              <w:spacing w:line="240" w:lineRule="auto"/>
              <w:ind w:firstLine="0" w:firstLineChars="0"/>
              <w:jc w:val="center"/>
              <w:textAlignment w:val="bottom"/>
              <w:rPr>
                <w:rFonts w:ascii="宋体" w:hAnsi="宋体"/>
                <w:sz w:val="21"/>
                <w:szCs w:val="21"/>
              </w:rPr>
            </w:pPr>
            <w:r>
              <w:rPr>
                <w:rFonts w:hint="eastAsia" w:ascii="宋体" w:hAnsi="宋体" w:cs="Times New Roman"/>
                <w:sz w:val="21"/>
                <w:szCs w:val="21"/>
              </w:rPr>
              <w:t>（6）</w:t>
            </w:r>
          </w:p>
        </w:tc>
        <w:tc>
          <w:tcPr>
            <w:tcW w:w="2196" w:type="pct"/>
            <w:vAlign w:val="center"/>
          </w:tcPr>
          <w:p>
            <w:pPr>
              <w:autoSpaceDE w:val="0"/>
              <w:autoSpaceDN w:val="0"/>
              <w:spacing w:line="240" w:lineRule="auto"/>
              <w:ind w:firstLine="0" w:firstLineChars="0"/>
              <w:textAlignment w:val="bottom"/>
              <w:rPr>
                <w:sz w:val="21"/>
                <w:szCs w:val="21"/>
              </w:rPr>
            </w:pPr>
            <w:r>
              <w:rPr>
                <w:rFonts w:hint="eastAsia" w:ascii="宋体" w:hAnsi="宋体" w:cs="Times New Roman"/>
                <w:sz w:val="21"/>
                <w:szCs w:val="21"/>
              </w:rPr>
              <w:t>流动工作人员，时刻注意整个身体或身体的一部分是否在不安全环境中，防止挤伤、压伤、烧伤、切伤、中毒、摔伤、运动件牵拉、触电等事故发生。</w:t>
            </w:r>
          </w:p>
        </w:tc>
        <w:tc>
          <w:tcPr>
            <w:tcW w:w="1702" w:type="pct"/>
            <w:vAlign w:val="center"/>
          </w:tcPr>
          <w:p>
            <w:pPr>
              <w:spacing w:line="240" w:lineRule="auto"/>
              <w:ind w:firstLine="0" w:firstLineChars="0"/>
              <w:rPr>
                <w:rFonts w:ascii="宋体" w:hAnsi="宋体"/>
                <w:sz w:val="21"/>
                <w:szCs w:val="21"/>
              </w:rPr>
            </w:pPr>
            <w:r>
              <w:rPr>
                <w:rFonts w:hint="eastAsia" w:ascii="宋体" w:hAnsi="宋体"/>
                <w:sz w:val="21"/>
                <w:szCs w:val="21"/>
              </w:rPr>
              <w:t>现场检查企业落实了相关措施</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autoSpaceDE w:val="0"/>
              <w:autoSpaceDN w:val="0"/>
              <w:spacing w:line="240" w:lineRule="auto"/>
              <w:ind w:firstLine="0" w:firstLineChars="0"/>
              <w:jc w:val="center"/>
              <w:textAlignment w:val="bottom"/>
              <w:rPr>
                <w:rFonts w:ascii="宋体" w:hAnsi="宋体"/>
                <w:sz w:val="21"/>
                <w:szCs w:val="21"/>
              </w:rPr>
            </w:pPr>
            <w:r>
              <w:rPr>
                <w:rFonts w:hint="eastAsia" w:ascii="宋体" w:hAnsi="宋体" w:cs="Times New Roman"/>
                <w:sz w:val="21"/>
                <w:szCs w:val="21"/>
              </w:rPr>
              <w:t>（7）</w:t>
            </w:r>
          </w:p>
        </w:tc>
        <w:tc>
          <w:tcPr>
            <w:tcW w:w="2196" w:type="pct"/>
            <w:vAlign w:val="center"/>
          </w:tcPr>
          <w:p>
            <w:pPr>
              <w:autoSpaceDE w:val="0"/>
              <w:autoSpaceDN w:val="0"/>
              <w:spacing w:line="240" w:lineRule="auto"/>
              <w:ind w:firstLine="0" w:firstLineChars="0"/>
              <w:textAlignment w:val="bottom"/>
              <w:rPr>
                <w:sz w:val="21"/>
                <w:szCs w:val="21"/>
              </w:rPr>
            </w:pPr>
            <w:r>
              <w:rPr>
                <w:rFonts w:hint="eastAsia" w:ascii="宋体" w:hAnsi="宋体" w:cs="Times New Roman"/>
                <w:sz w:val="21"/>
                <w:szCs w:val="21"/>
              </w:rPr>
              <w:t>在工作中，遵守劳动纪律，严禁脱岗，避免引起重大事故；严禁操作人员饮酒后上岗。</w:t>
            </w:r>
          </w:p>
        </w:tc>
        <w:tc>
          <w:tcPr>
            <w:tcW w:w="1702" w:type="pct"/>
            <w:vAlign w:val="center"/>
          </w:tcPr>
          <w:p>
            <w:pPr>
              <w:spacing w:line="240" w:lineRule="auto"/>
              <w:ind w:firstLine="0" w:firstLineChars="0"/>
              <w:rPr>
                <w:rFonts w:ascii="宋体" w:hAnsi="宋体" w:cs="Times New Roman"/>
                <w:sz w:val="21"/>
                <w:szCs w:val="21"/>
              </w:rPr>
            </w:pPr>
            <w:r>
              <w:rPr>
                <w:rFonts w:hint="eastAsia" w:ascii="宋体" w:hAnsi="宋体"/>
                <w:sz w:val="21"/>
                <w:szCs w:val="21"/>
              </w:rPr>
              <w:t>现场检查企业落实了相关措施</w:t>
            </w:r>
          </w:p>
        </w:tc>
        <w:tc>
          <w:tcPr>
            <w:tcW w:w="444" w:type="pct"/>
            <w:vAlign w:val="center"/>
          </w:tcPr>
          <w:p>
            <w:pPr>
              <w:spacing w:line="240" w:lineRule="auto"/>
              <w:ind w:firstLine="0" w:firstLineChars="0"/>
              <w:jc w:val="center"/>
              <w:rPr>
                <w:rFonts w:cs="Times New Roman"/>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autoSpaceDE w:val="0"/>
              <w:autoSpaceDN w:val="0"/>
              <w:spacing w:line="240" w:lineRule="auto"/>
              <w:ind w:firstLine="0" w:firstLineChars="0"/>
              <w:jc w:val="center"/>
              <w:textAlignment w:val="bottom"/>
              <w:rPr>
                <w:rFonts w:ascii="宋体" w:hAnsi="宋体"/>
                <w:sz w:val="21"/>
                <w:szCs w:val="21"/>
              </w:rPr>
            </w:pPr>
            <w:r>
              <w:rPr>
                <w:rFonts w:hint="eastAsia" w:ascii="宋体" w:hAnsi="宋体" w:cs="Times New Roman"/>
                <w:sz w:val="21"/>
                <w:szCs w:val="21"/>
              </w:rPr>
              <w:t>（8）</w:t>
            </w:r>
          </w:p>
        </w:tc>
        <w:tc>
          <w:tcPr>
            <w:tcW w:w="2196" w:type="pct"/>
            <w:vAlign w:val="center"/>
          </w:tcPr>
          <w:p>
            <w:pPr>
              <w:autoSpaceDE w:val="0"/>
              <w:autoSpaceDN w:val="0"/>
              <w:spacing w:line="240" w:lineRule="auto"/>
              <w:ind w:firstLine="0" w:firstLineChars="0"/>
              <w:textAlignment w:val="bottom"/>
              <w:rPr>
                <w:sz w:val="21"/>
                <w:szCs w:val="21"/>
              </w:rPr>
            </w:pPr>
            <w:r>
              <w:rPr>
                <w:rFonts w:hint="eastAsia" w:ascii="宋体" w:hAnsi="宋体" w:cs="Times New Roman"/>
                <w:sz w:val="21"/>
                <w:szCs w:val="21"/>
              </w:rPr>
              <w:t>应经常保持工作环境整洁，通畅。末班下班前，应按本岗位要求检查和维护保养设备，清扫环境卫生，符合“5S”管理要求。</w:t>
            </w:r>
          </w:p>
        </w:tc>
        <w:tc>
          <w:tcPr>
            <w:tcW w:w="1702" w:type="pct"/>
            <w:vAlign w:val="center"/>
          </w:tcPr>
          <w:p>
            <w:pPr>
              <w:spacing w:line="240" w:lineRule="auto"/>
              <w:ind w:firstLine="0" w:firstLineChars="0"/>
              <w:rPr>
                <w:rFonts w:ascii="宋体" w:hAnsi="宋体" w:cs="Times New Roman"/>
                <w:sz w:val="21"/>
                <w:szCs w:val="21"/>
              </w:rPr>
            </w:pPr>
            <w:r>
              <w:rPr>
                <w:rFonts w:hint="eastAsia" w:ascii="宋体" w:hAnsi="宋体"/>
                <w:sz w:val="21"/>
                <w:szCs w:val="21"/>
              </w:rPr>
              <w:t>现场检查企业落实了相关措施</w:t>
            </w:r>
          </w:p>
        </w:tc>
        <w:tc>
          <w:tcPr>
            <w:tcW w:w="444" w:type="pct"/>
            <w:vAlign w:val="center"/>
          </w:tcPr>
          <w:p>
            <w:pPr>
              <w:spacing w:line="240" w:lineRule="auto"/>
              <w:ind w:firstLine="0" w:firstLineChars="0"/>
              <w:jc w:val="center"/>
              <w:rPr>
                <w:rFonts w:cs="Times New Roman"/>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autoSpaceDE w:val="0"/>
              <w:autoSpaceDN w:val="0"/>
              <w:spacing w:line="240" w:lineRule="auto"/>
              <w:ind w:firstLine="0" w:firstLineChars="0"/>
              <w:jc w:val="center"/>
              <w:textAlignment w:val="bottom"/>
              <w:rPr>
                <w:rFonts w:ascii="宋体" w:hAnsi="宋体"/>
                <w:sz w:val="21"/>
                <w:szCs w:val="21"/>
              </w:rPr>
            </w:pPr>
            <w:r>
              <w:rPr>
                <w:rFonts w:hint="eastAsia" w:ascii="宋体" w:hAnsi="宋体" w:cs="Times New Roman"/>
                <w:sz w:val="21"/>
                <w:szCs w:val="21"/>
              </w:rPr>
              <w:t>（9）</w:t>
            </w:r>
          </w:p>
        </w:tc>
        <w:tc>
          <w:tcPr>
            <w:tcW w:w="2196" w:type="pct"/>
            <w:vAlign w:val="center"/>
          </w:tcPr>
          <w:p>
            <w:pPr>
              <w:autoSpaceDE w:val="0"/>
              <w:autoSpaceDN w:val="0"/>
              <w:spacing w:line="240" w:lineRule="auto"/>
              <w:ind w:firstLine="0" w:firstLineChars="0"/>
              <w:textAlignment w:val="bottom"/>
              <w:rPr>
                <w:sz w:val="21"/>
                <w:szCs w:val="21"/>
              </w:rPr>
            </w:pPr>
            <w:r>
              <w:rPr>
                <w:rFonts w:hint="eastAsia" w:ascii="宋体" w:hAnsi="宋体" w:cs="Times New Roman"/>
                <w:sz w:val="21"/>
                <w:szCs w:val="21"/>
              </w:rPr>
              <w:t>禁止任何人违章指挥或者违章操作设备，严禁密封容器、半密闭容器、爆炸物等危险物料混入炉料。</w:t>
            </w:r>
          </w:p>
        </w:tc>
        <w:tc>
          <w:tcPr>
            <w:tcW w:w="1702" w:type="pct"/>
            <w:vAlign w:val="center"/>
          </w:tcPr>
          <w:p>
            <w:pPr>
              <w:spacing w:line="240" w:lineRule="auto"/>
              <w:ind w:firstLine="0" w:firstLineChars="0"/>
              <w:rPr>
                <w:rFonts w:ascii="宋体" w:hAnsi="宋体" w:cs="Times New Roman"/>
                <w:sz w:val="21"/>
                <w:szCs w:val="21"/>
              </w:rPr>
            </w:pPr>
            <w:r>
              <w:rPr>
                <w:rFonts w:hint="eastAsia" w:ascii="宋体" w:hAnsi="宋体"/>
                <w:sz w:val="21"/>
                <w:szCs w:val="21"/>
              </w:rPr>
              <w:t>现场检查企业落实了相关措施</w:t>
            </w:r>
          </w:p>
        </w:tc>
        <w:tc>
          <w:tcPr>
            <w:tcW w:w="444" w:type="pct"/>
            <w:vAlign w:val="center"/>
          </w:tcPr>
          <w:p>
            <w:pPr>
              <w:spacing w:line="240" w:lineRule="auto"/>
              <w:ind w:firstLine="0" w:firstLineChars="0"/>
              <w:jc w:val="center"/>
              <w:rPr>
                <w:rFonts w:cs="Times New Roman"/>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autoSpaceDE w:val="0"/>
              <w:autoSpaceDN w:val="0"/>
              <w:spacing w:line="240" w:lineRule="auto"/>
              <w:ind w:firstLine="0" w:firstLineChars="0"/>
              <w:jc w:val="center"/>
              <w:textAlignment w:val="bottom"/>
              <w:rPr>
                <w:rFonts w:ascii="宋体" w:hAnsi="宋体"/>
                <w:sz w:val="21"/>
                <w:szCs w:val="21"/>
              </w:rPr>
            </w:pPr>
            <w:r>
              <w:rPr>
                <w:rFonts w:hint="eastAsia" w:ascii="宋体" w:hAnsi="宋体" w:cs="Times New Roman"/>
                <w:sz w:val="21"/>
                <w:szCs w:val="21"/>
              </w:rPr>
              <w:t>（10）</w:t>
            </w:r>
          </w:p>
        </w:tc>
        <w:tc>
          <w:tcPr>
            <w:tcW w:w="2196" w:type="pct"/>
            <w:vAlign w:val="center"/>
          </w:tcPr>
          <w:p>
            <w:pPr>
              <w:autoSpaceDE w:val="0"/>
              <w:autoSpaceDN w:val="0"/>
              <w:spacing w:line="240" w:lineRule="auto"/>
              <w:ind w:firstLine="0" w:firstLineChars="0"/>
              <w:textAlignment w:val="bottom"/>
              <w:rPr>
                <w:sz w:val="21"/>
                <w:szCs w:val="21"/>
              </w:rPr>
            </w:pPr>
            <w:r>
              <w:rPr>
                <w:rFonts w:hint="eastAsia" w:ascii="宋体" w:hAnsi="宋体" w:cs="Times New Roman"/>
                <w:sz w:val="21"/>
                <w:szCs w:val="21"/>
              </w:rPr>
              <w:t>严格遵守电频炉的操作规程所规定的安全要求进行操作。</w:t>
            </w:r>
          </w:p>
        </w:tc>
        <w:tc>
          <w:tcPr>
            <w:tcW w:w="1702" w:type="pct"/>
            <w:vAlign w:val="center"/>
          </w:tcPr>
          <w:p>
            <w:pPr>
              <w:spacing w:line="240" w:lineRule="auto"/>
              <w:ind w:firstLine="0" w:firstLineChars="0"/>
              <w:rPr>
                <w:rFonts w:ascii="宋体" w:hAnsi="宋体" w:cs="Times New Roman"/>
                <w:sz w:val="21"/>
                <w:szCs w:val="21"/>
              </w:rPr>
            </w:pPr>
            <w:r>
              <w:rPr>
                <w:rFonts w:hint="eastAsia" w:ascii="宋体" w:hAnsi="宋体"/>
                <w:sz w:val="21"/>
                <w:szCs w:val="21"/>
              </w:rPr>
              <w:t>现场检查企业落实了相关措施</w:t>
            </w:r>
          </w:p>
        </w:tc>
        <w:tc>
          <w:tcPr>
            <w:tcW w:w="444" w:type="pct"/>
            <w:vAlign w:val="center"/>
          </w:tcPr>
          <w:p>
            <w:pPr>
              <w:spacing w:line="240" w:lineRule="auto"/>
              <w:ind w:firstLine="0" w:firstLineChars="0"/>
              <w:jc w:val="center"/>
              <w:rPr>
                <w:rFonts w:cs="Times New Roman"/>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autoSpaceDE w:val="0"/>
              <w:autoSpaceDN w:val="0"/>
              <w:spacing w:line="240" w:lineRule="auto"/>
              <w:ind w:firstLine="0" w:firstLineChars="0"/>
              <w:jc w:val="center"/>
              <w:textAlignment w:val="bottom"/>
              <w:rPr>
                <w:rFonts w:ascii="宋体" w:hAnsi="宋体"/>
                <w:sz w:val="21"/>
                <w:szCs w:val="21"/>
              </w:rPr>
            </w:pPr>
            <w:r>
              <w:rPr>
                <w:rFonts w:hint="eastAsia" w:ascii="宋体" w:hAnsi="宋体" w:cs="Times New Roman"/>
                <w:sz w:val="21"/>
                <w:szCs w:val="21"/>
              </w:rPr>
              <w:t>（11）</w:t>
            </w:r>
          </w:p>
        </w:tc>
        <w:tc>
          <w:tcPr>
            <w:tcW w:w="2196" w:type="pct"/>
            <w:vAlign w:val="center"/>
          </w:tcPr>
          <w:p>
            <w:pPr>
              <w:autoSpaceDE w:val="0"/>
              <w:autoSpaceDN w:val="0"/>
              <w:spacing w:line="240" w:lineRule="auto"/>
              <w:ind w:firstLine="0" w:firstLineChars="0"/>
              <w:textAlignment w:val="bottom"/>
              <w:rPr>
                <w:sz w:val="21"/>
                <w:szCs w:val="21"/>
              </w:rPr>
            </w:pPr>
            <w:r>
              <w:rPr>
                <w:rFonts w:hint="eastAsia" w:ascii="宋体" w:hAnsi="宋体" w:cs="Times New Roman"/>
                <w:sz w:val="21"/>
                <w:szCs w:val="21"/>
              </w:rPr>
              <w:t>使用料斗前必须检查料斗、吊钩、链条等用具是否完好，发现有损坏、裂纹等现象，必须立即停用，并通知维修人员修理。</w:t>
            </w:r>
          </w:p>
        </w:tc>
        <w:tc>
          <w:tcPr>
            <w:tcW w:w="1702" w:type="pct"/>
            <w:vAlign w:val="center"/>
          </w:tcPr>
          <w:p>
            <w:pPr>
              <w:spacing w:line="240" w:lineRule="auto"/>
              <w:ind w:firstLine="0" w:firstLineChars="0"/>
              <w:rPr>
                <w:rFonts w:ascii="宋体" w:hAnsi="宋体" w:cs="Times New Roman"/>
                <w:sz w:val="21"/>
                <w:szCs w:val="21"/>
              </w:rPr>
            </w:pPr>
            <w:r>
              <w:rPr>
                <w:rFonts w:hint="eastAsia" w:ascii="宋体" w:hAnsi="宋体"/>
                <w:sz w:val="21"/>
                <w:szCs w:val="21"/>
              </w:rPr>
              <w:t>现场检查企业落实了相关措施</w:t>
            </w:r>
          </w:p>
        </w:tc>
        <w:tc>
          <w:tcPr>
            <w:tcW w:w="444" w:type="pct"/>
            <w:vAlign w:val="center"/>
          </w:tcPr>
          <w:p>
            <w:pPr>
              <w:spacing w:line="240" w:lineRule="auto"/>
              <w:ind w:firstLine="0" w:firstLineChars="0"/>
              <w:jc w:val="center"/>
              <w:rPr>
                <w:rFonts w:cs="Times New Roman"/>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autoSpaceDE w:val="0"/>
              <w:autoSpaceDN w:val="0"/>
              <w:spacing w:line="240" w:lineRule="auto"/>
              <w:ind w:firstLine="0" w:firstLineChars="0"/>
              <w:jc w:val="center"/>
              <w:textAlignment w:val="bottom"/>
              <w:rPr>
                <w:rFonts w:ascii="宋体" w:hAnsi="宋体"/>
                <w:sz w:val="21"/>
                <w:szCs w:val="21"/>
              </w:rPr>
            </w:pPr>
            <w:r>
              <w:rPr>
                <w:rFonts w:hint="eastAsia" w:ascii="宋体" w:hAnsi="宋体" w:cs="Times New Roman"/>
                <w:sz w:val="21"/>
                <w:szCs w:val="21"/>
              </w:rPr>
              <w:t>（12）</w:t>
            </w:r>
          </w:p>
        </w:tc>
        <w:tc>
          <w:tcPr>
            <w:tcW w:w="2196" w:type="pct"/>
            <w:vAlign w:val="center"/>
          </w:tcPr>
          <w:p>
            <w:pPr>
              <w:autoSpaceDE w:val="0"/>
              <w:autoSpaceDN w:val="0"/>
              <w:spacing w:line="240" w:lineRule="auto"/>
              <w:ind w:firstLine="0" w:firstLineChars="0"/>
              <w:textAlignment w:val="bottom"/>
              <w:rPr>
                <w:sz w:val="21"/>
                <w:szCs w:val="21"/>
              </w:rPr>
            </w:pPr>
            <w:r>
              <w:rPr>
                <w:rFonts w:hint="eastAsia" w:ascii="宋体" w:hAnsi="宋体" w:cs="Times New Roman"/>
                <w:sz w:val="21"/>
                <w:szCs w:val="21"/>
              </w:rPr>
              <w:t>材料存放区要保证干燥，不得有淋雨或积水现象，防止材料受潮或淋湿。</w:t>
            </w:r>
          </w:p>
        </w:tc>
        <w:tc>
          <w:tcPr>
            <w:tcW w:w="1702" w:type="pct"/>
            <w:vAlign w:val="center"/>
          </w:tcPr>
          <w:p>
            <w:pPr>
              <w:spacing w:line="240" w:lineRule="auto"/>
              <w:ind w:firstLine="0" w:firstLineChars="0"/>
              <w:rPr>
                <w:rFonts w:ascii="宋体" w:hAnsi="宋体" w:cs="Times New Roman"/>
                <w:sz w:val="21"/>
                <w:szCs w:val="21"/>
              </w:rPr>
            </w:pPr>
            <w:r>
              <w:rPr>
                <w:rFonts w:hint="eastAsia" w:ascii="宋体" w:hAnsi="宋体"/>
                <w:sz w:val="21"/>
                <w:szCs w:val="21"/>
              </w:rPr>
              <w:t>现场检查企业落实了相关措施</w:t>
            </w:r>
          </w:p>
        </w:tc>
        <w:tc>
          <w:tcPr>
            <w:tcW w:w="444" w:type="pct"/>
            <w:vAlign w:val="center"/>
          </w:tcPr>
          <w:p>
            <w:pPr>
              <w:spacing w:line="240" w:lineRule="auto"/>
              <w:ind w:firstLine="0" w:firstLineChars="0"/>
              <w:jc w:val="center"/>
              <w:rPr>
                <w:rFonts w:cs="Times New Roman"/>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autoSpaceDE w:val="0"/>
              <w:autoSpaceDN w:val="0"/>
              <w:spacing w:line="240" w:lineRule="auto"/>
              <w:ind w:firstLine="0" w:firstLineChars="0"/>
              <w:jc w:val="center"/>
              <w:textAlignment w:val="bottom"/>
              <w:rPr>
                <w:rFonts w:ascii="宋体" w:hAnsi="宋体"/>
                <w:sz w:val="21"/>
                <w:szCs w:val="21"/>
              </w:rPr>
            </w:pPr>
            <w:r>
              <w:rPr>
                <w:rFonts w:hint="eastAsia" w:ascii="宋体" w:hAnsi="宋体" w:cs="Times New Roman"/>
                <w:sz w:val="21"/>
                <w:szCs w:val="21"/>
              </w:rPr>
              <w:t>（13）</w:t>
            </w:r>
          </w:p>
        </w:tc>
        <w:tc>
          <w:tcPr>
            <w:tcW w:w="2196" w:type="pct"/>
            <w:vAlign w:val="center"/>
          </w:tcPr>
          <w:p>
            <w:pPr>
              <w:autoSpaceDE w:val="0"/>
              <w:autoSpaceDN w:val="0"/>
              <w:spacing w:line="240" w:lineRule="auto"/>
              <w:ind w:firstLine="0" w:firstLineChars="0"/>
              <w:textAlignment w:val="bottom"/>
              <w:rPr>
                <w:sz w:val="21"/>
                <w:szCs w:val="21"/>
              </w:rPr>
            </w:pPr>
            <w:r>
              <w:rPr>
                <w:rFonts w:hint="eastAsia" w:ascii="宋体" w:hAnsi="宋体" w:cs="Times New Roman"/>
                <w:sz w:val="21"/>
                <w:szCs w:val="21"/>
              </w:rPr>
              <w:t>中频炉自动加料机设置计量装置，防止中频炉炉内铁水溢流。</w:t>
            </w:r>
          </w:p>
        </w:tc>
        <w:tc>
          <w:tcPr>
            <w:tcW w:w="1702" w:type="pct"/>
            <w:vAlign w:val="center"/>
          </w:tcPr>
          <w:p>
            <w:pPr>
              <w:spacing w:line="240" w:lineRule="auto"/>
              <w:ind w:firstLine="0" w:firstLineChars="0"/>
              <w:rPr>
                <w:rFonts w:ascii="宋体" w:hAnsi="宋体" w:cs="Times New Roman"/>
                <w:sz w:val="21"/>
                <w:szCs w:val="21"/>
              </w:rPr>
            </w:pPr>
            <w:r>
              <w:rPr>
                <w:rFonts w:hint="eastAsia" w:ascii="宋体" w:hAnsi="宋体" w:cs="Times New Roman"/>
                <w:sz w:val="21"/>
                <w:szCs w:val="21"/>
              </w:rPr>
              <w:t>未设置自动加料机</w:t>
            </w:r>
          </w:p>
        </w:tc>
        <w:tc>
          <w:tcPr>
            <w:tcW w:w="444" w:type="pct"/>
            <w:vAlign w:val="center"/>
          </w:tcPr>
          <w:p>
            <w:pPr>
              <w:spacing w:line="240" w:lineRule="auto"/>
              <w:ind w:firstLine="0" w:firstLineChars="0"/>
              <w:jc w:val="center"/>
              <w:rPr>
                <w:rFonts w:cs="Times New Roman"/>
                <w:sz w:val="21"/>
                <w:szCs w:val="21"/>
              </w:rPr>
            </w:pPr>
            <w:r>
              <w:rPr>
                <w:rFonts w:hint="eastAsia" w:cs="Times New Roman"/>
                <w:sz w:val="21"/>
                <w:szCs w:val="21"/>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autoSpaceDE w:val="0"/>
              <w:autoSpaceDN w:val="0"/>
              <w:spacing w:line="240" w:lineRule="auto"/>
              <w:ind w:firstLine="0" w:firstLineChars="0"/>
              <w:jc w:val="center"/>
              <w:textAlignment w:val="bottom"/>
              <w:rPr>
                <w:rFonts w:ascii="宋体" w:hAnsi="宋体"/>
                <w:sz w:val="21"/>
                <w:szCs w:val="21"/>
              </w:rPr>
            </w:pPr>
            <w:r>
              <w:rPr>
                <w:rFonts w:hint="eastAsia" w:ascii="宋体" w:hAnsi="宋体" w:cs="Times New Roman"/>
                <w:sz w:val="21"/>
                <w:szCs w:val="21"/>
              </w:rPr>
              <w:t>（14）</w:t>
            </w:r>
          </w:p>
        </w:tc>
        <w:tc>
          <w:tcPr>
            <w:tcW w:w="2196" w:type="pct"/>
            <w:vAlign w:val="center"/>
          </w:tcPr>
          <w:p>
            <w:pPr>
              <w:autoSpaceDE w:val="0"/>
              <w:autoSpaceDN w:val="0"/>
              <w:spacing w:line="240" w:lineRule="auto"/>
              <w:ind w:firstLine="0" w:firstLineChars="0"/>
              <w:textAlignment w:val="bottom"/>
              <w:rPr>
                <w:sz w:val="21"/>
                <w:szCs w:val="21"/>
              </w:rPr>
            </w:pPr>
            <w:r>
              <w:rPr>
                <w:rFonts w:hint="eastAsia" w:ascii="宋体" w:hAnsi="宋体" w:cs="Times New Roman"/>
                <w:sz w:val="21"/>
                <w:szCs w:val="21"/>
              </w:rPr>
              <w:t>在电频炉工作区域设置应急地坑，防止炉内液体泄漏流散。</w:t>
            </w:r>
          </w:p>
        </w:tc>
        <w:tc>
          <w:tcPr>
            <w:tcW w:w="1702" w:type="pct"/>
            <w:vAlign w:val="center"/>
          </w:tcPr>
          <w:p>
            <w:pPr>
              <w:spacing w:line="240" w:lineRule="auto"/>
              <w:ind w:firstLine="0" w:firstLineChars="0"/>
              <w:rPr>
                <w:rFonts w:ascii="宋体" w:hAnsi="宋体"/>
                <w:sz w:val="21"/>
                <w:szCs w:val="21"/>
              </w:rPr>
            </w:pPr>
            <w:r>
              <w:rPr>
                <w:rFonts w:hint="eastAsia" w:ascii="宋体" w:hAnsi="宋体" w:cs="Times New Roman"/>
                <w:sz w:val="21"/>
                <w:szCs w:val="21"/>
              </w:rPr>
              <w:t>电频炉工作区域设置应急地坑。</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656" w:type="pct"/>
            <w:vAlign w:val="center"/>
          </w:tcPr>
          <w:p>
            <w:pPr>
              <w:autoSpaceDE w:val="0"/>
              <w:autoSpaceDN w:val="0"/>
              <w:spacing w:line="240" w:lineRule="auto"/>
              <w:ind w:firstLine="0" w:firstLineChars="0"/>
              <w:jc w:val="center"/>
              <w:textAlignment w:val="bottom"/>
              <w:rPr>
                <w:rFonts w:ascii="宋体" w:hAnsi="宋体"/>
                <w:sz w:val="21"/>
                <w:szCs w:val="21"/>
              </w:rPr>
            </w:pPr>
            <w:r>
              <w:rPr>
                <w:rFonts w:hint="eastAsia" w:ascii="宋体" w:hAnsi="宋体" w:cs="Times New Roman"/>
                <w:sz w:val="21"/>
                <w:szCs w:val="21"/>
              </w:rPr>
              <w:t>（15）</w:t>
            </w:r>
          </w:p>
        </w:tc>
        <w:tc>
          <w:tcPr>
            <w:tcW w:w="2196" w:type="pct"/>
            <w:vAlign w:val="center"/>
          </w:tcPr>
          <w:p>
            <w:pPr>
              <w:autoSpaceDE w:val="0"/>
              <w:autoSpaceDN w:val="0"/>
              <w:spacing w:line="240" w:lineRule="auto"/>
              <w:ind w:firstLine="0" w:firstLineChars="0"/>
              <w:textAlignment w:val="bottom"/>
              <w:rPr>
                <w:sz w:val="21"/>
                <w:szCs w:val="21"/>
              </w:rPr>
            </w:pPr>
            <w:r>
              <w:rPr>
                <w:rFonts w:hint="eastAsia" w:ascii="宋体" w:hAnsi="宋体" w:cs="Times New Roman"/>
                <w:sz w:val="21"/>
                <w:szCs w:val="21"/>
              </w:rPr>
              <w:t>炉体配备除尘器。</w:t>
            </w:r>
          </w:p>
        </w:tc>
        <w:tc>
          <w:tcPr>
            <w:tcW w:w="1702" w:type="pct"/>
            <w:vAlign w:val="center"/>
          </w:tcPr>
          <w:p>
            <w:pPr>
              <w:autoSpaceDE w:val="0"/>
              <w:autoSpaceDN w:val="0"/>
              <w:spacing w:line="240" w:lineRule="auto"/>
              <w:ind w:firstLine="0" w:firstLineChars="0"/>
              <w:textAlignment w:val="bottom"/>
              <w:rPr>
                <w:rFonts w:cs="Times New Roman"/>
                <w:sz w:val="21"/>
                <w:szCs w:val="21"/>
              </w:rPr>
            </w:pPr>
            <w:r>
              <w:rPr>
                <w:rFonts w:hint="eastAsia" w:ascii="宋体" w:hAnsi="宋体" w:cs="Times New Roman"/>
                <w:sz w:val="21"/>
                <w:szCs w:val="21"/>
              </w:rPr>
              <w:t>炉体配备除尘器。</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autoSpaceDE w:val="0"/>
              <w:autoSpaceDN w:val="0"/>
              <w:spacing w:line="240" w:lineRule="auto"/>
              <w:ind w:firstLine="0" w:firstLineChars="0"/>
              <w:jc w:val="center"/>
              <w:textAlignment w:val="bottom"/>
              <w:rPr>
                <w:rFonts w:ascii="宋体" w:hAnsi="宋体"/>
                <w:sz w:val="21"/>
                <w:szCs w:val="21"/>
              </w:rPr>
            </w:pPr>
            <w:r>
              <w:rPr>
                <w:rFonts w:hint="eastAsia" w:ascii="宋体" w:hAnsi="宋体" w:cs="Times New Roman"/>
                <w:sz w:val="21"/>
                <w:szCs w:val="21"/>
              </w:rPr>
              <w:t>（16）</w:t>
            </w:r>
          </w:p>
        </w:tc>
        <w:tc>
          <w:tcPr>
            <w:tcW w:w="2196" w:type="pct"/>
            <w:vAlign w:val="center"/>
          </w:tcPr>
          <w:p>
            <w:pPr>
              <w:autoSpaceDE w:val="0"/>
              <w:autoSpaceDN w:val="0"/>
              <w:spacing w:line="240" w:lineRule="auto"/>
              <w:ind w:firstLine="0" w:firstLineChars="0"/>
              <w:textAlignment w:val="bottom"/>
              <w:rPr>
                <w:sz w:val="21"/>
                <w:szCs w:val="21"/>
              </w:rPr>
            </w:pPr>
            <w:r>
              <w:rPr>
                <w:rFonts w:hint="eastAsia" w:ascii="宋体" w:hAnsi="宋体" w:cs="Times New Roman"/>
                <w:sz w:val="21"/>
                <w:szCs w:val="21"/>
              </w:rPr>
              <w:t>中频炉设置远传温度计、现场温度计。设置高温度报警。中频炉冷却水系统设置有气动阀，气动阀与远传温度计设置高、低温度连锁控制，以避免中频炉温度过高。</w:t>
            </w:r>
          </w:p>
        </w:tc>
        <w:tc>
          <w:tcPr>
            <w:tcW w:w="1702" w:type="pct"/>
            <w:vAlign w:val="center"/>
          </w:tcPr>
          <w:p>
            <w:pPr>
              <w:spacing w:line="240" w:lineRule="auto"/>
              <w:ind w:firstLine="0" w:firstLineChars="0"/>
              <w:rPr>
                <w:rFonts w:ascii="宋体" w:hAnsi="宋体"/>
                <w:sz w:val="21"/>
                <w:szCs w:val="21"/>
              </w:rPr>
            </w:pPr>
            <w:r>
              <w:rPr>
                <w:rFonts w:hint="eastAsia" w:ascii="宋体" w:hAnsi="宋体" w:cs="Times New Roman"/>
                <w:sz w:val="21"/>
                <w:szCs w:val="21"/>
              </w:rPr>
              <w:t>中频炉设置远传温度计、现场温度计。设置高温度报警。中频炉冷却水系统设置有气动阀，气动阀与远传温度计设置高、低温度连锁控制，以避免中频炉温度过高。</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autoSpaceDE w:val="0"/>
              <w:autoSpaceDN w:val="0"/>
              <w:spacing w:line="240" w:lineRule="auto"/>
              <w:ind w:firstLine="0" w:firstLineChars="0"/>
              <w:jc w:val="center"/>
              <w:textAlignment w:val="bottom"/>
              <w:rPr>
                <w:rFonts w:ascii="宋体" w:hAnsi="宋体"/>
                <w:sz w:val="21"/>
                <w:szCs w:val="21"/>
              </w:rPr>
            </w:pPr>
            <w:r>
              <w:rPr>
                <w:rFonts w:hint="eastAsia" w:ascii="宋体" w:hAnsi="宋体" w:cs="Times New Roman"/>
                <w:sz w:val="21"/>
                <w:szCs w:val="21"/>
              </w:rPr>
              <w:t>（17）</w:t>
            </w:r>
          </w:p>
        </w:tc>
        <w:tc>
          <w:tcPr>
            <w:tcW w:w="2196" w:type="pct"/>
            <w:vAlign w:val="center"/>
          </w:tcPr>
          <w:p>
            <w:pPr>
              <w:autoSpaceDE w:val="0"/>
              <w:autoSpaceDN w:val="0"/>
              <w:spacing w:line="240" w:lineRule="auto"/>
              <w:ind w:firstLine="0" w:firstLineChars="0"/>
              <w:textAlignment w:val="bottom"/>
              <w:rPr>
                <w:sz w:val="21"/>
                <w:szCs w:val="21"/>
              </w:rPr>
            </w:pPr>
            <w:r>
              <w:rPr>
                <w:rFonts w:hint="eastAsia" w:ascii="宋体" w:hAnsi="宋体" w:cs="Times New Roman"/>
                <w:sz w:val="21"/>
                <w:szCs w:val="21"/>
              </w:rPr>
              <w:t>经常检查冷却系统，保护系统畅通。控制好冷却水压和水量，以防止水冷系统强度不够造成钢板烧穿，导致铁水遇水爆炸。</w:t>
            </w:r>
          </w:p>
        </w:tc>
        <w:tc>
          <w:tcPr>
            <w:tcW w:w="1702" w:type="pct"/>
            <w:vAlign w:val="center"/>
          </w:tcPr>
          <w:p>
            <w:pPr>
              <w:spacing w:line="240" w:lineRule="auto"/>
              <w:ind w:firstLine="0" w:firstLineChars="0"/>
              <w:rPr>
                <w:rFonts w:ascii="宋体" w:hAnsi="宋体"/>
                <w:sz w:val="21"/>
                <w:szCs w:val="21"/>
              </w:rPr>
            </w:pPr>
            <w:r>
              <w:rPr>
                <w:rFonts w:hint="eastAsia" w:ascii="宋体" w:hAnsi="宋体"/>
                <w:sz w:val="21"/>
                <w:szCs w:val="21"/>
              </w:rPr>
              <w:t>现场检查企业落实了相关措施</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autoSpaceDE w:val="0"/>
              <w:autoSpaceDN w:val="0"/>
              <w:spacing w:line="240" w:lineRule="auto"/>
              <w:ind w:firstLine="0" w:firstLineChars="0"/>
              <w:jc w:val="center"/>
              <w:textAlignment w:val="bottom"/>
              <w:rPr>
                <w:rFonts w:ascii="宋体" w:hAnsi="宋体"/>
                <w:sz w:val="21"/>
                <w:szCs w:val="21"/>
              </w:rPr>
            </w:pPr>
            <w:r>
              <w:rPr>
                <w:rFonts w:hint="eastAsia" w:ascii="宋体" w:hAnsi="宋体" w:cs="Times New Roman"/>
                <w:sz w:val="21"/>
                <w:szCs w:val="21"/>
              </w:rPr>
              <w:t>（18）</w:t>
            </w:r>
          </w:p>
        </w:tc>
        <w:tc>
          <w:tcPr>
            <w:tcW w:w="2196" w:type="pct"/>
            <w:vAlign w:val="center"/>
          </w:tcPr>
          <w:p>
            <w:pPr>
              <w:autoSpaceDE w:val="0"/>
              <w:autoSpaceDN w:val="0"/>
              <w:spacing w:line="240" w:lineRule="auto"/>
              <w:ind w:firstLine="0" w:firstLineChars="0"/>
              <w:textAlignment w:val="bottom"/>
              <w:rPr>
                <w:sz w:val="21"/>
                <w:szCs w:val="21"/>
              </w:rPr>
            </w:pPr>
            <w:r>
              <w:rPr>
                <w:rFonts w:hint="eastAsia" w:ascii="宋体" w:hAnsi="宋体" w:cs="Times New Roman"/>
                <w:sz w:val="21"/>
                <w:szCs w:val="21"/>
              </w:rPr>
              <w:t>高温熔体吊装设备设置专用的吊装通道，并制定明确的操作规程。</w:t>
            </w:r>
          </w:p>
        </w:tc>
        <w:tc>
          <w:tcPr>
            <w:tcW w:w="1702" w:type="pct"/>
            <w:vAlign w:val="center"/>
          </w:tcPr>
          <w:p>
            <w:pPr>
              <w:spacing w:line="240" w:lineRule="auto"/>
              <w:ind w:firstLine="0" w:firstLineChars="0"/>
              <w:rPr>
                <w:rFonts w:ascii="宋体" w:hAnsi="宋体"/>
                <w:sz w:val="21"/>
                <w:szCs w:val="21"/>
              </w:rPr>
            </w:pPr>
            <w:r>
              <w:rPr>
                <w:rFonts w:hint="eastAsia" w:ascii="宋体" w:hAnsi="宋体" w:cs="Times New Roman"/>
                <w:sz w:val="21"/>
                <w:szCs w:val="21"/>
              </w:rPr>
              <w:t>高温熔体吊装设备设置有专用的吊装通道，并制定明确的操作规程。</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autoSpaceDE w:val="0"/>
              <w:autoSpaceDN w:val="0"/>
              <w:spacing w:line="240" w:lineRule="auto"/>
              <w:ind w:firstLine="0" w:firstLineChars="0"/>
              <w:jc w:val="center"/>
              <w:textAlignment w:val="bottom"/>
              <w:rPr>
                <w:rFonts w:ascii="宋体" w:hAnsi="宋体"/>
                <w:sz w:val="21"/>
                <w:szCs w:val="21"/>
              </w:rPr>
            </w:pPr>
            <w:r>
              <w:rPr>
                <w:rFonts w:hint="eastAsia" w:ascii="宋体" w:hAnsi="宋体" w:cs="Times New Roman"/>
                <w:sz w:val="21"/>
                <w:szCs w:val="21"/>
              </w:rPr>
              <w:t>（19）</w:t>
            </w:r>
          </w:p>
        </w:tc>
        <w:tc>
          <w:tcPr>
            <w:tcW w:w="2196" w:type="pct"/>
            <w:vAlign w:val="center"/>
          </w:tcPr>
          <w:p>
            <w:pPr>
              <w:autoSpaceDE w:val="0"/>
              <w:autoSpaceDN w:val="0"/>
              <w:spacing w:line="240" w:lineRule="auto"/>
              <w:ind w:firstLine="0" w:firstLineChars="0"/>
              <w:textAlignment w:val="bottom"/>
              <w:rPr>
                <w:sz w:val="21"/>
                <w:szCs w:val="21"/>
              </w:rPr>
            </w:pPr>
            <w:r>
              <w:rPr>
                <w:rFonts w:hint="eastAsia" w:ascii="宋体" w:hAnsi="宋体" w:cs="Times New Roman"/>
                <w:sz w:val="21"/>
                <w:szCs w:val="21"/>
              </w:rPr>
              <w:t>不准超负荷使用吊车，吊车在吊运铁溶液时，禁止有人在下面行走或停留。</w:t>
            </w:r>
          </w:p>
        </w:tc>
        <w:tc>
          <w:tcPr>
            <w:tcW w:w="1702" w:type="pct"/>
            <w:vAlign w:val="center"/>
          </w:tcPr>
          <w:p>
            <w:pPr>
              <w:spacing w:line="240" w:lineRule="auto"/>
              <w:ind w:firstLine="0" w:firstLineChars="0"/>
              <w:rPr>
                <w:rFonts w:ascii="宋体" w:hAnsi="宋体"/>
                <w:sz w:val="21"/>
                <w:szCs w:val="21"/>
              </w:rPr>
            </w:pPr>
            <w:r>
              <w:rPr>
                <w:rFonts w:hint="eastAsia" w:ascii="宋体" w:hAnsi="宋体"/>
                <w:sz w:val="21"/>
                <w:szCs w:val="21"/>
              </w:rPr>
              <w:t>现场检查企业落实了相关措施</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autoSpaceDE w:val="0"/>
              <w:autoSpaceDN w:val="0"/>
              <w:spacing w:line="240" w:lineRule="auto"/>
              <w:ind w:firstLine="0" w:firstLineChars="0"/>
              <w:jc w:val="center"/>
              <w:textAlignment w:val="bottom"/>
              <w:rPr>
                <w:rFonts w:ascii="宋体" w:hAnsi="宋体"/>
                <w:sz w:val="21"/>
                <w:szCs w:val="21"/>
              </w:rPr>
            </w:pPr>
            <w:r>
              <w:rPr>
                <w:rFonts w:hint="eastAsia" w:ascii="宋体" w:hAnsi="宋体" w:cs="Times New Roman"/>
                <w:sz w:val="21"/>
                <w:szCs w:val="21"/>
              </w:rPr>
              <w:t>（20）</w:t>
            </w:r>
          </w:p>
        </w:tc>
        <w:tc>
          <w:tcPr>
            <w:tcW w:w="2196" w:type="pct"/>
            <w:vAlign w:val="center"/>
          </w:tcPr>
          <w:p>
            <w:pPr>
              <w:autoSpaceDE w:val="0"/>
              <w:autoSpaceDN w:val="0"/>
              <w:spacing w:line="240" w:lineRule="auto"/>
              <w:ind w:firstLine="0" w:firstLineChars="0"/>
              <w:textAlignment w:val="bottom"/>
              <w:rPr>
                <w:sz w:val="21"/>
                <w:szCs w:val="21"/>
              </w:rPr>
            </w:pPr>
            <w:r>
              <w:rPr>
                <w:rFonts w:hint="eastAsia" w:ascii="宋体" w:hAnsi="宋体" w:cs="Times New Roman"/>
                <w:sz w:val="21"/>
                <w:szCs w:val="21"/>
              </w:rPr>
              <w:t>高温熔体吊运运输线路上设置防护围栏。</w:t>
            </w:r>
          </w:p>
        </w:tc>
        <w:tc>
          <w:tcPr>
            <w:tcW w:w="1702" w:type="pct"/>
            <w:vAlign w:val="center"/>
          </w:tcPr>
          <w:p>
            <w:pPr>
              <w:spacing w:line="240" w:lineRule="auto"/>
              <w:ind w:firstLine="0" w:firstLineChars="0"/>
              <w:rPr>
                <w:rFonts w:ascii="宋体" w:hAnsi="宋体" w:cs="Times New Roman"/>
                <w:sz w:val="21"/>
                <w:szCs w:val="21"/>
              </w:rPr>
            </w:pPr>
            <w:r>
              <w:rPr>
                <w:rFonts w:hint="eastAsia" w:ascii="宋体" w:hAnsi="宋体"/>
                <w:sz w:val="21"/>
                <w:szCs w:val="21"/>
              </w:rPr>
              <w:t>现场检查企业落实了相关措施</w:t>
            </w:r>
          </w:p>
        </w:tc>
        <w:tc>
          <w:tcPr>
            <w:tcW w:w="444" w:type="pct"/>
            <w:vAlign w:val="center"/>
          </w:tcPr>
          <w:p>
            <w:pPr>
              <w:spacing w:line="240" w:lineRule="auto"/>
              <w:ind w:firstLine="0" w:firstLineChars="0"/>
              <w:jc w:val="center"/>
              <w:rPr>
                <w:rFonts w:cs="Times New Roman"/>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autoSpaceDE w:val="0"/>
              <w:autoSpaceDN w:val="0"/>
              <w:spacing w:line="240" w:lineRule="auto"/>
              <w:ind w:firstLine="0" w:firstLineChars="0"/>
              <w:jc w:val="center"/>
              <w:textAlignment w:val="bottom"/>
              <w:rPr>
                <w:rFonts w:ascii="宋体" w:hAnsi="宋体"/>
                <w:sz w:val="21"/>
                <w:szCs w:val="21"/>
              </w:rPr>
            </w:pPr>
            <w:r>
              <w:rPr>
                <w:rFonts w:hint="eastAsia" w:ascii="宋体" w:hAnsi="宋体" w:cs="Times New Roman"/>
                <w:sz w:val="21"/>
                <w:szCs w:val="21"/>
              </w:rPr>
              <w:t>（21）</w:t>
            </w:r>
          </w:p>
        </w:tc>
        <w:tc>
          <w:tcPr>
            <w:tcW w:w="2196" w:type="pct"/>
            <w:vAlign w:val="center"/>
          </w:tcPr>
          <w:p>
            <w:pPr>
              <w:autoSpaceDE w:val="0"/>
              <w:autoSpaceDN w:val="0"/>
              <w:spacing w:line="240" w:lineRule="auto"/>
              <w:ind w:firstLine="0" w:firstLineChars="0"/>
              <w:textAlignment w:val="bottom"/>
              <w:rPr>
                <w:sz w:val="21"/>
                <w:szCs w:val="21"/>
              </w:rPr>
            </w:pPr>
            <w:r>
              <w:rPr>
                <w:rFonts w:hint="eastAsia" w:ascii="宋体" w:hAnsi="宋体" w:cs="Times New Roman"/>
                <w:sz w:val="21"/>
                <w:szCs w:val="21"/>
              </w:rPr>
              <w:t>定期对高温熔体转运吊车进行检查、检测、维修及保养。</w:t>
            </w:r>
          </w:p>
        </w:tc>
        <w:tc>
          <w:tcPr>
            <w:tcW w:w="1702" w:type="pct"/>
            <w:vAlign w:val="center"/>
          </w:tcPr>
          <w:p>
            <w:pPr>
              <w:spacing w:line="240" w:lineRule="auto"/>
              <w:ind w:firstLine="0" w:firstLineChars="0"/>
              <w:rPr>
                <w:rFonts w:ascii="宋体" w:hAnsi="宋体" w:cs="Times New Roman"/>
                <w:sz w:val="21"/>
                <w:szCs w:val="21"/>
              </w:rPr>
            </w:pPr>
            <w:r>
              <w:rPr>
                <w:rFonts w:hint="eastAsia" w:ascii="宋体" w:hAnsi="宋体"/>
                <w:sz w:val="21"/>
                <w:szCs w:val="21"/>
              </w:rPr>
              <w:t>现场检查企业落实了相关措施</w:t>
            </w:r>
          </w:p>
        </w:tc>
        <w:tc>
          <w:tcPr>
            <w:tcW w:w="444" w:type="pct"/>
            <w:vAlign w:val="center"/>
          </w:tcPr>
          <w:p>
            <w:pPr>
              <w:spacing w:line="240" w:lineRule="auto"/>
              <w:ind w:firstLine="0" w:firstLineChars="0"/>
              <w:jc w:val="center"/>
              <w:rPr>
                <w:rFonts w:cs="Times New Roman"/>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autoSpaceDE w:val="0"/>
              <w:autoSpaceDN w:val="0"/>
              <w:spacing w:line="240" w:lineRule="auto"/>
              <w:ind w:firstLine="0" w:firstLineChars="0"/>
              <w:jc w:val="center"/>
              <w:textAlignment w:val="bottom"/>
              <w:rPr>
                <w:rFonts w:ascii="宋体" w:hAnsi="宋体"/>
                <w:sz w:val="21"/>
                <w:szCs w:val="21"/>
              </w:rPr>
            </w:pPr>
            <w:r>
              <w:rPr>
                <w:rFonts w:hint="eastAsia" w:ascii="宋体" w:hAnsi="宋体" w:cs="Times New Roman"/>
                <w:sz w:val="21"/>
                <w:szCs w:val="21"/>
              </w:rPr>
              <w:t>（22）</w:t>
            </w:r>
          </w:p>
        </w:tc>
        <w:tc>
          <w:tcPr>
            <w:tcW w:w="2196" w:type="pct"/>
            <w:vAlign w:val="center"/>
          </w:tcPr>
          <w:p>
            <w:pPr>
              <w:autoSpaceDE w:val="0"/>
              <w:autoSpaceDN w:val="0"/>
              <w:spacing w:line="240" w:lineRule="auto"/>
              <w:ind w:firstLine="0" w:firstLineChars="0"/>
              <w:textAlignment w:val="bottom"/>
              <w:rPr>
                <w:sz w:val="21"/>
                <w:szCs w:val="21"/>
              </w:rPr>
            </w:pPr>
            <w:r>
              <w:rPr>
                <w:rFonts w:hint="eastAsia" w:ascii="宋体" w:hAnsi="宋体" w:cs="Times New Roman"/>
                <w:sz w:val="21"/>
                <w:szCs w:val="21"/>
              </w:rPr>
              <w:t>吊车在吊运高温熔体时，同跨吊车必须保持安全距离不得碰撞。</w:t>
            </w:r>
          </w:p>
        </w:tc>
        <w:tc>
          <w:tcPr>
            <w:tcW w:w="1702" w:type="pct"/>
            <w:vAlign w:val="center"/>
          </w:tcPr>
          <w:p>
            <w:pPr>
              <w:spacing w:line="240" w:lineRule="auto"/>
              <w:ind w:firstLine="0" w:firstLineChars="0"/>
              <w:rPr>
                <w:rFonts w:ascii="宋体" w:hAnsi="宋体" w:cs="Times New Roman"/>
                <w:sz w:val="21"/>
                <w:szCs w:val="21"/>
              </w:rPr>
            </w:pPr>
            <w:r>
              <w:rPr>
                <w:rFonts w:hint="eastAsia" w:ascii="宋体" w:hAnsi="宋体"/>
                <w:sz w:val="21"/>
                <w:szCs w:val="21"/>
              </w:rPr>
              <w:t>现场检查企业落实了相关措施</w:t>
            </w:r>
          </w:p>
        </w:tc>
        <w:tc>
          <w:tcPr>
            <w:tcW w:w="444" w:type="pct"/>
            <w:vAlign w:val="center"/>
          </w:tcPr>
          <w:p>
            <w:pPr>
              <w:spacing w:line="240" w:lineRule="auto"/>
              <w:ind w:firstLine="0" w:firstLineChars="0"/>
              <w:jc w:val="center"/>
              <w:rPr>
                <w:rFonts w:cs="Times New Roman"/>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autoSpaceDE w:val="0"/>
              <w:autoSpaceDN w:val="0"/>
              <w:spacing w:line="240" w:lineRule="auto"/>
              <w:ind w:firstLine="0" w:firstLineChars="0"/>
              <w:jc w:val="center"/>
              <w:textAlignment w:val="bottom"/>
              <w:rPr>
                <w:rFonts w:ascii="宋体" w:hAnsi="宋体"/>
                <w:sz w:val="21"/>
                <w:szCs w:val="21"/>
              </w:rPr>
            </w:pPr>
            <w:r>
              <w:rPr>
                <w:rFonts w:hint="eastAsia" w:ascii="宋体" w:hAnsi="宋体" w:cs="Times New Roman"/>
                <w:sz w:val="21"/>
                <w:szCs w:val="21"/>
              </w:rPr>
              <w:t>（23）</w:t>
            </w:r>
          </w:p>
        </w:tc>
        <w:tc>
          <w:tcPr>
            <w:tcW w:w="2196" w:type="pct"/>
            <w:vAlign w:val="center"/>
          </w:tcPr>
          <w:p>
            <w:pPr>
              <w:autoSpaceDE w:val="0"/>
              <w:autoSpaceDN w:val="0"/>
              <w:spacing w:line="240" w:lineRule="auto"/>
              <w:ind w:firstLine="0" w:firstLineChars="0"/>
              <w:textAlignment w:val="bottom"/>
              <w:rPr>
                <w:sz w:val="21"/>
                <w:szCs w:val="21"/>
              </w:rPr>
            </w:pPr>
            <w:r>
              <w:rPr>
                <w:rFonts w:hint="eastAsia" w:ascii="宋体" w:hAnsi="宋体" w:cs="Times New Roman"/>
                <w:sz w:val="21"/>
                <w:szCs w:val="21"/>
              </w:rPr>
              <w:t>吊车使用前应进行试刹车，在平地和不潮湿的地方进行，严禁吊物时调整制动器。</w:t>
            </w:r>
          </w:p>
        </w:tc>
        <w:tc>
          <w:tcPr>
            <w:tcW w:w="1702" w:type="pct"/>
            <w:vAlign w:val="center"/>
          </w:tcPr>
          <w:p>
            <w:pPr>
              <w:spacing w:line="240" w:lineRule="auto"/>
              <w:ind w:firstLine="0" w:firstLineChars="0"/>
              <w:rPr>
                <w:rFonts w:ascii="宋体" w:hAnsi="宋体" w:cs="Times New Roman"/>
                <w:sz w:val="21"/>
                <w:szCs w:val="21"/>
              </w:rPr>
            </w:pPr>
            <w:r>
              <w:rPr>
                <w:rFonts w:hint="eastAsia" w:ascii="宋体" w:hAnsi="宋体"/>
                <w:sz w:val="21"/>
                <w:szCs w:val="21"/>
              </w:rPr>
              <w:t>现场检查企业落实了相关措施</w:t>
            </w:r>
          </w:p>
        </w:tc>
        <w:tc>
          <w:tcPr>
            <w:tcW w:w="444" w:type="pct"/>
            <w:vAlign w:val="center"/>
          </w:tcPr>
          <w:p>
            <w:pPr>
              <w:spacing w:line="240" w:lineRule="auto"/>
              <w:ind w:firstLine="0" w:firstLineChars="0"/>
              <w:jc w:val="center"/>
              <w:rPr>
                <w:rFonts w:cs="Times New Roman"/>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autoSpaceDE w:val="0"/>
              <w:autoSpaceDN w:val="0"/>
              <w:spacing w:line="240" w:lineRule="auto"/>
              <w:ind w:firstLine="0" w:firstLineChars="0"/>
              <w:jc w:val="center"/>
              <w:textAlignment w:val="bottom"/>
              <w:rPr>
                <w:rFonts w:ascii="宋体" w:hAnsi="宋体"/>
                <w:sz w:val="21"/>
                <w:szCs w:val="21"/>
              </w:rPr>
            </w:pPr>
            <w:r>
              <w:rPr>
                <w:rFonts w:hint="eastAsia" w:ascii="宋体" w:hAnsi="宋体" w:cs="Times New Roman"/>
                <w:sz w:val="21"/>
                <w:szCs w:val="21"/>
              </w:rPr>
              <w:t>（24）</w:t>
            </w:r>
          </w:p>
        </w:tc>
        <w:tc>
          <w:tcPr>
            <w:tcW w:w="2196" w:type="pct"/>
            <w:vAlign w:val="center"/>
          </w:tcPr>
          <w:p>
            <w:pPr>
              <w:autoSpaceDE w:val="0"/>
              <w:autoSpaceDN w:val="0"/>
              <w:spacing w:line="240" w:lineRule="auto"/>
              <w:ind w:firstLine="0" w:firstLineChars="0"/>
              <w:textAlignment w:val="bottom"/>
              <w:rPr>
                <w:sz w:val="21"/>
                <w:szCs w:val="21"/>
              </w:rPr>
            </w:pPr>
            <w:r>
              <w:rPr>
                <w:rFonts w:hint="eastAsia" w:ascii="宋体" w:hAnsi="宋体" w:cs="Times New Roman"/>
                <w:sz w:val="21"/>
                <w:szCs w:val="21"/>
              </w:rPr>
              <w:t>吊车吊运高温熔体中途，鸣铃警示，严禁从人员头上及重要设备上经过，不得与他物相碰撞擦拉。</w:t>
            </w:r>
          </w:p>
        </w:tc>
        <w:tc>
          <w:tcPr>
            <w:tcW w:w="1702" w:type="pct"/>
            <w:vAlign w:val="center"/>
          </w:tcPr>
          <w:p>
            <w:pPr>
              <w:spacing w:line="240" w:lineRule="auto"/>
              <w:ind w:firstLine="0" w:firstLineChars="0"/>
              <w:rPr>
                <w:rFonts w:ascii="宋体" w:hAnsi="宋体" w:cs="Times New Roman"/>
                <w:sz w:val="21"/>
                <w:szCs w:val="21"/>
              </w:rPr>
            </w:pPr>
            <w:r>
              <w:rPr>
                <w:rFonts w:hint="eastAsia" w:ascii="宋体" w:hAnsi="宋体"/>
                <w:sz w:val="21"/>
                <w:szCs w:val="21"/>
              </w:rPr>
              <w:t>现场检查企业落实了相关措施</w:t>
            </w:r>
          </w:p>
        </w:tc>
        <w:tc>
          <w:tcPr>
            <w:tcW w:w="444" w:type="pct"/>
            <w:vAlign w:val="center"/>
          </w:tcPr>
          <w:p>
            <w:pPr>
              <w:spacing w:line="240" w:lineRule="auto"/>
              <w:ind w:firstLine="0" w:firstLineChars="0"/>
              <w:jc w:val="center"/>
              <w:rPr>
                <w:rFonts w:cs="Times New Roman"/>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autoSpaceDE w:val="0"/>
              <w:autoSpaceDN w:val="0"/>
              <w:spacing w:line="240" w:lineRule="auto"/>
              <w:ind w:firstLine="0" w:firstLineChars="0"/>
              <w:jc w:val="center"/>
              <w:textAlignment w:val="bottom"/>
              <w:rPr>
                <w:rFonts w:ascii="宋体" w:hAnsi="宋体" w:cs="Times New Roman"/>
                <w:sz w:val="21"/>
                <w:szCs w:val="21"/>
              </w:rPr>
            </w:pPr>
            <w:r>
              <w:rPr>
                <w:rFonts w:hint="eastAsia" w:ascii="宋体" w:hAnsi="宋体" w:cs="Times New Roman"/>
                <w:sz w:val="21"/>
                <w:szCs w:val="21"/>
              </w:rPr>
              <w:t>（25）</w:t>
            </w:r>
          </w:p>
        </w:tc>
        <w:tc>
          <w:tcPr>
            <w:tcW w:w="2196" w:type="pct"/>
            <w:vAlign w:val="center"/>
          </w:tcPr>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rPr>
              <w:t>本项目设有循环水高位槽。高位槽高于中频炉，在停电的情况下能够有效保护中频炉不被烧穿。且高位槽内的水量能够满足中频炉10min的冷却水量。冷却循环水进口及出口均设置远程流量计和远程压力表，与冷却水进口处阀门实施紧急切断连锁。防止冷却水进入炉体内导致事故进一步加大。</w:t>
            </w:r>
          </w:p>
        </w:tc>
        <w:tc>
          <w:tcPr>
            <w:tcW w:w="1702" w:type="pct"/>
            <w:vAlign w:val="center"/>
          </w:tcPr>
          <w:p>
            <w:pPr>
              <w:autoSpaceDE w:val="0"/>
              <w:autoSpaceDN w:val="0"/>
              <w:spacing w:line="240" w:lineRule="auto"/>
              <w:ind w:firstLine="0" w:firstLineChars="0"/>
              <w:textAlignment w:val="bottom"/>
              <w:rPr>
                <w:rFonts w:ascii="宋体" w:hAnsi="宋体"/>
                <w:sz w:val="21"/>
                <w:szCs w:val="21"/>
              </w:rPr>
            </w:pPr>
            <w:r>
              <w:rPr>
                <w:rFonts w:hint="eastAsia" w:ascii="宋体" w:hAnsi="宋体"/>
                <w:sz w:val="21"/>
                <w:szCs w:val="21"/>
              </w:rPr>
              <w:t>项目设置</w:t>
            </w:r>
            <w:r>
              <w:rPr>
                <w:rFonts w:hint="eastAsia" w:ascii="宋体" w:hAnsi="宋体"/>
                <w:sz w:val="21"/>
                <w:szCs w:val="21"/>
                <w:lang w:val="en-US" w:eastAsia="zh-CN"/>
              </w:rPr>
              <w:t>了</w:t>
            </w:r>
            <w:r>
              <w:rPr>
                <w:rFonts w:hint="eastAsia" w:ascii="宋体" w:hAnsi="宋体" w:cs="Times New Roman"/>
                <w:sz w:val="21"/>
                <w:szCs w:val="21"/>
              </w:rPr>
              <w:t>循环水高位槽。</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autoSpaceDE w:val="0"/>
              <w:autoSpaceDN w:val="0"/>
              <w:spacing w:line="240" w:lineRule="auto"/>
              <w:ind w:firstLine="0" w:firstLineChars="0"/>
              <w:jc w:val="center"/>
              <w:textAlignment w:val="bottom"/>
              <w:rPr>
                <w:rFonts w:ascii="宋体" w:hAnsi="宋体" w:cs="Times New Roman"/>
                <w:sz w:val="21"/>
                <w:szCs w:val="21"/>
              </w:rPr>
            </w:pPr>
            <w:r>
              <w:rPr>
                <w:rFonts w:hint="eastAsia" w:ascii="宋体" w:hAnsi="宋体" w:cs="Times New Roman"/>
                <w:sz w:val="21"/>
                <w:szCs w:val="21"/>
              </w:rPr>
              <w:t>3）</w:t>
            </w:r>
          </w:p>
        </w:tc>
        <w:tc>
          <w:tcPr>
            <w:tcW w:w="2196" w:type="pct"/>
            <w:vAlign w:val="center"/>
          </w:tcPr>
          <w:p>
            <w:pPr>
              <w:autoSpaceDE w:val="0"/>
              <w:autoSpaceDN w:val="0"/>
              <w:spacing w:line="240" w:lineRule="auto"/>
              <w:ind w:firstLine="0" w:firstLineChars="0"/>
              <w:jc w:val="center"/>
              <w:textAlignment w:val="bottom"/>
              <w:rPr>
                <w:rFonts w:ascii="宋体" w:hAnsi="宋体" w:cs="Times New Roman"/>
                <w:sz w:val="21"/>
                <w:szCs w:val="21"/>
              </w:rPr>
            </w:pPr>
            <w:r>
              <w:rPr>
                <w:rFonts w:hint="eastAsia" w:ascii="宋体" w:hAnsi="宋体" w:cs="Times New Roman"/>
                <w:sz w:val="21"/>
                <w:szCs w:val="21"/>
              </w:rPr>
              <w:t>本项目的特种设备必须由具有相应资质的厂家制作，采购的特种设备证件齐全，经检验合格后方可安装使用。</w:t>
            </w:r>
          </w:p>
        </w:tc>
        <w:tc>
          <w:tcPr>
            <w:tcW w:w="1702" w:type="pct"/>
            <w:vAlign w:val="center"/>
          </w:tcPr>
          <w:p>
            <w:pPr>
              <w:spacing w:line="240" w:lineRule="auto"/>
              <w:ind w:firstLine="0" w:firstLineChars="0"/>
              <w:rPr>
                <w:rFonts w:ascii="宋体" w:hAnsi="宋体"/>
                <w:sz w:val="21"/>
                <w:szCs w:val="21"/>
              </w:rPr>
            </w:pPr>
            <w:r>
              <w:rPr>
                <w:rFonts w:hint="eastAsia" w:ascii="宋体" w:hAnsi="宋体" w:cs="Times New Roman"/>
                <w:sz w:val="21"/>
                <w:szCs w:val="21"/>
              </w:rPr>
              <w:t>特种设备由具有相应资质的厂家制作，证件齐全，经检验合格后安装使用。</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656" w:type="pct"/>
            <w:vAlign w:val="center"/>
          </w:tcPr>
          <w:p>
            <w:pPr>
              <w:spacing w:line="240" w:lineRule="auto"/>
              <w:ind w:firstLine="0" w:firstLineChars="0"/>
              <w:jc w:val="center"/>
              <w:rPr>
                <w:rFonts w:cs="Times New Roman"/>
                <w:b/>
                <w:bCs/>
                <w:sz w:val="21"/>
                <w:szCs w:val="21"/>
              </w:rPr>
            </w:pPr>
            <w:r>
              <w:rPr>
                <w:rFonts w:hint="eastAsia" w:cs="Times New Roman"/>
                <w:b/>
                <w:bCs/>
                <w:sz w:val="21"/>
                <w:szCs w:val="21"/>
              </w:rPr>
              <w:t>5.4.3</w:t>
            </w:r>
          </w:p>
        </w:tc>
        <w:tc>
          <w:tcPr>
            <w:tcW w:w="2196" w:type="pct"/>
            <w:vAlign w:val="center"/>
          </w:tcPr>
          <w:p>
            <w:pPr>
              <w:spacing w:line="240" w:lineRule="auto"/>
              <w:ind w:firstLine="0" w:firstLineChars="0"/>
              <w:jc w:val="center"/>
              <w:rPr>
                <w:rFonts w:cs="Times New Roman"/>
                <w:b/>
                <w:bCs/>
                <w:sz w:val="21"/>
                <w:szCs w:val="21"/>
              </w:rPr>
            </w:pPr>
            <w:r>
              <w:rPr>
                <w:rFonts w:hint="eastAsia" w:cs="Times New Roman"/>
                <w:b/>
                <w:bCs/>
                <w:sz w:val="21"/>
                <w:szCs w:val="21"/>
              </w:rPr>
              <w:t>防机械伤害安全技术对策措施</w:t>
            </w:r>
          </w:p>
        </w:tc>
        <w:tc>
          <w:tcPr>
            <w:tcW w:w="1702" w:type="pct"/>
            <w:vAlign w:val="center"/>
          </w:tcPr>
          <w:p>
            <w:pPr>
              <w:spacing w:line="240" w:lineRule="auto"/>
              <w:ind w:firstLine="0" w:firstLineChars="0"/>
              <w:jc w:val="center"/>
              <w:rPr>
                <w:rFonts w:cs="Times New Roman"/>
                <w:b/>
                <w:bCs/>
                <w:sz w:val="21"/>
                <w:szCs w:val="21"/>
              </w:rPr>
            </w:pPr>
            <w:r>
              <w:rPr>
                <w:rFonts w:hint="eastAsia" w:cs="Times New Roman"/>
                <w:b/>
                <w:bCs/>
                <w:sz w:val="21"/>
                <w:szCs w:val="21"/>
              </w:rPr>
              <w:t>/</w:t>
            </w:r>
          </w:p>
        </w:tc>
        <w:tc>
          <w:tcPr>
            <w:tcW w:w="444" w:type="pct"/>
            <w:vAlign w:val="center"/>
          </w:tcPr>
          <w:p>
            <w:pPr>
              <w:spacing w:line="240" w:lineRule="auto"/>
              <w:ind w:firstLine="0" w:firstLineChars="0"/>
              <w:jc w:val="center"/>
              <w:rPr>
                <w:sz w:val="21"/>
                <w:szCs w:val="21"/>
              </w:rPr>
            </w:pPr>
            <w:r>
              <w:rPr>
                <w:rFonts w:hint="eastAsia"/>
                <w:sz w:val="21"/>
                <w:szCs w:val="21"/>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autoSpaceDE w:val="0"/>
              <w:autoSpaceDN w:val="0"/>
              <w:spacing w:line="240" w:lineRule="auto"/>
              <w:ind w:firstLine="0" w:firstLineChars="0"/>
              <w:jc w:val="center"/>
              <w:textAlignment w:val="bottom"/>
              <w:rPr>
                <w:rFonts w:ascii="宋体" w:hAnsi="宋体"/>
                <w:sz w:val="21"/>
                <w:szCs w:val="21"/>
              </w:rPr>
            </w:pPr>
            <w:r>
              <w:rPr>
                <w:rFonts w:hint="eastAsia" w:ascii="宋体" w:hAnsi="宋体"/>
                <w:sz w:val="21"/>
                <w:szCs w:val="21"/>
              </w:rPr>
              <w:t>1）</w:t>
            </w:r>
          </w:p>
        </w:tc>
        <w:tc>
          <w:tcPr>
            <w:tcW w:w="2196" w:type="pct"/>
            <w:vAlign w:val="center"/>
          </w:tcPr>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rPr>
              <w:t>投入使用的机械设备必须完好，安全防护措施齐全，大型设备有生产许可证、出厂合格证。</w:t>
            </w:r>
          </w:p>
        </w:tc>
        <w:tc>
          <w:tcPr>
            <w:tcW w:w="1702" w:type="pct"/>
            <w:vAlign w:val="center"/>
          </w:tcPr>
          <w:p>
            <w:pPr>
              <w:spacing w:line="240" w:lineRule="auto"/>
              <w:ind w:firstLine="0" w:firstLineChars="0"/>
              <w:rPr>
                <w:rFonts w:ascii="宋体" w:hAnsi="宋体"/>
                <w:sz w:val="21"/>
                <w:szCs w:val="21"/>
              </w:rPr>
            </w:pPr>
            <w:r>
              <w:rPr>
                <w:rFonts w:hint="eastAsia" w:ascii="宋体" w:hAnsi="宋体"/>
                <w:sz w:val="21"/>
                <w:szCs w:val="21"/>
              </w:rPr>
              <w:t>现场检查</w:t>
            </w:r>
            <w:r>
              <w:rPr>
                <w:rFonts w:hint="eastAsia" w:ascii="宋体" w:hAnsi="宋体" w:cs="Times New Roman"/>
                <w:sz w:val="21"/>
                <w:szCs w:val="21"/>
              </w:rPr>
              <w:t>机械设备完好，安全防护措施齐全，大型设备有生产许可证、出厂合格证。</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autoSpaceDE w:val="0"/>
              <w:autoSpaceDN w:val="0"/>
              <w:spacing w:line="240" w:lineRule="auto"/>
              <w:ind w:firstLine="0" w:firstLineChars="0"/>
              <w:jc w:val="center"/>
              <w:textAlignment w:val="bottom"/>
              <w:rPr>
                <w:rFonts w:ascii="宋体" w:hAnsi="宋体"/>
                <w:sz w:val="21"/>
                <w:szCs w:val="21"/>
              </w:rPr>
            </w:pPr>
            <w:r>
              <w:rPr>
                <w:rFonts w:hint="eastAsia" w:ascii="宋体" w:hAnsi="宋体"/>
                <w:sz w:val="21"/>
                <w:szCs w:val="21"/>
              </w:rPr>
              <w:t>2）</w:t>
            </w:r>
          </w:p>
        </w:tc>
        <w:tc>
          <w:tcPr>
            <w:tcW w:w="2196" w:type="pct"/>
            <w:vAlign w:val="center"/>
          </w:tcPr>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rPr>
              <w:t>作业人员经过培训上岗，特种作业人员持特种作业证上岗。</w:t>
            </w:r>
          </w:p>
        </w:tc>
        <w:tc>
          <w:tcPr>
            <w:tcW w:w="1702" w:type="pct"/>
            <w:vAlign w:val="center"/>
          </w:tcPr>
          <w:p>
            <w:pPr>
              <w:spacing w:line="240" w:lineRule="auto"/>
              <w:ind w:firstLine="0" w:firstLineChars="0"/>
              <w:rPr>
                <w:rFonts w:ascii="宋体" w:hAnsi="宋体"/>
                <w:sz w:val="21"/>
                <w:szCs w:val="21"/>
              </w:rPr>
            </w:pPr>
            <w:r>
              <w:rPr>
                <w:rFonts w:hint="eastAsia" w:ascii="宋体" w:hAnsi="宋体" w:cs="Times New Roman"/>
                <w:sz w:val="21"/>
                <w:szCs w:val="21"/>
              </w:rPr>
              <w:t>作业人员经过培训上岗，特种作业人员持特种作业证上岗。</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autoSpaceDE w:val="0"/>
              <w:autoSpaceDN w:val="0"/>
              <w:spacing w:line="240" w:lineRule="auto"/>
              <w:ind w:firstLine="0" w:firstLineChars="0"/>
              <w:jc w:val="center"/>
              <w:textAlignment w:val="bottom"/>
              <w:rPr>
                <w:rFonts w:ascii="宋体" w:hAnsi="宋体"/>
                <w:sz w:val="21"/>
                <w:szCs w:val="21"/>
              </w:rPr>
            </w:pPr>
            <w:r>
              <w:rPr>
                <w:rFonts w:hint="eastAsia" w:ascii="宋体" w:hAnsi="宋体"/>
                <w:sz w:val="21"/>
                <w:szCs w:val="21"/>
              </w:rPr>
              <w:t>3）</w:t>
            </w:r>
          </w:p>
        </w:tc>
        <w:tc>
          <w:tcPr>
            <w:tcW w:w="2196" w:type="pct"/>
            <w:vAlign w:val="center"/>
          </w:tcPr>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rPr>
              <w:t>机械设备安装后应按规定办理安装验收手续，经检测合格后才能使用。</w:t>
            </w:r>
          </w:p>
        </w:tc>
        <w:tc>
          <w:tcPr>
            <w:tcW w:w="1702" w:type="pct"/>
            <w:vAlign w:val="center"/>
          </w:tcPr>
          <w:p>
            <w:pPr>
              <w:spacing w:line="240" w:lineRule="auto"/>
              <w:ind w:firstLine="0" w:firstLineChars="0"/>
              <w:rPr>
                <w:rFonts w:ascii="宋体" w:hAnsi="宋体"/>
                <w:sz w:val="21"/>
                <w:szCs w:val="21"/>
              </w:rPr>
            </w:pPr>
            <w:r>
              <w:rPr>
                <w:rFonts w:hint="eastAsia" w:ascii="宋体" w:hAnsi="宋体" w:cs="Times New Roman"/>
                <w:sz w:val="21"/>
                <w:szCs w:val="21"/>
              </w:rPr>
              <w:t>机械设备安装后按规定办理安装验收手续，经检测合格后使用。</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autoSpaceDE w:val="0"/>
              <w:autoSpaceDN w:val="0"/>
              <w:spacing w:line="240" w:lineRule="auto"/>
              <w:ind w:firstLine="0" w:firstLineChars="0"/>
              <w:jc w:val="center"/>
              <w:textAlignment w:val="bottom"/>
              <w:rPr>
                <w:rFonts w:ascii="宋体" w:hAnsi="宋体"/>
                <w:sz w:val="21"/>
                <w:szCs w:val="21"/>
              </w:rPr>
            </w:pPr>
            <w:r>
              <w:rPr>
                <w:rFonts w:hint="eastAsia" w:ascii="宋体" w:hAnsi="宋体"/>
                <w:sz w:val="21"/>
                <w:szCs w:val="21"/>
              </w:rPr>
              <w:t>4）</w:t>
            </w:r>
          </w:p>
        </w:tc>
        <w:tc>
          <w:tcPr>
            <w:tcW w:w="2196" w:type="pct"/>
            <w:vAlign w:val="center"/>
          </w:tcPr>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rPr>
              <w:t>作业人员必须佩戴好劳动保护用品，严格按说明书及安全操作规程进行操作。</w:t>
            </w:r>
          </w:p>
        </w:tc>
        <w:tc>
          <w:tcPr>
            <w:tcW w:w="1702" w:type="pct"/>
            <w:vAlign w:val="center"/>
          </w:tcPr>
          <w:p>
            <w:pPr>
              <w:spacing w:line="240" w:lineRule="auto"/>
              <w:ind w:firstLine="0" w:firstLineChars="0"/>
              <w:rPr>
                <w:rFonts w:ascii="宋体" w:hAnsi="宋体"/>
                <w:sz w:val="21"/>
                <w:szCs w:val="21"/>
              </w:rPr>
            </w:pPr>
            <w:r>
              <w:rPr>
                <w:rFonts w:hint="eastAsia" w:ascii="宋体" w:hAnsi="宋体"/>
                <w:sz w:val="21"/>
                <w:szCs w:val="21"/>
              </w:rPr>
              <w:t>现场检查企业落实了相关措施</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autoSpaceDE w:val="0"/>
              <w:autoSpaceDN w:val="0"/>
              <w:spacing w:line="240" w:lineRule="auto"/>
              <w:ind w:firstLine="0" w:firstLineChars="0"/>
              <w:jc w:val="center"/>
              <w:textAlignment w:val="bottom"/>
              <w:rPr>
                <w:rFonts w:ascii="宋体" w:hAnsi="宋体"/>
                <w:sz w:val="21"/>
                <w:szCs w:val="21"/>
              </w:rPr>
            </w:pPr>
            <w:r>
              <w:rPr>
                <w:rFonts w:hint="eastAsia" w:ascii="宋体" w:hAnsi="宋体"/>
                <w:sz w:val="21"/>
                <w:szCs w:val="21"/>
              </w:rPr>
              <w:t>5）</w:t>
            </w:r>
          </w:p>
        </w:tc>
        <w:tc>
          <w:tcPr>
            <w:tcW w:w="2196" w:type="pct"/>
            <w:vAlign w:val="center"/>
          </w:tcPr>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rPr>
              <w:t>对机械设备的维护、保养、必须在停机状态下进行。</w:t>
            </w:r>
          </w:p>
        </w:tc>
        <w:tc>
          <w:tcPr>
            <w:tcW w:w="1702" w:type="pct"/>
            <w:vAlign w:val="center"/>
          </w:tcPr>
          <w:p>
            <w:pPr>
              <w:spacing w:line="240" w:lineRule="auto"/>
              <w:ind w:firstLine="0" w:firstLineChars="0"/>
              <w:rPr>
                <w:rFonts w:ascii="宋体" w:hAnsi="宋体"/>
                <w:sz w:val="21"/>
                <w:szCs w:val="21"/>
              </w:rPr>
            </w:pPr>
            <w:r>
              <w:rPr>
                <w:rFonts w:hint="eastAsia" w:ascii="宋体" w:hAnsi="宋体"/>
                <w:sz w:val="21"/>
                <w:szCs w:val="21"/>
              </w:rPr>
              <w:t>现场检查企业落实了相关措施</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autoSpaceDE w:val="0"/>
              <w:autoSpaceDN w:val="0"/>
              <w:spacing w:line="240" w:lineRule="auto"/>
              <w:ind w:firstLine="0" w:firstLineChars="0"/>
              <w:jc w:val="center"/>
              <w:textAlignment w:val="bottom"/>
              <w:rPr>
                <w:rFonts w:ascii="宋体" w:hAnsi="宋体"/>
                <w:sz w:val="21"/>
                <w:szCs w:val="21"/>
              </w:rPr>
            </w:pPr>
            <w:r>
              <w:rPr>
                <w:rFonts w:hint="eastAsia" w:ascii="宋体" w:hAnsi="宋体"/>
                <w:sz w:val="21"/>
                <w:szCs w:val="21"/>
              </w:rPr>
              <w:t>6）</w:t>
            </w:r>
          </w:p>
        </w:tc>
        <w:tc>
          <w:tcPr>
            <w:tcW w:w="2196" w:type="pct"/>
            <w:vAlign w:val="center"/>
          </w:tcPr>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rPr>
              <w:t>加强对机械设备的维修保养，保持机械设备处于良好的技术状态，各种安全防护设施齐全可靠。</w:t>
            </w:r>
          </w:p>
        </w:tc>
        <w:tc>
          <w:tcPr>
            <w:tcW w:w="1702" w:type="pct"/>
            <w:vAlign w:val="center"/>
          </w:tcPr>
          <w:p>
            <w:pPr>
              <w:spacing w:line="240" w:lineRule="auto"/>
              <w:ind w:firstLine="0" w:firstLineChars="0"/>
              <w:rPr>
                <w:rFonts w:ascii="宋体" w:hAnsi="宋体"/>
                <w:sz w:val="21"/>
                <w:szCs w:val="21"/>
              </w:rPr>
            </w:pPr>
            <w:r>
              <w:rPr>
                <w:rFonts w:hint="eastAsia" w:ascii="宋体" w:hAnsi="宋体"/>
                <w:sz w:val="21"/>
                <w:szCs w:val="21"/>
              </w:rPr>
              <w:t>现场检查企业落实了相关措施</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autoSpaceDE w:val="0"/>
              <w:autoSpaceDN w:val="0"/>
              <w:spacing w:line="240" w:lineRule="auto"/>
              <w:ind w:firstLine="0" w:firstLineChars="0"/>
              <w:jc w:val="center"/>
              <w:textAlignment w:val="bottom"/>
              <w:rPr>
                <w:rFonts w:ascii="宋体" w:hAnsi="宋体"/>
                <w:sz w:val="21"/>
                <w:szCs w:val="21"/>
              </w:rPr>
            </w:pPr>
            <w:r>
              <w:rPr>
                <w:rFonts w:hint="eastAsia" w:ascii="宋体" w:hAnsi="宋体"/>
                <w:sz w:val="21"/>
                <w:szCs w:val="21"/>
              </w:rPr>
              <w:t>7）</w:t>
            </w:r>
          </w:p>
        </w:tc>
        <w:tc>
          <w:tcPr>
            <w:tcW w:w="2196" w:type="pct"/>
            <w:vAlign w:val="center"/>
          </w:tcPr>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rPr>
              <w:t>设备的运转部位设置安全防护装置。项目机械设备采取的安全联锁装置：动力源切断后再重新接通时会对检查、维修人员构成危险的生产设备。有止动联锁控制装置；作直线运动的部件，其允许极限位设置联锁装置，限位开关作用于切断运动部件的动力，如气源或电源或制动器或离合器分离等；用人手直接取件、装件违规作业时，传感器作用于切断动模的动力源的联锁装置；对联锁装置进行有效性验证。</w:t>
            </w:r>
          </w:p>
        </w:tc>
        <w:tc>
          <w:tcPr>
            <w:tcW w:w="1702" w:type="pct"/>
            <w:vAlign w:val="center"/>
          </w:tcPr>
          <w:p>
            <w:pPr>
              <w:spacing w:line="240" w:lineRule="auto"/>
              <w:ind w:firstLine="0" w:firstLineChars="0"/>
              <w:rPr>
                <w:rFonts w:ascii="宋体" w:hAnsi="宋体"/>
                <w:sz w:val="21"/>
                <w:szCs w:val="21"/>
              </w:rPr>
            </w:pPr>
            <w:r>
              <w:rPr>
                <w:rFonts w:hint="eastAsia" w:ascii="宋体" w:hAnsi="宋体" w:cs="Times New Roman"/>
                <w:sz w:val="21"/>
                <w:szCs w:val="21"/>
              </w:rPr>
              <w:t>设备的运转部位设置的安全防护装置符合要求。</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autoSpaceDE w:val="0"/>
              <w:autoSpaceDN w:val="0"/>
              <w:spacing w:line="240" w:lineRule="auto"/>
              <w:ind w:firstLine="0" w:firstLineChars="0"/>
              <w:jc w:val="center"/>
              <w:textAlignment w:val="bottom"/>
              <w:rPr>
                <w:rFonts w:ascii="宋体" w:hAnsi="宋体"/>
                <w:sz w:val="21"/>
                <w:szCs w:val="21"/>
              </w:rPr>
            </w:pPr>
            <w:r>
              <w:rPr>
                <w:rFonts w:hint="eastAsia" w:ascii="宋体" w:hAnsi="宋体"/>
                <w:sz w:val="21"/>
                <w:szCs w:val="21"/>
              </w:rPr>
              <w:t>8）</w:t>
            </w:r>
          </w:p>
        </w:tc>
        <w:tc>
          <w:tcPr>
            <w:tcW w:w="2196" w:type="pct"/>
            <w:vAlign w:val="center"/>
          </w:tcPr>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rPr>
              <w:t>设备传动装置的非标准设备及生产线，定期维护其传动带（链）、明齿轮、联轴器、带轮、飞轮和转轴等转动部位的突出部位的防护罩。</w:t>
            </w:r>
          </w:p>
        </w:tc>
        <w:tc>
          <w:tcPr>
            <w:tcW w:w="1702" w:type="pct"/>
            <w:vAlign w:val="center"/>
          </w:tcPr>
          <w:p>
            <w:pPr>
              <w:spacing w:line="240" w:lineRule="auto"/>
              <w:ind w:firstLine="0" w:firstLineChars="0"/>
              <w:jc w:val="center"/>
              <w:rPr>
                <w:rFonts w:ascii="宋体" w:hAnsi="宋体"/>
                <w:sz w:val="21"/>
                <w:szCs w:val="21"/>
              </w:rPr>
            </w:pPr>
            <w:r>
              <w:rPr>
                <w:rFonts w:hint="eastAsia" w:ascii="宋体" w:hAnsi="宋体" w:cs="Times New Roman"/>
                <w:sz w:val="21"/>
                <w:szCs w:val="21"/>
              </w:rPr>
              <w:t>设备的维护符合要求。</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autoSpaceDE w:val="0"/>
              <w:autoSpaceDN w:val="0"/>
              <w:spacing w:line="240" w:lineRule="auto"/>
              <w:ind w:firstLine="0" w:firstLineChars="0"/>
              <w:jc w:val="center"/>
              <w:textAlignment w:val="bottom"/>
              <w:rPr>
                <w:rFonts w:ascii="宋体" w:hAnsi="宋体"/>
                <w:sz w:val="21"/>
                <w:szCs w:val="21"/>
              </w:rPr>
            </w:pPr>
            <w:r>
              <w:rPr>
                <w:rFonts w:hint="eastAsia" w:ascii="宋体" w:hAnsi="宋体" w:cs="Times New Roman"/>
                <w:sz w:val="21"/>
                <w:szCs w:val="21"/>
              </w:rPr>
              <w:t>9）</w:t>
            </w:r>
          </w:p>
        </w:tc>
        <w:tc>
          <w:tcPr>
            <w:tcW w:w="2196" w:type="pct"/>
            <w:vAlign w:val="center"/>
          </w:tcPr>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rPr>
              <w:t>机床设置挡板，防止零件或切屑甩出伤人。</w:t>
            </w:r>
          </w:p>
        </w:tc>
        <w:tc>
          <w:tcPr>
            <w:tcW w:w="1702" w:type="pct"/>
            <w:vAlign w:val="center"/>
          </w:tcPr>
          <w:p>
            <w:pPr>
              <w:spacing w:line="240" w:lineRule="auto"/>
              <w:ind w:firstLine="0" w:firstLineChars="0"/>
              <w:rPr>
                <w:rFonts w:ascii="宋体" w:hAnsi="宋体"/>
                <w:sz w:val="21"/>
                <w:szCs w:val="21"/>
              </w:rPr>
            </w:pPr>
            <w:r>
              <w:rPr>
                <w:rFonts w:hint="eastAsia" w:ascii="宋体" w:hAnsi="宋体" w:cs="Times New Roman"/>
                <w:sz w:val="21"/>
                <w:szCs w:val="21"/>
              </w:rPr>
              <w:t>机床设置挡板，防止零件或切屑甩出伤人。</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autoSpaceDE w:val="0"/>
              <w:autoSpaceDN w:val="0"/>
              <w:spacing w:line="240" w:lineRule="auto"/>
              <w:ind w:firstLine="0" w:firstLineChars="0"/>
              <w:jc w:val="center"/>
              <w:textAlignment w:val="bottom"/>
              <w:rPr>
                <w:rFonts w:ascii="宋体" w:hAnsi="宋体"/>
                <w:sz w:val="21"/>
                <w:szCs w:val="21"/>
              </w:rPr>
            </w:pPr>
            <w:r>
              <w:rPr>
                <w:rFonts w:hint="eastAsia" w:ascii="宋体" w:hAnsi="宋体" w:cs="Times New Roman"/>
                <w:sz w:val="21"/>
                <w:szCs w:val="21"/>
              </w:rPr>
              <w:t>10）</w:t>
            </w:r>
          </w:p>
        </w:tc>
        <w:tc>
          <w:tcPr>
            <w:tcW w:w="2196" w:type="pct"/>
            <w:vAlign w:val="center"/>
          </w:tcPr>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rPr>
              <w:t>易引发机械伤害事故的场所，设置安全标志，如“禁止启动”“禁止合闸”“禁止转动”“禁止靠近”“禁止停留”“禁止触摸”“禁止伸入”“禁止戴手套”“注意安全”“当心机械伤人”等。</w:t>
            </w:r>
          </w:p>
        </w:tc>
        <w:tc>
          <w:tcPr>
            <w:tcW w:w="1702" w:type="pct"/>
            <w:vAlign w:val="center"/>
          </w:tcPr>
          <w:p>
            <w:pPr>
              <w:spacing w:line="240" w:lineRule="auto"/>
              <w:ind w:firstLine="0" w:firstLineChars="0"/>
              <w:rPr>
                <w:rFonts w:ascii="宋体" w:hAnsi="宋体"/>
                <w:sz w:val="21"/>
                <w:szCs w:val="21"/>
              </w:rPr>
            </w:pPr>
            <w:r>
              <w:rPr>
                <w:rFonts w:hint="eastAsia" w:ascii="宋体" w:hAnsi="宋体" w:cs="Times New Roman"/>
                <w:sz w:val="21"/>
                <w:szCs w:val="21"/>
              </w:rPr>
              <w:t>易引发机械伤害事故的场所，设置了安全标志。</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autoSpaceDE w:val="0"/>
              <w:autoSpaceDN w:val="0"/>
              <w:spacing w:line="240" w:lineRule="auto"/>
              <w:ind w:firstLine="0" w:firstLineChars="0"/>
              <w:jc w:val="center"/>
              <w:textAlignment w:val="bottom"/>
              <w:rPr>
                <w:rFonts w:ascii="宋体" w:hAnsi="宋体"/>
                <w:sz w:val="21"/>
                <w:szCs w:val="21"/>
              </w:rPr>
            </w:pPr>
            <w:r>
              <w:rPr>
                <w:rFonts w:hint="eastAsia" w:ascii="宋体" w:hAnsi="宋体" w:cs="Times New Roman"/>
                <w:sz w:val="21"/>
                <w:szCs w:val="21"/>
              </w:rPr>
              <w:t>11）</w:t>
            </w:r>
          </w:p>
        </w:tc>
        <w:tc>
          <w:tcPr>
            <w:tcW w:w="2196" w:type="pct"/>
            <w:vAlign w:val="center"/>
          </w:tcPr>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rPr>
              <w:t>操作面与机械设备保持良好间距，如身体与机械设备保持0.5m。</w:t>
            </w:r>
          </w:p>
        </w:tc>
        <w:tc>
          <w:tcPr>
            <w:tcW w:w="1702" w:type="pct"/>
            <w:vAlign w:val="center"/>
          </w:tcPr>
          <w:p>
            <w:pPr>
              <w:spacing w:line="240" w:lineRule="auto"/>
              <w:ind w:firstLine="0" w:firstLineChars="0"/>
              <w:rPr>
                <w:rFonts w:ascii="宋体" w:hAnsi="宋体"/>
                <w:sz w:val="21"/>
                <w:szCs w:val="21"/>
              </w:rPr>
            </w:pPr>
            <w:r>
              <w:rPr>
                <w:rFonts w:hint="eastAsia" w:ascii="宋体" w:hAnsi="宋体" w:cs="Times New Roman"/>
                <w:sz w:val="21"/>
                <w:szCs w:val="21"/>
              </w:rPr>
              <w:t>操作面与机械设备间距符合要求。</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656" w:type="pct"/>
            <w:vAlign w:val="center"/>
          </w:tcPr>
          <w:p>
            <w:pPr>
              <w:autoSpaceDE w:val="0"/>
              <w:autoSpaceDN w:val="0"/>
              <w:spacing w:line="240" w:lineRule="auto"/>
              <w:ind w:firstLine="0" w:firstLineChars="0"/>
              <w:jc w:val="center"/>
              <w:textAlignment w:val="bottom"/>
              <w:rPr>
                <w:rFonts w:ascii="宋体" w:hAnsi="宋体" w:cs="Times New Roman"/>
                <w:b/>
                <w:bCs/>
                <w:sz w:val="21"/>
                <w:szCs w:val="21"/>
              </w:rPr>
            </w:pPr>
            <w:r>
              <w:rPr>
                <w:rFonts w:hint="eastAsia" w:ascii="宋体" w:hAnsi="宋体" w:cs="Times New Roman"/>
                <w:b/>
                <w:bCs/>
                <w:sz w:val="21"/>
                <w:szCs w:val="21"/>
              </w:rPr>
              <w:t>5.4.4</w:t>
            </w:r>
          </w:p>
        </w:tc>
        <w:tc>
          <w:tcPr>
            <w:tcW w:w="2196" w:type="pct"/>
            <w:vAlign w:val="center"/>
          </w:tcPr>
          <w:p>
            <w:pPr>
              <w:autoSpaceDE w:val="0"/>
              <w:autoSpaceDN w:val="0"/>
              <w:spacing w:line="240" w:lineRule="auto"/>
              <w:ind w:firstLine="0" w:firstLineChars="0"/>
              <w:textAlignment w:val="bottom"/>
              <w:rPr>
                <w:rFonts w:ascii="宋体" w:hAnsi="宋体" w:cs="Times New Roman"/>
                <w:b/>
                <w:bCs/>
                <w:sz w:val="21"/>
                <w:szCs w:val="21"/>
              </w:rPr>
            </w:pPr>
            <w:bookmarkStart w:id="388" w:name="_Toc76119916"/>
            <w:r>
              <w:rPr>
                <w:rFonts w:hint="eastAsia" w:ascii="宋体" w:hAnsi="宋体" w:cs="Times New Roman"/>
                <w:b/>
                <w:bCs/>
                <w:sz w:val="21"/>
                <w:szCs w:val="21"/>
              </w:rPr>
              <w:t>特种设备安全措施</w:t>
            </w:r>
            <w:bookmarkEnd w:id="388"/>
          </w:p>
        </w:tc>
        <w:tc>
          <w:tcPr>
            <w:tcW w:w="1702" w:type="pct"/>
            <w:vAlign w:val="center"/>
          </w:tcPr>
          <w:p>
            <w:pPr>
              <w:autoSpaceDE w:val="0"/>
              <w:autoSpaceDN w:val="0"/>
              <w:spacing w:line="240" w:lineRule="auto"/>
              <w:ind w:firstLine="0" w:firstLineChars="0"/>
              <w:jc w:val="center"/>
              <w:textAlignment w:val="bottom"/>
              <w:rPr>
                <w:rFonts w:ascii="宋体" w:hAnsi="宋体" w:cs="Times New Roman"/>
                <w:sz w:val="21"/>
                <w:szCs w:val="21"/>
              </w:rPr>
            </w:pPr>
            <w:r>
              <w:rPr>
                <w:rFonts w:hint="eastAsia" w:ascii="宋体" w:hAnsi="宋体" w:cs="Times New Roman"/>
                <w:sz w:val="21"/>
                <w:szCs w:val="21"/>
              </w:rPr>
              <w:t>/</w:t>
            </w:r>
          </w:p>
        </w:tc>
        <w:tc>
          <w:tcPr>
            <w:tcW w:w="444" w:type="pct"/>
            <w:vAlign w:val="center"/>
          </w:tcPr>
          <w:p>
            <w:pPr>
              <w:autoSpaceDE w:val="0"/>
              <w:autoSpaceDN w:val="0"/>
              <w:spacing w:line="240" w:lineRule="auto"/>
              <w:ind w:firstLine="0" w:firstLineChars="0"/>
              <w:jc w:val="center"/>
              <w:textAlignment w:val="bottom"/>
              <w:rPr>
                <w:rFonts w:ascii="宋体" w:hAnsi="宋体" w:cs="Times New Roman"/>
                <w:sz w:val="21"/>
                <w:szCs w:val="21"/>
              </w:rPr>
            </w:pPr>
            <w:r>
              <w:rPr>
                <w:rFonts w:hint="eastAsia" w:ascii="宋体" w:hAnsi="宋体" w:cs="Times New Roman"/>
                <w:sz w:val="21"/>
                <w:szCs w:val="21"/>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autoSpaceDE w:val="0"/>
              <w:autoSpaceDN w:val="0"/>
              <w:spacing w:line="240" w:lineRule="auto"/>
              <w:ind w:firstLine="0" w:firstLineChars="0"/>
              <w:jc w:val="center"/>
              <w:textAlignment w:val="bottom"/>
              <w:rPr>
                <w:rFonts w:ascii="宋体" w:hAnsi="宋体"/>
                <w:sz w:val="21"/>
                <w:szCs w:val="21"/>
              </w:rPr>
            </w:pPr>
            <w:r>
              <w:rPr>
                <w:rFonts w:hint="eastAsia" w:ascii="宋体" w:hAnsi="宋体"/>
                <w:sz w:val="21"/>
                <w:szCs w:val="21"/>
              </w:rPr>
              <w:t>1）</w:t>
            </w:r>
          </w:p>
        </w:tc>
        <w:tc>
          <w:tcPr>
            <w:tcW w:w="2196" w:type="pct"/>
            <w:vAlign w:val="center"/>
          </w:tcPr>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rPr>
              <w:t xml:space="preserve">设计要求 </w:t>
            </w:r>
          </w:p>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rPr>
              <w:t xml:space="preserve">设计严格执行国家、行业标准、规程、规范及有关细则、规定的要求，由具备设计资质的专业人员承担。通过对设备结构、材质的合理设计选择，以及对相关制造厂家的技术能力、制造能力、应用实践业绩进行慎重考察、确认，以确保压力容器、管道制造、密封质量，压力容器的安全附件等齐全有效。 </w:t>
            </w:r>
          </w:p>
        </w:tc>
        <w:tc>
          <w:tcPr>
            <w:tcW w:w="1702" w:type="pct"/>
            <w:vAlign w:val="center"/>
          </w:tcPr>
          <w:p>
            <w:pPr>
              <w:spacing w:line="240" w:lineRule="auto"/>
              <w:ind w:firstLine="0" w:firstLineChars="0"/>
              <w:rPr>
                <w:rFonts w:ascii="宋体" w:hAnsi="宋体"/>
                <w:sz w:val="21"/>
                <w:szCs w:val="21"/>
              </w:rPr>
            </w:pPr>
            <w:r>
              <w:rPr>
                <w:rFonts w:hint="eastAsia" w:ascii="宋体" w:hAnsi="宋体"/>
                <w:sz w:val="21"/>
                <w:szCs w:val="21"/>
              </w:rPr>
              <w:t>特种设备购自有资质专业制造厂家，</w:t>
            </w:r>
            <w:r>
              <w:rPr>
                <w:rFonts w:hint="eastAsia" w:ascii="宋体" w:hAnsi="宋体" w:cs="Times New Roman"/>
                <w:sz w:val="21"/>
                <w:szCs w:val="21"/>
              </w:rPr>
              <w:t>压力容器、管道制造、密封质量，压力容器的安全附件等齐全有效。</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656" w:type="pct"/>
            <w:vAlign w:val="center"/>
          </w:tcPr>
          <w:p>
            <w:pPr>
              <w:autoSpaceDE w:val="0"/>
              <w:autoSpaceDN w:val="0"/>
              <w:spacing w:line="240" w:lineRule="auto"/>
              <w:ind w:firstLine="0" w:firstLineChars="0"/>
              <w:jc w:val="center"/>
              <w:textAlignment w:val="bottom"/>
              <w:rPr>
                <w:rFonts w:ascii="宋体" w:hAnsi="宋体"/>
                <w:sz w:val="21"/>
                <w:szCs w:val="21"/>
              </w:rPr>
            </w:pPr>
            <w:r>
              <w:rPr>
                <w:rFonts w:hint="eastAsia" w:ascii="宋体" w:hAnsi="宋体"/>
                <w:sz w:val="21"/>
                <w:szCs w:val="21"/>
              </w:rPr>
              <w:t>2）</w:t>
            </w:r>
          </w:p>
        </w:tc>
        <w:tc>
          <w:tcPr>
            <w:tcW w:w="2196" w:type="pct"/>
            <w:vAlign w:val="center"/>
          </w:tcPr>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rPr>
              <w:t xml:space="preserve">特种设备的安装及运行安全 </w:t>
            </w:r>
          </w:p>
        </w:tc>
        <w:tc>
          <w:tcPr>
            <w:tcW w:w="1702"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w:t>
            </w:r>
          </w:p>
        </w:tc>
        <w:tc>
          <w:tcPr>
            <w:tcW w:w="444" w:type="pct"/>
            <w:vAlign w:val="center"/>
          </w:tcPr>
          <w:p>
            <w:pPr>
              <w:spacing w:line="240" w:lineRule="auto"/>
              <w:ind w:firstLine="0" w:firstLineChars="0"/>
              <w:jc w:val="center"/>
              <w:rPr>
                <w:sz w:val="21"/>
                <w:szCs w:val="21"/>
              </w:rPr>
            </w:pPr>
            <w:r>
              <w:rPr>
                <w:rFonts w:hint="eastAsia"/>
                <w:sz w:val="21"/>
                <w:szCs w:val="21"/>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autoSpaceDE w:val="0"/>
              <w:autoSpaceDN w:val="0"/>
              <w:spacing w:line="240" w:lineRule="auto"/>
              <w:ind w:firstLine="0" w:firstLineChars="0"/>
              <w:jc w:val="center"/>
              <w:textAlignment w:val="bottom"/>
              <w:rPr>
                <w:rFonts w:ascii="宋体" w:hAnsi="宋体"/>
                <w:b/>
                <w:bCs/>
                <w:sz w:val="21"/>
                <w:szCs w:val="21"/>
              </w:rPr>
            </w:pPr>
            <w:r>
              <w:rPr>
                <w:rFonts w:hint="eastAsia" w:ascii="宋体" w:hAnsi="宋体"/>
                <w:sz w:val="21"/>
                <w:szCs w:val="21"/>
              </w:rPr>
              <w:t>（1）</w:t>
            </w:r>
          </w:p>
        </w:tc>
        <w:tc>
          <w:tcPr>
            <w:tcW w:w="2196" w:type="pct"/>
            <w:vAlign w:val="center"/>
          </w:tcPr>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rPr>
              <w:t xml:space="preserve">特种设备的安装、维护保养由具有认可资格的单位进行。 </w:t>
            </w:r>
          </w:p>
        </w:tc>
        <w:tc>
          <w:tcPr>
            <w:tcW w:w="1702" w:type="pct"/>
            <w:vAlign w:val="center"/>
          </w:tcPr>
          <w:p>
            <w:pPr>
              <w:spacing w:line="240" w:lineRule="auto"/>
              <w:ind w:firstLine="0" w:firstLineChars="0"/>
              <w:rPr>
                <w:rFonts w:ascii="宋体" w:hAnsi="宋体"/>
                <w:sz w:val="21"/>
                <w:szCs w:val="21"/>
              </w:rPr>
            </w:pPr>
            <w:r>
              <w:rPr>
                <w:rFonts w:hint="eastAsia" w:ascii="宋体" w:hAnsi="宋体" w:cs="Times New Roman"/>
                <w:sz w:val="21"/>
                <w:szCs w:val="21"/>
              </w:rPr>
              <w:t xml:space="preserve">特种设备的安装、维护保养由具有认可资格的单位进行。 </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autoSpaceDE w:val="0"/>
              <w:autoSpaceDN w:val="0"/>
              <w:spacing w:line="240" w:lineRule="auto"/>
              <w:ind w:firstLine="0" w:firstLineChars="0"/>
              <w:jc w:val="center"/>
              <w:textAlignment w:val="bottom"/>
              <w:rPr>
                <w:rFonts w:ascii="宋体" w:hAnsi="宋体"/>
                <w:sz w:val="21"/>
                <w:szCs w:val="21"/>
              </w:rPr>
            </w:pPr>
            <w:r>
              <w:rPr>
                <w:rFonts w:hint="eastAsia" w:ascii="宋体" w:hAnsi="宋体"/>
                <w:sz w:val="21"/>
                <w:szCs w:val="21"/>
              </w:rPr>
              <w:t>（2）</w:t>
            </w:r>
          </w:p>
        </w:tc>
        <w:tc>
          <w:tcPr>
            <w:tcW w:w="2196" w:type="pct"/>
            <w:vAlign w:val="center"/>
          </w:tcPr>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rPr>
              <w:t xml:space="preserve">新增特种设备在投入使用前，使用单位必须持监督检验机构出具的验收检验报告和安全检验合格标志，到所在地区的地、市级以上特种设备安全监察机构注册登记。将安全检验合格标志固定在特种设备显著位置上后，方可以投入正式使用。 </w:t>
            </w:r>
          </w:p>
        </w:tc>
        <w:tc>
          <w:tcPr>
            <w:tcW w:w="1702" w:type="pct"/>
            <w:vAlign w:val="center"/>
          </w:tcPr>
          <w:p>
            <w:pPr>
              <w:spacing w:line="240" w:lineRule="auto"/>
              <w:ind w:firstLine="0" w:firstLineChars="0"/>
              <w:rPr>
                <w:rFonts w:ascii="宋体" w:hAnsi="宋体"/>
                <w:sz w:val="21"/>
                <w:szCs w:val="21"/>
              </w:rPr>
            </w:pPr>
            <w:r>
              <w:rPr>
                <w:rFonts w:hint="eastAsia" w:ascii="宋体" w:hAnsi="宋体" w:cs="Times New Roman"/>
                <w:sz w:val="21"/>
                <w:szCs w:val="21"/>
              </w:rPr>
              <w:t xml:space="preserve">厂内特种设备在投入使用前，均到楚雄市特种设备安全监察机构注册登记。将安全检验合格标志固定在特种设备显著位置上后，方可以投入正式使用。 </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autoSpaceDE w:val="0"/>
              <w:autoSpaceDN w:val="0"/>
              <w:spacing w:line="240" w:lineRule="auto"/>
              <w:ind w:firstLine="0" w:firstLineChars="0"/>
              <w:jc w:val="center"/>
              <w:textAlignment w:val="bottom"/>
              <w:rPr>
                <w:rFonts w:ascii="宋体" w:hAnsi="宋体"/>
                <w:sz w:val="21"/>
                <w:szCs w:val="21"/>
              </w:rPr>
            </w:pPr>
            <w:r>
              <w:rPr>
                <w:rFonts w:hint="eastAsia" w:ascii="宋体" w:hAnsi="宋体"/>
                <w:sz w:val="21"/>
                <w:szCs w:val="21"/>
              </w:rPr>
              <w:t>（3）</w:t>
            </w:r>
          </w:p>
        </w:tc>
        <w:tc>
          <w:tcPr>
            <w:tcW w:w="2196" w:type="pct"/>
            <w:vAlign w:val="center"/>
          </w:tcPr>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rPr>
              <w:t>使用单位必须制定并严格执行以岗位责任制为核心，包括技术档案管理、安全操作、常规检查、维修保养、定期报检和应急措施等在内的特种设备安全使用和运营的管理制度，必须保证特种设备技术档案的完整、准确。</w:t>
            </w:r>
          </w:p>
        </w:tc>
        <w:tc>
          <w:tcPr>
            <w:tcW w:w="1702" w:type="pct"/>
            <w:vAlign w:val="center"/>
          </w:tcPr>
          <w:p>
            <w:pPr>
              <w:spacing w:line="240" w:lineRule="auto"/>
              <w:ind w:firstLine="0" w:firstLineChars="0"/>
              <w:rPr>
                <w:rFonts w:ascii="宋体" w:hAnsi="宋体"/>
                <w:sz w:val="21"/>
                <w:szCs w:val="21"/>
              </w:rPr>
            </w:pPr>
            <w:r>
              <w:rPr>
                <w:rFonts w:hint="eastAsia" w:ascii="宋体" w:hAnsi="宋体" w:cs="Times New Roman"/>
                <w:sz w:val="21"/>
                <w:szCs w:val="21"/>
              </w:rPr>
              <w:t>现场检查特种设备技术档案管理、安全操作、常规检查、维修保养、定期报检和应急措施等在内的特种设备安全使用和运营的管理制度完整、准确。</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autoSpaceDE w:val="0"/>
              <w:autoSpaceDN w:val="0"/>
              <w:spacing w:line="240" w:lineRule="auto"/>
              <w:ind w:firstLine="0" w:firstLineChars="0"/>
              <w:jc w:val="center"/>
              <w:textAlignment w:val="bottom"/>
              <w:rPr>
                <w:rFonts w:ascii="宋体" w:hAnsi="宋体"/>
                <w:sz w:val="21"/>
                <w:szCs w:val="21"/>
              </w:rPr>
            </w:pPr>
            <w:r>
              <w:rPr>
                <w:rFonts w:hint="eastAsia" w:ascii="宋体" w:hAnsi="宋体"/>
                <w:sz w:val="21"/>
                <w:szCs w:val="21"/>
              </w:rPr>
              <w:t>（4）</w:t>
            </w:r>
          </w:p>
        </w:tc>
        <w:tc>
          <w:tcPr>
            <w:tcW w:w="2196" w:type="pct"/>
            <w:vAlign w:val="center"/>
          </w:tcPr>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rPr>
              <w:t>特种设备作业人员（指特种设备安装、维修、保养、操作等作业的人员）必须经专业培训和考核，取得地、市级以上质量技术监督行政部门颁发的特种设备作业人员资格证书后，方可以从事相应工作。</w:t>
            </w:r>
          </w:p>
        </w:tc>
        <w:tc>
          <w:tcPr>
            <w:tcW w:w="1702" w:type="pct"/>
            <w:vAlign w:val="center"/>
          </w:tcPr>
          <w:p>
            <w:pPr>
              <w:spacing w:line="240" w:lineRule="auto"/>
              <w:ind w:firstLine="0" w:firstLineChars="0"/>
              <w:rPr>
                <w:rFonts w:ascii="宋体" w:hAnsi="宋体"/>
                <w:sz w:val="21"/>
                <w:szCs w:val="21"/>
              </w:rPr>
            </w:pPr>
            <w:r>
              <w:rPr>
                <w:rFonts w:hint="eastAsia" w:ascii="宋体" w:hAnsi="宋体" w:cs="Times New Roman"/>
                <w:sz w:val="21"/>
                <w:szCs w:val="21"/>
              </w:rPr>
              <w:t>特种设备作业人员按要求持证。</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autoSpaceDE w:val="0"/>
              <w:autoSpaceDN w:val="0"/>
              <w:spacing w:line="240" w:lineRule="auto"/>
              <w:ind w:firstLine="0" w:firstLineChars="0"/>
              <w:jc w:val="center"/>
              <w:textAlignment w:val="bottom"/>
              <w:rPr>
                <w:rFonts w:ascii="宋体" w:hAnsi="宋体"/>
                <w:sz w:val="21"/>
                <w:szCs w:val="21"/>
              </w:rPr>
            </w:pPr>
            <w:r>
              <w:rPr>
                <w:rFonts w:hint="eastAsia" w:ascii="宋体" w:hAnsi="宋体"/>
                <w:sz w:val="21"/>
                <w:szCs w:val="21"/>
              </w:rPr>
              <w:t>（5）</w:t>
            </w:r>
          </w:p>
        </w:tc>
        <w:tc>
          <w:tcPr>
            <w:tcW w:w="2196" w:type="pct"/>
            <w:vAlign w:val="center"/>
          </w:tcPr>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rPr>
              <w:t xml:space="preserve">使用单位必须对在用特种设备进行日常的维修保养。特种设备的维修保养必须由有资格的人员进行。 </w:t>
            </w:r>
          </w:p>
        </w:tc>
        <w:tc>
          <w:tcPr>
            <w:tcW w:w="1702" w:type="pct"/>
            <w:vAlign w:val="center"/>
          </w:tcPr>
          <w:p>
            <w:pPr>
              <w:spacing w:line="240" w:lineRule="auto"/>
              <w:ind w:firstLine="0" w:firstLineChars="0"/>
              <w:rPr>
                <w:rFonts w:ascii="宋体" w:hAnsi="宋体"/>
                <w:sz w:val="21"/>
                <w:szCs w:val="21"/>
              </w:rPr>
            </w:pPr>
            <w:r>
              <w:rPr>
                <w:rFonts w:hint="eastAsia" w:ascii="宋体" w:hAnsi="宋体" w:cs="Times New Roman"/>
                <w:sz w:val="21"/>
                <w:szCs w:val="21"/>
              </w:rPr>
              <w:t>在用特种设备由有资格的人员进行日常的维修保养。</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autoSpaceDE w:val="0"/>
              <w:autoSpaceDN w:val="0"/>
              <w:spacing w:line="240" w:lineRule="auto"/>
              <w:ind w:firstLine="0" w:firstLineChars="0"/>
              <w:jc w:val="center"/>
              <w:textAlignment w:val="bottom"/>
              <w:rPr>
                <w:rFonts w:ascii="宋体" w:hAnsi="宋体"/>
                <w:sz w:val="21"/>
                <w:szCs w:val="21"/>
              </w:rPr>
            </w:pPr>
            <w:r>
              <w:rPr>
                <w:rFonts w:hint="eastAsia" w:ascii="宋体" w:hAnsi="宋体"/>
                <w:sz w:val="21"/>
                <w:szCs w:val="21"/>
              </w:rPr>
              <w:t>（6）</w:t>
            </w:r>
          </w:p>
        </w:tc>
        <w:tc>
          <w:tcPr>
            <w:tcW w:w="2196" w:type="pct"/>
            <w:vAlign w:val="center"/>
          </w:tcPr>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rPr>
              <w:t>使用单位应当严格执行特种设备年检、月检、日检等常规检查制度，经检查发现有异常情况时，必须及时处理，严禁带故障运行。检查应当作详细记录，并存档备案。</w:t>
            </w:r>
          </w:p>
        </w:tc>
        <w:tc>
          <w:tcPr>
            <w:tcW w:w="1702" w:type="pct"/>
            <w:vAlign w:val="center"/>
          </w:tcPr>
          <w:p>
            <w:pPr>
              <w:spacing w:line="240" w:lineRule="auto"/>
              <w:ind w:firstLine="0" w:firstLineChars="0"/>
              <w:rPr>
                <w:rFonts w:ascii="宋体" w:hAnsi="宋体"/>
                <w:sz w:val="21"/>
                <w:szCs w:val="21"/>
              </w:rPr>
            </w:pPr>
            <w:r>
              <w:rPr>
                <w:rFonts w:hint="eastAsia" w:ascii="宋体" w:hAnsi="宋体" w:cs="Times New Roman"/>
                <w:sz w:val="21"/>
                <w:szCs w:val="21"/>
              </w:rPr>
              <w:t>特种设备按要求进行检查。</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autoSpaceDE w:val="0"/>
              <w:autoSpaceDN w:val="0"/>
              <w:spacing w:line="240" w:lineRule="auto"/>
              <w:ind w:firstLine="0" w:firstLineChars="0"/>
              <w:jc w:val="center"/>
              <w:textAlignment w:val="bottom"/>
              <w:rPr>
                <w:rFonts w:ascii="宋体" w:hAnsi="宋体"/>
                <w:sz w:val="21"/>
                <w:szCs w:val="21"/>
              </w:rPr>
            </w:pPr>
            <w:r>
              <w:rPr>
                <w:rFonts w:hint="eastAsia" w:ascii="宋体" w:hAnsi="宋体"/>
                <w:sz w:val="21"/>
                <w:szCs w:val="21"/>
              </w:rPr>
              <w:t>（7）</w:t>
            </w:r>
          </w:p>
        </w:tc>
        <w:tc>
          <w:tcPr>
            <w:tcW w:w="2196" w:type="pct"/>
            <w:vAlign w:val="center"/>
          </w:tcPr>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rPr>
              <w:t>严格采取密闭措施，防止有害气体的逸散，能采取负压操作的采用负压操作，对受压操作的设备和管道，除对焊缝进行严格探查外，进行水压和气密性试验。</w:t>
            </w:r>
          </w:p>
        </w:tc>
        <w:tc>
          <w:tcPr>
            <w:tcW w:w="1702" w:type="pct"/>
            <w:vAlign w:val="center"/>
          </w:tcPr>
          <w:p>
            <w:pPr>
              <w:spacing w:line="240" w:lineRule="auto"/>
              <w:ind w:firstLine="0" w:firstLineChars="0"/>
              <w:rPr>
                <w:rFonts w:ascii="宋体" w:hAnsi="宋体"/>
                <w:sz w:val="21"/>
                <w:szCs w:val="21"/>
              </w:rPr>
            </w:pPr>
            <w:r>
              <w:rPr>
                <w:rFonts w:hint="eastAsia" w:ascii="宋体" w:hAnsi="宋体" w:cs="Times New Roman"/>
                <w:sz w:val="21"/>
                <w:szCs w:val="21"/>
              </w:rPr>
              <w:t>按要求对受压操作的设备和管道进行水压和气密性试验。</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8" w:hRule="atLeast"/>
          <w:jc w:val="center"/>
        </w:trPr>
        <w:tc>
          <w:tcPr>
            <w:tcW w:w="656" w:type="pct"/>
            <w:vAlign w:val="center"/>
          </w:tcPr>
          <w:p>
            <w:pPr>
              <w:autoSpaceDE w:val="0"/>
              <w:autoSpaceDN w:val="0"/>
              <w:spacing w:line="240" w:lineRule="auto"/>
              <w:ind w:firstLine="0" w:firstLineChars="0"/>
              <w:jc w:val="center"/>
              <w:textAlignment w:val="bottom"/>
              <w:rPr>
                <w:rFonts w:ascii="宋体" w:hAnsi="宋体" w:cs="Times New Roman"/>
                <w:sz w:val="21"/>
                <w:szCs w:val="21"/>
              </w:rPr>
            </w:pPr>
            <w:r>
              <w:rPr>
                <w:rFonts w:hint="eastAsia" w:ascii="宋体" w:hAnsi="宋体" w:cs="Times New Roman"/>
                <w:sz w:val="21"/>
                <w:szCs w:val="21"/>
              </w:rPr>
              <w:t>3）</w:t>
            </w:r>
          </w:p>
        </w:tc>
        <w:tc>
          <w:tcPr>
            <w:tcW w:w="2196" w:type="pct"/>
            <w:vAlign w:val="center"/>
          </w:tcPr>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rPr>
              <w:t>特种设备的安全管理要求</w:t>
            </w:r>
          </w:p>
        </w:tc>
        <w:tc>
          <w:tcPr>
            <w:tcW w:w="1702" w:type="pct"/>
            <w:vAlign w:val="center"/>
          </w:tcPr>
          <w:p>
            <w:pPr>
              <w:autoSpaceDE w:val="0"/>
              <w:autoSpaceDN w:val="0"/>
              <w:spacing w:line="240" w:lineRule="auto"/>
              <w:ind w:firstLine="0" w:firstLineChars="0"/>
              <w:jc w:val="center"/>
              <w:textAlignment w:val="bottom"/>
              <w:rPr>
                <w:rFonts w:ascii="宋体" w:hAnsi="宋体" w:cs="Times New Roman"/>
                <w:sz w:val="21"/>
                <w:szCs w:val="21"/>
              </w:rPr>
            </w:pPr>
            <w:r>
              <w:rPr>
                <w:rFonts w:hint="eastAsia" w:ascii="宋体" w:hAnsi="宋体" w:cs="Times New Roman"/>
                <w:sz w:val="21"/>
                <w:szCs w:val="21"/>
              </w:rPr>
              <w:t>/</w:t>
            </w:r>
          </w:p>
        </w:tc>
        <w:tc>
          <w:tcPr>
            <w:tcW w:w="444" w:type="pct"/>
            <w:vAlign w:val="center"/>
          </w:tcPr>
          <w:p>
            <w:pPr>
              <w:spacing w:line="240" w:lineRule="auto"/>
              <w:ind w:firstLine="0" w:firstLineChars="0"/>
              <w:jc w:val="center"/>
              <w:rPr>
                <w:sz w:val="21"/>
                <w:szCs w:val="21"/>
              </w:rPr>
            </w:pPr>
            <w:r>
              <w:rPr>
                <w:rFonts w:hint="eastAsia"/>
                <w:sz w:val="21"/>
                <w:szCs w:val="21"/>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autoSpaceDE w:val="0"/>
              <w:autoSpaceDN w:val="0"/>
              <w:spacing w:line="240" w:lineRule="auto"/>
              <w:ind w:firstLine="0" w:firstLineChars="0"/>
              <w:jc w:val="center"/>
              <w:textAlignment w:val="bottom"/>
              <w:rPr>
                <w:rFonts w:ascii="宋体" w:hAnsi="宋体"/>
                <w:sz w:val="21"/>
                <w:szCs w:val="21"/>
              </w:rPr>
            </w:pPr>
            <w:r>
              <w:rPr>
                <w:rFonts w:hint="eastAsia" w:ascii="宋体" w:hAnsi="宋体" w:cs="Times New Roman"/>
                <w:sz w:val="21"/>
                <w:szCs w:val="21"/>
              </w:rPr>
              <w:t>（1）</w:t>
            </w:r>
          </w:p>
        </w:tc>
        <w:tc>
          <w:tcPr>
            <w:tcW w:w="2196" w:type="pct"/>
            <w:vAlign w:val="center"/>
          </w:tcPr>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rPr>
              <w:t>特种设备在投入使用前或者投入使用后30日内，特种设备使用单位应当向直辖市或者设区的市的特种设备安全监督管理部门登记。登记标志应当置于或者附着于该特种设备的显著位置。</w:t>
            </w:r>
          </w:p>
        </w:tc>
        <w:tc>
          <w:tcPr>
            <w:tcW w:w="1702" w:type="pct"/>
            <w:vAlign w:val="center"/>
          </w:tcPr>
          <w:p>
            <w:pPr>
              <w:spacing w:line="240" w:lineRule="auto"/>
              <w:ind w:firstLine="0" w:firstLineChars="0"/>
              <w:rPr>
                <w:rFonts w:ascii="宋体" w:hAnsi="宋体"/>
                <w:sz w:val="21"/>
                <w:szCs w:val="21"/>
              </w:rPr>
            </w:pPr>
            <w:r>
              <w:rPr>
                <w:rFonts w:hint="eastAsia" w:ascii="宋体" w:hAnsi="宋体" w:cs="Times New Roman"/>
                <w:sz w:val="21"/>
                <w:szCs w:val="21"/>
              </w:rPr>
              <w:t>厂内特种设备在投入使用前，均到楚雄市特种设备安全监察机构注册登记。将安全检验合格标志固定在特种设备显著位置上后，方可以投入正式使用。</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autoSpaceDE w:val="0"/>
              <w:autoSpaceDN w:val="0"/>
              <w:spacing w:line="240" w:lineRule="auto"/>
              <w:ind w:firstLine="0" w:firstLineChars="0"/>
              <w:jc w:val="center"/>
              <w:textAlignment w:val="bottom"/>
              <w:rPr>
                <w:rFonts w:ascii="宋体" w:hAnsi="宋体"/>
                <w:sz w:val="21"/>
                <w:szCs w:val="21"/>
              </w:rPr>
            </w:pPr>
            <w:r>
              <w:rPr>
                <w:rFonts w:hint="eastAsia" w:ascii="宋体" w:hAnsi="宋体" w:cs="Times New Roman"/>
                <w:sz w:val="21"/>
                <w:szCs w:val="21"/>
              </w:rPr>
              <w:t>（2）</w:t>
            </w:r>
          </w:p>
        </w:tc>
        <w:tc>
          <w:tcPr>
            <w:tcW w:w="2196" w:type="pct"/>
            <w:vAlign w:val="center"/>
          </w:tcPr>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rPr>
              <w:t>特种设备使用单位对在用特种设备应当至少每月进行一次自行检查，并作出记录。特种设备使用单位在对在用特种设备进行自行检查和日常维护保养时发现异常情况的，应当及时处理。</w:t>
            </w:r>
          </w:p>
        </w:tc>
        <w:tc>
          <w:tcPr>
            <w:tcW w:w="1702" w:type="pct"/>
            <w:vAlign w:val="center"/>
          </w:tcPr>
          <w:p>
            <w:pPr>
              <w:spacing w:line="240" w:lineRule="auto"/>
              <w:ind w:firstLine="0" w:firstLineChars="0"/>
              <w:rPr>
                <w:rFonts w:ascii="宋体" w:hAnsi="宋体"/>
                <w:sz w:val="21"/>
                <w:szCs w:val="21"/>
              </w:rPr>
            </w:pPr>
            <w:r>
              <w:rPr>
                <w:rFonts w:hint="eastAsia" w:ascii="宋体" w:hAnsi="宋体"/>
                <w:sz w:val="21"/>
                <w:szCs w:val="21"/>
              </w:rPr>
              <w:t>企业按要求进行检查。</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autoSpaceDE w:val="0"/>
              <w:autoSpaceDN w:val="0"/>
              <w:spacing w:line="240" w:lineRule="auto"/>
              <w:ind w:firstLine="0" w:firstLineChars="0"/>
              <w:jc w:val="center"/>
              <w:textAlignment w:val="bottom"/>
              <w:rPr>
                <w:rFonts w:ascii="宋体" w:hAnsi="宋体"/>
                <w:sz w:val="21"/>
                <w:szCs w:val="21"/>
              </w:rPr>
            </w:pPr>
            <w:r>
              <w:rPr>
                <w:rFonts w:hint="eastAsia" w:ascii="宋体" w:hAnsi="宋体" w:cs="Times New Roman"/>
                <w:sz w:val="21"/>
                <w:szCs w:val="21"/>
              </w:rPr>
              <w:t>（3）</w:t>
            </w:r>
          </w:p>
        </w:tc>
        <w:tc>
          <w:tcPr>
            <w:tcW w:w="2196" w:type="pct"/>
            <w:vAlign w:val="center"/>
          </w:tcPr>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rPr>
              <w:t>特种设备使用单位应当对在用特种设备的安全附件、安全保护装置、测量调控装置及有关附属仪器仪表进行定期校验、检修，并作出记录。</w:t>
            </w:r>
          </w:p>
        </w:tc>
        <w:tc>
          <w:tcPr>
            <w:tcW w:w="1702" w:type="pct"/>
            <w:vAlign w:val="center"/>
          </w:tcPr>
          <w:p>
            <w:pPr>
              <w:spacing w:line="240" w:lineRule="auto"/>
              <w:ind w:firstLine="0" w:firstLineChars="0"/>
              <w:rPr>
                <w:rFonts w:ascii="宋体" w:hAnsi="宋体"/>
                <w:sz w:val="21"/>
                <w:szCs w:val="21"/>
              </w:rPr>
            </w:pPr>
            <w:r>
              <w:rPr>
                <w:rFonts w:hint="eastAsia" w:ascii="宋体" w:hAnsi="宋体" w:cs="Times New Roman"/>
                <w:sz w:val="21"/>
                <w:szCs w:val="21"/>
              </w:rPr>
              <w:t>按要求进行定期校验、检修，并作出记录。</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autoSpaceDE w:val="0"/>
              <w:autoSpaceDN w:val="0"/>
              <w:spacing w:line="240" w:lineRule="auto"/>
              <w:ind w:firstLine="0" w:firstLineChars="0"/>
              <w:jc w:val="center"/>
              <w:textAlignment w:val="bottom"/>
              <w:rPr>
                <w:rFonts w:ascii="宋体" w:hAnsi="宋体" w:cs="Times New Roman"/>
                <w:sz w:val="21"/>
                <w:szCs w:val="21"/>
              </w:rPr>
            </w:pPr>
            <w:r>
              <w:rPr>
                <w:rFonts w:hint="eastAsia" w:ascii="宋体" w:hAnsi="宋体" w:cs="Times New Roman"/>
                <w:sz w:val="21"/>
                <w:szCs w:val="21"/>
              </w:rPr>
              <w:t>（4）</w:t>
            </w:r>
          </w:p>
        </w:tc>
        <w:tc>
          <w:tcPr>
            <w:tcW w:w="2196" w:type="pct"/>
            <w:vAlign w:val="center"/>
          </w:tcPr>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rPr>
              <w:t>特种设备使用单位应当对特种设备作业人员进行特种设备安全、节能教育和培训，保证特种设备作业人员具备必要的特种设备安全、节能知识。</w:t>
            </w:r>
          </w:p>
        </w:tc>
        <w:tc>
          <w:tcPr>
            <w:tcW w:w="1702" w:type="pct"/>
            <w:vAlign w:val="center"/>
          </w:tcPr>
          <w:p>
            <w:pPr>
              <w:spacing w:line="240" w:lineRule="auto"/>
              <w:ind w:firstLine="0" w:firstLineChars="0"/>
              <w:rPr>
                <w:rFonts w:ascii="宋体" w:hAnsi="宋体"/>
                <w:sz w:val="21"/>
                <w:szCs w:val="21"/>
              </w:rPr>
            </w:pPr>
            <w:r>
              <w:rPr>
                <w:rFonts w:hint="eastAsia" w:ascii="宋体" w:hAnsi="宋体" w:cs="Times New Roman"/>
                <w:sz w:val="21"/>
                <w:szCs w:val="21"/>
              </w:rPr>
              <w:t>特种设备作业人员按要求培训。</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autoSpaceDE w:val="0"/>
              <w:autoSpaceDN w:val="0"/>
              <w:spacing w:line="240" w:lineRule="auto"/>
              <w:ind w:firstLine="0" w:firstLineChars="0"/>
              <w:jc w:val="center"/>
              <w:textAlignment w:val="bottom"/>
              <w:rPr>
                <w:rFonts w:ascii="宋体" w:hAnsi="宋体" w:cs="Times New Roman"/>
                <w:sz w:val="21"/>
                <w:szCs w:val="21"/>
              </w:rPr>
            </w:pPr>
            <w:r>
              <w:rPr>
                <w:rFonts w:hint="eastAsia" w:ascii="宋体" w:hAnsi="宋体" w:cs="Times New Roman"/>
                <w:sz w:val="21"/>
                <w:szCs w:val="21"/>
              </w:rPr>
              <w:t>4）</w:t>
            </w:r>
          </w:p>
        </w:tc>
        <w:tc>
          <w:tcPr>
            <w:tcW w:w="2196" w:type="pct"/>
            <w:vAlign w:val="center"/>
          </w:tcPr>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rPr>
              <w:t>此外生产车间设置行车，采取以下措施：</w:t>
            </w:r>
          </w:p>
        </w:tc>
        <w:tc>
          <w:tcPr>
            <w:tcW w:w="1702" w:type="pct"/>
            <w:vAlign w:val="center"/>
          </w:tcPr>
          <w:p>
            <w:pPr>
              <w:spacing w:line="240" w:lineRule="auto"/>
              <w:ind w:firstLine="0" w:firstLineChars="0"/>
              <w:rPr>
                <w:rFonts w:ascii="宋体" w:hAnsi="宋体"/>
                <w:sz w:val="21"/>
                <w:szCs w:val="21"/>
              </w:rPr>
            </w:pPr>
            <w:r>
              <w:rPr>
                <w:rFonts w:hint="eastAsia" w:ascii="宋体" w:hAnsi="宋体"/>
                <w:sz w:val="21"/>
                <w:szCs w:val="21"/>
              </w:rPr>
              <w:t>/</w:t>
            </w:r>
          </w:p>
        </w:tc>
        <w:tc>
          <w:tcPr>
            <w:tcW w:w="444" w:type="pct"/>
            <w:vAlign w:val="center"/>
          </w:tcPr>
          <w:p>
            <w:pPr>
              <w:spacing w:line="240" w:lineRule="auto"/>
              <w:ind w:firstLine="0" w:firstLineChars="0"/>
              <w:jc w:val="center"/>
              <w:rPr>
                <w:sz w:val="21"/>
                <w:szCs w:val="21"/>
              </w:rPr>
            </w:pPr>
            <w:r>
              <w:rPr>
                <w:rFonts w:hint="eastAsia"/>
                <w:sz w:val="21"/>
                <w:szCs w:val="21"/>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numPr>
                <w:ilvl w:val="0"/>
                <w:numId w:val="83"/>
              </w:numPr>
              <w:autoSpaceDE w:val="0"/>
              <w:autoSpaceDN w:val="0"/>
              <w:snapToGrid w:val="0"/>
              <w:spacing w:line="240" w:lineRule="auto"/>
              <w:ind w:firstLine="420"/>
              <w:jc w:val="center"/>
              <w:textAlignment w:val="bottom"/>
              <w:rPr>
                <w:rFonts w:ascii="宋体" w:hAnsi="宋体"/>
                <w:sz w:val="21"/>
                <w:szCs w:val="21"/>
              </w:rPr>
            </w:pPr>
          </w:p>
        </w:tc>
        <w:tc>
          <w:tcPr>
            <w:tcW w:w="2196" w:type="pct"/>
            <w:vAlign w:val="center"/>
          </w:tcPr>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rPr>
              <w:t>行车作业人员必须经专门安全培训，考核合格并取得行车作业资格证书方可上岗作业；否则严禁从事行车作业。</w:t>
            </w:r>
          </w:p>
        </w:tc>
        <w:tc>
          <w:tcPr>
            <w:tcW w:w="1702" w:type="pct"/>
            <w:vAlign w:val="center"/>
          </w:tcPr>
          <w:p>
            <w:pPr>
              <w:spacing w:line="240" w:lineRule="auto"/>
              <w:ind w:firstLine="0" w:firstLineChars="0"/>
              <w:rPr>
                <w:rFonts w:ascii="宋体" w:hAnsi="宋体"/>
                <w:sz w:val="21"/>
                <w:szCs w:val="21"/>
              </w:rPr>
            </w:pPr>
            <w:r>
              <w:rPr>
                <w:rFonts w:hint="eastAsia" w:ascii="宋体" w:hAnsi="宋体" w:cs="Times New Roman"/>
                <w:sz w:val="21"/>
                <w:szCs w:val="21"/>
              </w:rPr>
              <w:t>行车作业人员必须经专门安全培训持证上岗。</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numPr>
                <w:ilvl w:val="0"/>
                <w:numId w:val="83"/>
              </w:numPr>
              <w:autoSpaceDE w:val="0"/>
              <w:autoSpaceDN w:val="0"/>
              <w:snapToGrid w:val="0"/>
              <w:spacing w:line="240" w:lineRule="auto"/>
              <w:ind w:firstLine="420"/>
              <w:jc w:val="center"/>
              <w:textAlignment w:val="bottom"/>
              <w:rPr>
                <w:rFonts w:ascii="宋体" w:hAnsi="宋体"/>
                <w:sz w:val="21"/>
                <w:szCs w:val="21"/>
              </w:rPr>
            </w:pPr>
          </w:p>
        </w:tc>
        <w:tc>
          <w:tcPr>
            <w:tcW w:w="2196" w:type="pct"/>
            <w:vAlign w:val="center"/>
          </w:tcPr>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rPr>
              <w:t>行车作业时，作业人员必须规范佩戴安全帽。</w:t>
            </w:r>
          </w:p>
        </w:tc>
        <w:tc>
          <w:tcPr>
            <w:tcW w:w="1702" w:type="pct"/>
            <w:vAlign w:val="center"/>
          </w:tcPr>
          <w:p>
            <w:pPr>
              <w:spacing w:line="240" w:lineRule="auto"/>
              <w:ind w:firstLine="0" w:firstLineChars="0"/>
              <w:rPr>
                <w:rFonts w:ascii="宋体" w:hAnsi="宋体"/>
                <w:sz w:val="21"/>
                <w:szCs w:val="21"/>
              </w:rPr>
            </w:pPr>
            <w:r>
              <w:rPr>
                <w:rFonts w:hint="eastAsia" w:ascii="宋体" w:hAnsi="宋体" w:cs="Times New Roman"/>
                <w:sz w:val="21"/>
                <w:szCs w:val="21"/>
              </w:rPr>
              <w:t>行车作业时，作业人员规范佩戴安全帽。</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numPr>
                <w:ilvl w:val="0"/>
                <w:numId w:val="83"/>
              </w:numPr>
              <w:autoSpaceDE w:val="0"/>
              <w:autoSpaceDN w:val="0"/>
              <w:snapToGrid w:val="0"/>
              <w:spacing w:line="240" w:lineRule="auto"/>
              <w:ind w:firstLine="420"/>
              <w:jc w:val="center"/>
              <w:textAlignment w:val="bottom"/>
              <w:rPr>
                <w:rFonts w:ascii="宋体" w:hAnsi="宋体"/>
                <w:sz w:val="21"/>
                <w:szCs w:val="21"/>
              </w:rPr>
            </w:pPr>
          </w:p>
        </w:tc>
        <w:tc>
          <w:tcPr>
            <w:tcW w:w="2196" w:type="pct"/>
            <w:vAlign w:val="center"/>
          </w:tcPr>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rPr>
              <w:t xml:space="preserve">行车作业前作业人员应进行仔细的检查。 </w:t>
            </w:r>
          </w:p>
        </w:tc>
        <w:tc>
          <w:tcPr>
            <w:tcW w:w="1702" w:type="pct"/>
            <w:vAlign w:val="center"/>
          </w:tcPr>
          <w:p>
            <w:pPr>
              <w:spacing w:line="240" w:lineRule="auto"/>
              <w:ind w:firstLine="0" w:firstLineChars="0"/>
              <w:rPr>
                <w:rFonts w:ascii="宋体" w:hAnsi="宋体"/>
                <w:sz w:val="21"/>
                <w:szCs w:val="21"/>
              </w:rPr>
            </w:pPr>
            <w:r>
              <w:rPr>
                <w:rFonts w:hint="eastAsia" w:ascii="宋体" w:hAnsi="宋体" w:cs="Times New Roman"/>
                <w:sz w:val="21"/>
                <w:szCs w:val="21"/>
              </w:rPr>
              <w:t>行车作业前作业人员对行车进行检查。</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numPr>
                <w:ilvl w:val="0"/>
                <w:numId w:val="83"/>
              </w:numPr>
              <w:autoSpaceDE w:val="0"/>
              <w:autoSpaceDN w:val="0"/>
              <w:snapToGrid w:val="0"/>
              <w:spacing w:line="240" w:lineRule="auto"/>
              <w:ind w:firstLine="420"/>
              <w:jc w:val="center"/>
              <w:textAlignment w:val="bottom"/>
              <w:rPr>
                <w:rFonts w:ascii="宋体" w:hAnsi="宋体"/>
                <w:sz w:val="21"/>
                <w:szCs w:val="21"/>
              </w:rPr>
            </w:pPr>
          </w:p>
        </w:tc>
        <w:tc>
          <w:tcPr>
            <w:tcW w:w="2196" w:type="pct"/>
            <w:vAlign w:val="center"/>
          </w:tcPr>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rPr>
              <w:t>行车作业时作业人员应该站在被吊物品的侧后方，严禁被吊物品从人及设备上方经过。行车作业中，地面有人或落放吊件时应做出警示。</w:t>
            </w:r>
          </w:p>
        </w:tc>
        <w:tc>
          <w:tcPr>
            <w:tcW w:w="1702" w:type="pct"/>
            <w:vAlign w:val="center"/>
          </w:tcPr>
          <w:p>
            <w:pPr>
              <w:spacing w:line="240" w:lineRule="auto"/>
              <w:ind w:firstLine="0" w:firstLineChars="0"/>
              <w:rPr>
                <w:rFonts w:ascii="宋体" w:hAnsi="宋体"/>
                <w:sz w:val="21"/>
                <w:szCs w:val="21"/>
              </w:rPr>
            </w:pPr>
            <w:r>
              <w:rPr>
                <w:rFonts w:hint="eastAsia" w:ascii="宋体" w:hAnsi="宋体" w:cs="Times New Roman"/>
                <w:sz w:val="21"/>
                <w:szCs w:val="21"/>
              </w:rPr>
              <w:t>行车作业时作业人员按要求站位，并进行警示。</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numPr>
                <w:ilvl w:val="0"/>
                <w:numId w:val="83"/>
              </w:numPr>
              <w:autoSpaceDE w:val="0"/>
              <w:autoSpaceDN w:val="0"/>
              <w:snapToGrid w:val="0"/>
              <w:spacing w:line="240" w:lineRule="auto"/>
              <w:ind w:firstLine="420"/>
              <w:jc w:val="center"/>
              <w:textAlignment w:val="bottom"/>
              <w:rPr>
                <w:rFonts w:ascii="宋体" w:hAnsi="宋体"/>
                <w:sz w:val="21"/>
                <w:szCs w:val="21"/>
              </w:rPr>
            </w:pPr>
          </w:p>
        </w:tc>
        <w:tc>
          <w:tcPr>
            <w:tcW w:w="2196" w:type="pct"/>
            <w:vAlign w:val="center"/>
          </w:tcPr>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rPr>
              <w:t>起吊前应确保被吊物品及钢丝绳与周围无牵挂方可起吊；被吊物品在确保有稳定支撑且钢丝绳同周围无牵挂时，方可使钢丝绳脱离被吊物品的吊点。</w:t>
            </w:r>
          </w:p>
        </w:tc>
        <w:tc>
          <w:tcPr>
            <w:tcW w:w="1702" w:type="pct"/>
            <w:vAlign w:val="center"/>
          </w:tcPr>
          <w:p>
            <w:pPr>
              <w:spacing w:line="240" w:lineRule="auto"/>
              <w:ind w:firstLine="0" w:firstLineChars="0"/>
              <w:rPr>
                <w:rFonts w:ascii="宋体" w:hAnsi="宋体"/>
                <w:sz w:val="21"/>
                <w:szCs w:val="21"/>
              </w:rPr>
            </w:pPr>
            <w:r>
              <w:rPr>
                <w:rFonts w:hint="eastAsia" w:ascii="宋体" w:hAnsi="宋体" w:cs="Times New Roman"/>
                <w:sz w:val="21"/>
                <w:szCs w:val="21"/>
              </w:rPr>
              <w:t>行车作业人员按要求起吊。</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numPr>
                <w:ilvl w:val="0"/>
                <w:numId w:val="83"/>
              </w:numPr>
              <w:autoSpaceDE w:val="0"/>
              <w:autoSpaceDN w:val="0"/>
              <w:snapToGrid w:val="0"/>
              <w:spacing w:line="240" w:lineRule="auto"/>
              <w:ind w:firstLine="420"/>
              <w:jc w:val="center"/>
              <w:textAlignment w:val="bottom"/>
              <w:rPr>
                <w:rFonts w:ascii="宋体" w:hAnsi="宋体"/>
                <w:sz w:val="21"/>
                <w:szCs w:val="21"/>
              </w:rPr>
            </w:pPr>
          </w:p>
        </w:tc>
        <w:tc>
          <w:tcPr>
            <w:tcW w:w="2196" w:type="pct"/>
            <w:vAlign w:val="center"/>
          </w:tcPr>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rPr>
              <w:t>禁止将高度超过1m的玻璃箱无支靠单独存放；当箱体过薄、箱内玻璃片数过少且需暂时停靠时，应先停靠在A形架上靠稳再进行吊运作业。</w:t>
            </w:r>
          </w:p>
        </w:tc>
        <w:tc>
          <w:tcPr>
            <w:tcW w:w="1702"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不涉及</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numPr>
                <w:ilvl w:val="0"/>
                <w:numId w:val="83"/>
              </w:numPr>
              <w:autoSpaceDE w:val="0"/>
              <w:autoSpaceDN w:val="0"/>
              <w:snapToGrid w:val="0"/>
              <w:spacing w:line="240" w:lineRule="auto"/>
              <w:ind w:firstLine="420"/>
              <w:jc w:val="center"/>
              <w:textAlignment w:val="bottom"/>
              <w:rPr>
                <w:rFonts w:ascii="宋体" w:hAnsi="宋体"/>
                <w:sz w:val="21"/>
                <w:szCs w:val="21"/>
              </w:rPr>
            </w:pPr>
          </w:p>
        </w:tc>
        <w:tc>
          <w:tcPr>
            <w:tcW w:w="2196" w:type="pct"/>
            <w:vAlign w:val="center"/>
          </w:tcPr>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rPr>
              <w:t>行车作业时吊运过重物品时应先进行试吊确认无危险时方可吊运，严禁吊运超出额定起重量的物品；严禁两箱或多箱玻璃同时吊运。</w:t>
            </w:r>
          </w:p>
        </w:tc>
        <w:tc>
          <w:tcPr>
            <w:tcW w:w="1702"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不涉及</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numPr>
                <w:ilvl w:val="0"/>
                <w:numId w:val="83"/>
              </w:numPr>
              <w:autoSpaceDE w:val="0"/>
              <w:autoSpaceDN w:val="0"/>
              <w:snapToGrid w:val="0"/>
              <w:spacing w:line="240" w:lineRule="auto"/>
              <w:ind w:firstLine="420"/>
              <w:jc w:val="center"/>
              <w:textAlignment w:val="bottom"/>
              <w:rPr>
                <w:rFonts w:ascii="宋体" w:hAnsi="宋体"/>
                <w:sz w:val="21"/>
                <w:szCs w:val="21"/>
              </w:rPr>
            </w:pPr>
          </w:p>
        </w:tc>
        <w:tc>
          <w:tcPr>
            <w:tcW w:w="2196" w:type="pct"/>
            <w:vAlign w:val="center"/>
          </w:tcPr>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rPr>
              <w:t>行车作业时作业人员严禁离开悬挂于空中或未脱钩的被吊物品。</w:t>
            </w:r>
          </w:p>
        </w:tc>
        <w:tc>
          <w:tcPr>
            <w:tcW w:w="1702" w:type="pct"/>
            <w:vAlign w:val="center"/>
          </w:tcPr>
          <w:p>
            <w:pPr>
              <w:spacing w:line="240" w:lineRule="auto"/>
              <w:ind w:firstLine="0" w:firstLineChars="0"/>
              <w:rPr>
                <w:rFonts w:ascii="宋体" w:hAnsi="宋体"/>
                <w:sz w:val="21"/>
                <w:szCs w:val="21"/>
              </w:rPr>
            </w:pPr>
            <w:r>
              <w:rPr>
                <w:rFonts w:hint="eastAsia" w:ascii="宋体" w:hAnsi="宋体" w:cs="Times New Roman"/>
                <w:sz w:val="21"/>
                <w:szCs w:val="21"/>
              </w:rPr>
              <w:t>行车作业人员按要求起吊。</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numPr>
                <w:ilvl w:val="0"/>
                <w:numId w:val="83"/>
              </w:numPr>
              <w:autoSpaceDE w:val="0"/>
              <w:autoSpaceDN w:val="0"/>
              <w:snapToGrid w:val="0"/>
              <w:spacing w:line="240" w:lineRule="auto"/>
              <w:ind w:firstLine="420"/>
              <w:jc w:val="center"/>
              <w:textAlignment w:val="bottom"/>
              <w:rPr>
                <w:rFonts w:ascii="宋体" w:hAnsi="宋体"/>
                <w:sz w:val="21"/>
                <w:szCs w:val="21"/>
              </w:rPr>
            </w:pPr>
          </w:p>
        </w:tc>
        <w:tc>
          <w:tcPr>
            <w:tcW w:w="2196" w:type="pct"/>
            <w:vAlign w:val="center"/>
          </w:tcPr>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rPr>
              <w:t>行车作业时如行车发生故障应立即停止作业，做好警示标志后向主管行车的工程师及安全主任报告。行车作业时如因突发事故引发被吊物品下滑时，应采取紧急措施将被吊物品向无人区降落。</w:t>
            </w:r>
          </w:p>
        </w:tc>
        <w:tc>
          <w:tcPr>
            <w:tcW w:w="1702" w:type="pct"/>
            <w:vAlign w:val="center"/>
          </w:tcPr>
          <w:p>
            <w:pPr>
              <w:spacing w:line="240" w:lineRule="auto"/>
              <w:ind w:firstLine="0" w:firstLineChars="0"/>
              <w:rPr>
                <w:rFonts w:ascii="宋体" w:hAnsi="宋体"/>
                <w:sz w:val="21"/>
                <w:szCs w:val="21"/>
              </w:rPr>
            </w:pPr>
            <w:r>
              <w:rPr>
                <w:rFonts w:hint="eastAsia" w:ascii="宋体" w:hAnsi="宋体" w:cs="Times New Roman"/>
                <w:sz w:val="21"/>
                <w:szCs w:val="21"/>
              </w:rPr>
              <w:t>行车作业人员按要求报告行车故障。</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numPr>
                <w:ilvl w:val="0"/>
                <w:numId w:val="83"/>
              </w:numPr>
              <w:autoSpaceDE w:val="0"/>
              <w:autoSpaceDN w:val="0"/>
              <w:snapToGrid w:val="0"/>
              <w:spacing w:line="240" w:lineRule="auto"/>
              <w:ind w:firstLine="420"/>
              <w:jc w:val="center"/>
              <w:textAlignment w:val="bottom"/>
              <w:rPr>
                <w:rFonts w:ascii="宋体" w:hAnsi="宋体"/>
                <w:sz w:val="21"/>
                <w:szCs w:val="21"/>
              </w:rPr>
            </w:pPr>
          </w:p>
        </w:tc>
        <w:tc>
          <w:tcPr>
            <w:tcW w:w="2196" w:type="pct"/>
            <w:vAlign w:val="center"/>
          </w:tcPr>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rPr>
              <w:t>行车作业时任何人发出停止作业的警示时，作业人员均应停止作业。</w:t>
            </w:r>
          </w:p>
        </w:tc>
        <w:tc>
          <w:tcPr>
            <w:tcW w:w="1702" w:type="pct"/>
            <w:vAlign w:val="center"/>
          </w:tcPr>
          <w:p>
            <w:pPr>
              <w:spacing w:line="240" w:lineRule="auto"/>
              <w:ind w:firstLine="0" w:firstLineChars="0"/>
              <w:rPr>
                <w:rFonts w:ascii="宋体" w:hAnsi="宋体"/>
                <w:sz w:val="21"/>
                <w:szCs w:val="21"/>
              </w:rPr>
            </w:pPr>
            <w:r>
              <w:rPr>
                <w:rFonts w:hint="eastAsia" w:ascii="宋体" w:hAnsi="宋体" w:cs="Times New Roman"/>
                <w:sz w:val="21"/>
                <w:szCs w:val="21"/>
              </w:rPr>
              <w:t>行车作业人员按要求起吊。</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numPr>
                <w:ilvl w:val="0"/>
                <w:numId w:val="83"/>
              </w:numPr>
              <w:autoSpaceDE w:val="0"/>
              <w:autoSpaceDN w:val="0"/>
              <w:snapToGrid w:val="0"/>
              <w:spacing w:line="240" w:lineRule="auto"/>
              <w:ind w:firstLine="420"/>
              <w:jc w:val="center"/>
              <w:textAlignment w:val="bottom"/>
              <w:rPr>
                <w:rFonts w:ascii="宋体" w:hAnsi="宋体"/>
                <w:sz w:val="21"/>
                <w:szCs w:val="21"/>
              </w:rPr>
            </w:pPr>
          </w:p>
        </w:tc>
        <w:tc>
          <w:tcPr>
            <w:tcW w:w="2196" w:type="pct"/>
            <w:vAlign w:val="center"/>
          </w:tcPr>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rPr>
              <w:t>当接近卷扬限位器，大小车临近终端或与邻近行车相遇时，速度要缓慢。不准用倒车代替制动，限位器代替停车开关，紧急开关代替普通开关。</w:t>
            </w:r>
          </w:p>
        </w:tc>
        <w:tc>
          <w:tcPr>
            <w:tcW w:w="1702" w:type="pct"/>
            <w:vAlign w:val="center"/>
          </w:tcPr>
          <w:p>
            <w:pPr>
              <w:spacing w:line="240" w:lineRule="auto"/>
              <w:ind w:firstLine="0" w:firstLineChars="0"/>
              <w:rPr>
                <w:rFonts w:ascii="宋体" w:hAnsi="宋体"/>
                <w:sz w:val="21"/>
                <w:szCs w:val="21"/>
              </w:rPr>
            </w:pPr>
            <w:r>
              <w:rPr>
                <w:rFonts w:hint="eastAsia" w:ascii="宋体" w:hAnsi="宋体" w:cs="Times New Roman"/>
                <w:sz w:val="21"/>
                <w:szCs w:val="21"/>
              </w:rPr>
              <w:t>行车作业人员按要求作业。</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numPr>
                <w:ilvl w:val="0"/>
                <w:numId w:val="83"/>
              </w:numPr>
              <w:autoSpaceDE w:val="0"/>
              <w:autoSpaceDN w:val="0"/>
              <w:snapToGrid w:val="0"/>
              <w:spacing w:line="240" w:lineRule="auto"/>
              <w:ind w:firstLine="420"/>
              <w:jc w:val="center"/>
              <w:textAlignment w:val="bottom"/>
              <w:rPr>
                <w:rFonts w:ascii="宋体" w:hAnsi="宋体"/>
                <w:sz w:val="21"/>
                <w:szCs w:val="21"/>
              </w:rPr>
            </w:pPr>
          </w:p>
        </w:tc>
        <w:tc>
          <w:tcPr>
            <w:tcW w:w="2196" w:type="pct"/>
            <w:vAlign w:val="center"/>
          </w:tcPr>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rPr>
              <w:t>工作完毕，行车应停在规定位置，升起吊钩，小车开到轨道两端，切断电源。行车夜间作业应具备充足的照明。</w:t>
            </w:r>
          </w:p>
        </w:tc>
        <w:tc>
          <w:tcPr>
            <w:tcW w:w="1702" w:type="pct"/>
            <w:vAlign w:val="center"/>
          </w:tcPr>
          <w:p>
            <w:pPr>
              <w:spacing w:line="240" w:lineRule="auto"/>
              <w:ind w:firstLine="0" w:firstLineChars="0"/>
              <w:rPr>
                <w:rFonts w:ascii="宋体" w:hAnsi="宋体"/>
                <w:sz w:val="21"/>
                <w:szCs w:val="21"/>
              </w:rPr>
            </w:pPr>
            <w:r>
              <w:rPr>
                <w:rFonts w:hint="eastAsia" w:ascii="宋体" w:hAnsi="宋体" w:cs="Times New Roman"/>
                <w:sz w:val="21"/>
                <w:szCs w:val="21"/>
              </w:rPr>
              <w:t>行车作业人员按要求作业。行车夜间作业具备充足的照明。</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numPr>
                <w:ilvl w:val="0"/>
                <w:numId w:val="83"/>
              </w:numPr>
              <w:autoSpaceDE w:val="0"/>
              <w:autoSpaceDN w:val="0"/>
              <w:snapToGrid w:val="0"/>
              <w:spacing w:line="240" w:lineRule="auto"/>
              <w:ind w:firstLine="420"/>
              <w:jc w:val="center"/>
              <w:textAlignment w:val="bottom"/>
              <w:rPr>
                <w:rFonts w:ascii="宋体" w:hAnsi="宋体"/>
                <w:sz w:val="21"/>
                <w:szCs w:val="21"/>
              </w:rPr>
            </w:pPr>
          </w:p>
        </w:tc>
        <w:tc>
          <w:tcPr>
            <w:tcW w:w="2196" w:type="pct"/>
            <w:vAlign w:val="center"/>
          </w:tcPr>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rPr>
              <w:t>行车电动机、电气设备及电气外壳等必须有良好、可靠的接地措施。</w:t>
            </w:r>
          </w:p>
        </w:tc>
        <w:tc>
          <w:tcPr>
            <w:tcW w:w="1702" w:type="pct"/>
            <w:vAlign w:val="center"/>
          </w:tcPr>
          <w:p>
            <w:pPr>
              <w:spacing w:line="240" w:lineRule="auto"/>
              <w:ind w:firstLine="0" w:firstLineChars="0"/>
              <w:rPr>
                <w:rFonts w:ascii="宋体" w:hAnsi="宋体"/>
                <w:sz w:val="21"/>
                <w:szCs w:val="21"/>
              </w:rPr>
            </w:pPr>
            <w:r>
              <w:rPr>
                <w:rFonts w:hint="eastAsia" w:ascii="宋体" w:hAnsi="宋体" w:cs="Times New Roman"/>
                <w:sz w:val="21"/>
                <w:szCs w:val="21"/>
              </w:rPr>
              <w:t>行车电动机、电气设备及电气外壳等有良好、可靠的接地措施。</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numPr>
                <w:ilvl w:val="0"/>
                <w:numId w:val="83"/>
              </w:numPr>
              <w:autoSpaceDE w:val="0"/>
              <w:autoSpaceDN w:val="0"/>
              <w:snapToGrid w:val="0"/>
              <w:spacing w:line="240" w:lineRule="auto"/>
              <w:ind w:firstLine="420"/>
              <w:jc w:val="center"/>
              <w:textAlignment w:val="bottom"/>
              <w:rPr>
                <w:rFonts w:ascii="宋体" w:hAnsi="宋体"/>
                <w:sz w:val="21"/>
                <w:szCs w:val="21"/>
              </w:rPr>
            </w:pPr>
          </w:p>
        </w:tc>
        <w:tc>
          <w:tcPr>
            <w:tcW w:w="2196" w:type="pct"/>
            <w:vAlign w:val="center"/>
          </w:tcPr>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rPr>
              <w:t>除定期检验外还应对行车进行每月的检修，每月对行车定期检修由设备主管行车工程师于每月月底进行并做好相关记录。在行车检修时如有暂时无法排除的故障，应悬挂警示标志停止使用该行车，等故障排除、消除事故隐患后方可继续使用。</w:t>
            </w:r>
          </w:p>
        </w:tc>
        <w:tc>
          <w:tcPr>
            <w:tcW w:w="1702" w:type="pct"/>
            <w:vAlign w:val="center"/>
          </w:tcPr>
          <w:p>
            <w:pPr>
              <w:spacing w:line="240" w:lineRule="auto"/>
              <w:ind w:firstLine="0" w:firstLineChars="0"/>
              <w:rPr>
                <w:rFonts w:ascii="宋体" w:hAnsi="宋体"/>
                <w:sz w:val="21"/>
                <w:szCs w:val="21"/>
              </w:rPr>
            </w:pPr>
            <w:r>
              <w:rPr>
                <w:rFonts w:hint="eastAsia" w:ascii="宋体" w:hAnsi="宋体" w:cs="Times New Roman"/>
                <w:sz w:val="21"/>
                <w:szCs w:val="21"/>
              </w:rPr>
              <w:t>行车按要求定期检修。</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numPr>
                <w:ilvl w:val="0"/>
                <w:numId w:val="83"/>
              </w:numPr>
              <w:autoSpaceDE w:val="0"/>
              <w:autoSpaceDN w:val="0"/>
              <w:snapToGrid w:val="0"/>
              <w:spacing w:line="240" w:lineRule="auto"/>
              <w:ind w:firstLine="420"/>
              <w:jc w:val="center"/>
              <w:textAlignment w:val="bottom"/>
              <w:rPr>
                <w:rFonts w:ascii="宋体" w:hAnsi="宋体"/>
                <w:sz w:val="21"/>
                <w:szCs w:val="21"/>
              </w:rPr>
            </w:pPr>
          </w:p>
        </w:tc>
        <w:tc>
          <w:tcPr>
            <w:tcW w:w="2196" w:type="pct"/>
            <w:vAlign w:val="center"/>
          </w:tcPr>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rPr>
              <w:t>行车进行检修、检验时必须切断电源、悬挂警示标由专人看管。被检行车下方应设置隔离区。严禁对作业中的行车进行检验与维修。</w:t>
            </w:r>
          </w:p>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rPr>
              <w:t>司机必须认真做到“十不吊”。1、超过额定负荷不吊；2、指挥信号不明，重量不明，光线暗淡不吊；3、吊绳和附件捆缚不牢，不符合安全规则不吊；4、桥吊吊挂重物直接进行加工的不吊，5、歪拉斜挂不吊；6、工件上站人或工件上浮放着有活动物不吊；7、氧气瓶、氩气瓶等具有爆炸性物品不吊；8、带棱角缺口未垫好不吊；9、埋在地下的物件不吊；10、物体盛装过满不吊。</w:t>
            </w:r>
          </w:p>
        </w:tc>
        <w:tc>
          <w:tcPr>
            <w:tcW w:w="1702" w:type="pct"/>
            <w:vAlign w:val="center"/>
          </w:tcPr>
          <w:p>
            <w:pPr>
              <w:spacing w:line="240" w:lineRule="auto"/>
              <w:ind w:firstLine="0" w:firstLineChars="0"/>
              <w:rPr>
                <w:rFonts w:ascii="宋体" w:hAnsi="宋体"/>
                <w:sz w:val="21"/>
                <w:szCs w:val="21"/>
              </w:rPr>
            </w:pPr>
            <w:r>
              <w:rPr>
                <w:rFonts w:hint="eastAsia" w:ascii="宋体" w:hAnsi="宋体" w:cs="Times New Roman"/>
                <w:sz w:val="21"/>
                <w:szCs w:val="21"/>
              </w:rPr>
              <w:t>行车作业人员按要求进行检修志吊，严格执行“十不吊”。</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656" w:type="pct"/>
            <w:vAlign w:val="center"/>
          </w:tcPr>
          <w:p>
            <w:pPr>
              <w:autoSpaceDE w:val="0"/>
              <w:autoSpaceDN w:val="0"/>
              <w:spacing w:line="240" w:lineRule="auto"/>
              <w:ind w:firstLine="0" w:firstLineChars="0"/>
              <w:jc w:val="center"/>
              <w:textAlignment w:val="bottom"/>
              <w:rPr>
                <w:rFonts w:ascii="宋体" w:hAnsi="宋体" w:cs="Times New Roman"/>
                <w:b/>
                <w:bCs/>
                <w:sz w:val="21"/>
                <w:szCs w:val="21"/>
              </w:rPr>
            </w:pPr>
            <w:r>
              <w:rPr>
                <w:rFonts w:hint="eastAsia" w:ascii="宋体" w:hAnsi="宋体" w:cs="Times New Roman"/>
                <w:b/>
                <w:bCs/>
                <w:sz w:val="21"/>
                <w:szCs w:val="21"/>
              </w:rPr>
              <w:t>5.4.5</w:t>
            </w:r>
          </w:p>
        </w:tc>
        <w:tc>
          <w:tcPr>
            <w:tcW w:w="2196" w:type="pct"/>
            <w:vAlign w:val="center"/>
          </w:tcPr>
          <w:p>
            <w:pPr>
              <w:autoSpaceDE w:val="0"/>
              <w:autoSpaceDN w:val="0"/>
              <w:spacing w:line="240" w:lineRule="auto"/>
              <w:ind w:firstLine="0" w:firstLineChars="0"/>
              <w:textAlignment w:val="bottom"/>
              <w:rPr>
                <w:rFonts w:ascii="宋体" w:hAnsi="宋体" w:cs="Times New Roman"/>
                <w:sz w:val="21"/>
                <w:szCs w:val="21"/>
              </w:rPr>
            </w:pPr>
            <w:bookmarkStart w:id="389" w:name="_Toc76119917"/>
            <w:r>
              <w:rPr>
                <w:rFonts w:hint="eastAsia" w:ascii="宋体" w:hAnsi="宋体" w:cs="Times New Roman"/>
                <w:b/>
                <w:bCs/>
                <w:sz w:val="21"/>
                <w:szCs w:val="21"/>
              </w:rPr>
              <w:t>有限空间作业安全措施</w:t>
            </w:r>
            <w:bookmarkEnd w:id="389"/>
          </w:p>
        </w:tc>
        <w:tc>
          <w:tcPr>
            <w:tcW w:w="1702"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w:t>
            </w:r>
          </w:p>
        </w:tc>
        <w:tc>
          <w:tcPr>
            <w:tcW w:w="444" w:type="pct"/>
            <w:vAlign w:val="center"/>
          </w:tcPr>
          <w:p>
            <w:pPr>
              <w:spacing w:line="240" w:lineRule="auto"/>
              <w:ind w:firstLine="0" w:firstLineChars="0"/>
              <w:jc w:val="center"/>
              <w:rPr>
                <w:sz w:val="21"/>
                <w:szCs w:val="21"/>
              </w:rPr>
            </w:pPr>
            <w:r>
              <w:rPr>
                <w:rFonts w:hint="eastAsia"/>
                <w:sz w:val="21"/>
                <w:szCs w:val="21"/>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numPr>
                <w:ilvl w:val="0"/>
                <w:numId w:val="84"/>
              </w:numPr>
              <w:autoSpaceDE w:val="0"/>
              <w:autoSpaceDN w:val="0"/>
              <w:spacing w:line="240" w:lineRule="auto"/>
              <w:ind w:left="0" w:firstLine="0" w:firstLineChars="0"/>
              <w:jc w:val="center"/>
              <w:textAlignment w:val="bottom"/>
              <w:rPr>
                <w:rFonts w:ascii="宋体" w:hAnsi="宋体"/>
                <w:sz w:val="21"/>
                <w:szCs w:val="21"/>
              </w:rPr>
            </w:pPr>
          </w:p>
        </w:tc>
        <w:tc>
          <w:tcPr>
            <w:tcW w:w="2196" w:type="pct"/>
            <w:vAlign w:val="center"/>
          </w:tcPr>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rPr>
              <w:t>建立下列安全生产制度和规程：</w:t>
            </w:r>
          </w:p>
          <w:p>
            <w:pPr>
              <w:numPr>
                <w:ilvl w:val="0"/>
                <w:numId w:val="85"/>
              </w:numPr>
              <w:autoSpaceDE w:val="0"/>
              <w:autoSpaceDN w:val="0"/>
              <w:spacing w:line="240" w:lineRule="auto"/>
              <w:ind w:firstLineChars="0"/>
              <w:textAlignment w:val="bottom"/>
              <w:rPr>
                <w:rFonts w:ascii="宋体" w:hAnsi="宋体" w:cs="Times New Roman"/>
                <w:sz w:val="21"/>
                <w:szCs w:val="21"/>
              </w:rPr>
            </w:pPr>
            <w:r>
              <w:rPr>
                <w:rFonts w:hint="eastAsia" w:ascii="宋体" w:hAnsi="宋体" w:cs="Times New Roman"/>
                <w:sz w:val="21"/>
                <w:szCs w:val="21"/>
              </w:rPr>
              <w:t>有限空间作业安全责任制度。</w:t>
            </w:r>
          </w:p>
          <w:p>
            <w:pPr>
              <w:numPr>
                <w:ilvl w:val="0"/>
                <w:numId w:val="85"/>
              </w:numPr>
              <w:autoSpaceDE w:val="0"/>
              <w:autoSpaceDN w:val="0"/>
              <w:spacing w:line="240" w:lineRule="auto"/>
              <w:ind w:firstLineChars="0"/>
              <w:textAlignment w:val="bottom"/>
              <w:rPr>
                <w:rFonts w:ascii="宋体" w:hAnsi="宋体" w:cs="Times New Roman"/>
                <w:sz w:val="21"/>
                <w:szCs w:val="21"/>
              </w:rPr>
            </w:pPr>
            <w:r>
              <w:rPr>
                <w:rFonts w:hint="eastAsia" w:ascii="宋体" w:hAnsi="宋体" w:cs="Times New Roman"/>
                <w:sz w:val="21"/>
                <w:szCs w:val="21"/>
              </w:rPr>
              <w:t>有限空间作业审批制度。</w:t>
            </w:r>
          </w:p>
          <w:p>
            <w:pPr>
              <w:numPr>
                <w:ilvl w:val="0"/>
                <w:numId w:val="85"/>
              </w:numPr>
              <w:autoSpaceDE w:val="0"/>
              <w:autoSpaceDN w:val="0"/>
              <w:spacing w:line="240" w:lineRule="auto"/>
              <w:ind w:firstLineChars="0"/>
              <w:textAlignment w:val="bottom"/>
              <w:rPr>
                <w:rFonts w:ascii="宋体" w:hAnsi="宋体" w:cs="Times New Roman"/>
                <w:sz w:val="21"/>
                <w:szCs w:val="21"/>
              </w:rPr>
            </w:pPr>
            <w:r>
              <w:rPr>
                <w:rFonts w:hint="eastAsia" w:ascii="宋体" w:hAnsi="宋体" w:cs="Times New Roman"/>
                <w:sz w:val="21"/>
                <w:szCs w:val="21"/>
              </w:rPr>
              <w:t>有限空间作业现场安全管理制度。</w:t>
            </w:r>
          </w:p>
          <w:p>
            <w:pPr>
              <w:numPr>
                <w:ilvl w:val="0"/>
                <w:numId w:val="85"/>
              </w:numPr>
              <w:autoSpaceDE w:val="0"/>
              <w:autoSpaceDN w:val="0"/>
              <w:spacing w:line="240" w:lineRule="auto"/>
              <w:ind w:firstLineChars="0"/>
              <w:textAlignment w:val="bottom"/>
              <w:rPr>
                <w:rFonts w:ascii="宋体" w:hAnsi="宋体" w:cs="Times New Roman"/>
                <w:sz w:val="21"/>
                <w:szCs w:val="21"/>
              </w:rPr>
            </w:pPr>
            <w:r>
              <w:rPr>
                <w:rFonts w:hint="eastAsia" w:ascii="宋体" w:hAnsi="宋体" w:cs="Times New Roman"/>
                <w:sz w:val="21"/>
                <w:szCs w:val="21"/>
              </w:rPr>
              <w:t>有限空间作业现场负责人、监护人员、作业人员、应急救援人员安全培训教育制度。</w:t>
            </w:r>
          </w:p>
          <w:p>
            <w:pPr>
              <w:numPr>
                <w:ilvl w:val="0"/>
                <w:numId w:val="85"/>
              </w:numPr>
              <w:autoSpaceDE w:val="0"/>
              <w:autoSpaceDN w:val="0"/>
              <w:spacing w:line="240" w:lineRule="auto"/>
              <w:ind w:firstLineChars="0"/>
              <w:textAlignment w:val="bottom"/>
              <w:rPr>
                <w:rFonts w:ascii="宋体" w:hAnsi="宋体" w:cs="Times New Roman"/>
                <w:sz w:val="21"/>
                <w:szCs w:val="21"/>
              </w:rPr>
            </w:pPr>
            <w:r>
              <w:rPr>
                <w:rFonts w:hint="eastAsia" w:ascii="宋体" w:hAnsi="宋体" w:cs="Times New Roman"/>
                <w:sz w:val="21"/>
                <w:szCs w:val="21"/>
              </w:rPr>
              <w:t>有限空间作业应急管理制度。</w:t>
            </w:r>
          </w:p>
          <w:p>
            <w:pPr>
              <w:numPr>
                <w:ilvl w:val="0"/>
                <w:numId w:val="85"/>
              </w:numPr>
              <w:autoSpaceDE w:val="0"/>
              <w:autoSpaceDN w:val="0"/>
              <w:spacing w:line="240" w:lineRule="auto"/>
              <w:ind w:firstLineChars="0"/>
              <w:textAlignment w:val="bottom"/>
              <w:rPr>
                <w:rFonts w:ascii="宋体" w:hAnsi="宋体" w:cs="Times New Roman"/>
                <w:sz w:val="21"/>
                <w:szCs w:val="21"/>
              </w:rPr>
            </w:pPr>
            <w:r>
              <w:rPr>
                <w:rFonts w:hint="eastAsia" w:ascii="宋体" w:hAnsi="宋体" w:cs="Times New Roman"/>
                <w:sz w:val="21"/>
                <w:szCs w:val="21"/>
              </w:rPr>
              <w:t>有限空间作业安全操作规程。</w:t>
            </w:r>
          </w:p>
        </w:tc>
        <w:tc>
          <w:tcPr>
            <w:tcW w:w="1702" w:type="pct"/>
            <w:vAlign w:val="center"/>
          </w:tcPr>
          <w:p>
            <w:pPr>
              <w:spacing w:line="240" w:lineRule="auto"/>
              <w:ind w:firstLine="0" w:firstLineChars="0"/>
              <w:rPr>
                <w:rFonts w:ascii="宋体" w:hAnsi="宋体"/>
                <w:sz w:val="21"/>
                <w:szCs w:val="21"/>
              </w:rPr>
            </w:pPr>
            <w:r>
              <w:rPr>
                <w:rFonts w:hint="eastAsia" w:ascii="宋体" w:hAnsi="宋体"/>
                <w:sz w:val="21"/>
                <w:szCs w:val="21"/>
              </w:rPr>
              <w:t>企业按要求建立有限空间管理制度。</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numPr>
                <w:ilvl w:val="0"/>
                <w:numId w:val="84"/>
              </w:numPr>
              <w:autoSpaceDE w:val="0"/>
              <w:autoSpaceDN w:val="0"/>
              <w:spacing w:line="240" w:lineRule="auto"/>
              <w:ind w:left="0" w:firstLine="0" w:firstLineChars="0"/>
              <w:jc w:val="center"/>
              <w:textAlignment w:val="bottom"/>
              <w:rPr>
                <w:rFonts w:ascii="宋体" w:hAnsi="宋体"/>
                <w:sz w:val="21"/>
                <w:szCs w:val="21"/>
              </w:rPr>
            </w:pPr>
          </w:p>
        </w:tc>
        <w:tc>
          <w:tcPr>
            <w:tcW w:w="2196" w:type="pct"/>
            <w:vAlign w:val="center"/>
          </w:tcPr>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rPr>
              <w:t>企业对从事有限空间作业的现场负责人、监护人员、作业人员、应急救援人员进行专项安全培训。专项安全培训包括下列内容：</w:t>
            </w:r>
          </w:p>
          <w:p>
            <w:pPr>
              <w:numPr>
                <w:ilvl w:val="0"/>
                <w:numId w:val="86"/>
              </w:numPr>
              <w:autoSpaceDE w:val="0"/>
              <w:autoSpaceDN w:val="0"/>
              <w:spacing w:line="240" w:lineRule="auto"/>
              <w:ind w:firstLineChars="0"/>
              <w:textAlignment w:val="bottom"/>
              <w:rPr>
                <w:rFonts w:ascii="宋体" w:hAnsi="宋体" w:cs="Times New Roman"/>
                <w:sz w:val="21"/>
                <w:szCs w:val="21"/>
              </w:rPr>
            </w:pPr>
            <w:r>
              <w:rPr>
                <w:rFonts w:hint="eastAsia" w:ascii="宋体" w:hAnsi="宋体" w:cs="Times New Roman"/>
                <w:sz w:val="21"/>
                <w:szCs w:val="21"/>
              </w:rPr>
              <w:t>有限空间作业的危险有害因素和安全防范措施。</w:t>
            </w:r>
          </w:p>
          <w:p>
            <w:pPr>
              <w:numPr>
                <w:ilvl w:val="0"/>
                <w:numId w:val="86"/>
              </w:numPr>
              <w:autoSpaceDE w:val="0"/>
              <w:autoSpaceDN w:val="0"/>
              <w:spacing w:line="240" w:lineRule="auto"/>
              <w:ind w:firstLineChars="0"/>
              <w:textAlignment w:val="bottom"/>
              <w:rPr>
                <w:rFonts w:ascii="宋体" w:hAnsi="宋体" w:cs="Times New Roman"/>
                <w:sz w:val="21"/>
                <w:szCs w:val="21"/>
              </w:rPr>
            </w:pPr>
            <w:r>
              <w:rPr>
                <w:rFonts w:hint="eastAsia" w:ascii="宋体" w:hAnsi="宋体" w:cs="Times New Roman"/>
                <w:sz w:val="21"/>
                <w:szCs w:val="21"/>
              </w:rPr>
              <w:t>有限空间作业的安全操作规程。</w:t>
            </w:r>
          </w:p>
          <w:p>
            <w:pPr>
              <w:numPr>
                <w:ilvl w:val="0"/>
                <w:numId w:val="86"/>
              </w:numPr>
              <w:autoSpaceDE w:val="0"/>
              <w:autoSpaceDN w:val="0"/>
              <w:spacing w:line="240" w:lineRule="auto"/>
              <w:ind w:firstLineChars="0"/>
              <w:textAlignment w:val="bottom"/>
              <w:rPr>
                <w:rFonts w:ascii="宋体" w:hAnsi="宋体" w:cs="Times New Roman"/>
                <w:sz w:val="21"/>
                <w:szCs w:val="21"/>
              </w:rPr>
            </w:pPr>
            <w:r>
              <w:rPr>
                <w:rFonts w:hint="eastAsia" w:ascii="宋体" w:hAnsi="宋体" w:cs="Times New Roman"/>
                <w:sz w:val="21"/>
                <w:szCs w:val="21"/>
              </w:rPr>
              <w:t>监测仪器、劳动防护用品的正确使用。</w:t>
            </w:r>
          </w:p>
          <w:p>
            <w:pPr>
              <w:numPr>
                <w:ilvl w:val="0"/>
                <w:numId w:val="86"/>
              </w:numPr>
              <w:autoSpaceDE w:val="0"/>
              <w:autoSpaceDN w:val="0"/>
              <w:spacing w:line="240" w:lineRule="auto"/>
              <w:ind w:firstLineChars="0"/>
              <w:textAlignment w:val="bottom"/>
              <w:rPr>
                <w:rFonts w:ascii="宋体" w:hAnsi="宋体" w:cs="Times New Roman"/>
                <w:sz w:val="21"/>
                <w:szCs w:val="21"/>
              </w:rPr>
            </w:pPr>
            <w:r>
              <w:rPr>
                <w:rFonts w:hint="eastAsia" w:ascii="宋体" w:hAnsi="宋体" w:cs="Times New Roman"/>
                <w:sz w:val="21"/>
                <w:szCs w:val="21"/>
              </w:rPr>
              <w:t>紧急情况下的应急处置措施。</w:t>
            </w:r>
          </w:p>
          <w:p>
            <w:pPr>
              <w:numPr>
                <w:ilvl w:val="0"/>
                <w:numId w:val="86"/>
              </w:numPr>
              <w:autoSpaceDE w:val="0"/>
              <w:autoSpaceDN w:val="0"/>
              <w:spacing w:line="240" w:lineRule="auto"/>
              <w:ind w:firstLineChars="0"/>
              <w:textAlignment w:val="bottom"/>
              <w:rPr>
                <w:rFonts w:ascii="宋体" w:hAnsi="宋体" w:cs="Times New Roman"/>
                <w:sz w:val="21"/>
                <w:szCs w:val="21"/>
              </w:rPr>
            </w:pPr>
            <w:r>
              <w:rPr>
                <w:rFonts w:hint="eastAsia" w:ascii="宋体" w:hAnsi="宋体" w:cs="Times New Roman"/>
                <w:sz w:val="21"/>
                <w:szCs w:val="21"/>
              </w:rPr>
              <w:t>安全培训有专门记录，并由参加培训的人员签字确认。</w:t>
            </w:r>
          </w:p>
        </w:tc>
        <w:tc>
          <w:tcPr>
            <w:tcW w:w="1702" w:type="pct"/>
            <w:vAlign w:val="center"/>
          </w:tcPr>
          <w:p>
            <w:pPr>
              <w:spacing w:line="240" w:lineRule="auto"/>
              <w:ind w:firstLine="0" w:firstLineChars="0"/>
              <w:rPr>
                <w:rFonts w:ascii="宋体" w:hAnsi="宋体"/>
                <w:sz w:val="21"/>
                <w:szCs w:val="21"/>
              </w:rPr>
            </w:pPr>
            <w:r>
              <w:rPr>
                <w:rFonts w:hint="eastAsia" w:ascii="宋体" w:hAnsi="宋体"/>
                <w:sz w:val="21"/>
                <w:szCs w:val="21"/>
              </w:rPr>
              <w:t>企业按要求开展有限空间专项安全培训。</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numPr>
                <w:ilvl w:val="0"/>
                <w:numId w:val="84"/>
              </w:numPr>
              <w:autoSpaceDE w:val="0"/>
              <w:autoSpaceDN w:val="0"/>
              <w:spacing w:line="240" w:lineRule="auto"/>
              <w:ind w:left="0" w:firstLine="0" w:firstLineChars="0"/>
              <w:jc w:val="center"/>
              <w:textAlignment w:val="bottom"/>
              <w:rPr>
                <w:rFonts w:ascii="宋体" w:hAnsi="宋体"/>
                <w:sz w:val="21"/>
                <w:szCs w:val="21"/>
              </w:rPr>
            </w:pPr>
          </w:p>
        </w:tc>
        <w:tc>
          <w:tcPr>
            <w:tcW w:w="2196" w:type="pct"/>
            <w:vAlign w:val="center"/>
          </w:tcPr>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rPr>
              <w:t>企业对本单位的有限空间进行辨识，确定有限空间的数量、位置以及危险有害因素等基本情况，建立有限空间管理台账，并及时更新。</w:t>
            </w:r>
          </w:p>
        </w:tc>
        <w:tc>
          <w:tcPr>
            <w:tcW w:w="1702" w:type="pct"/>
            <w:vAlign w:val="center"/>
          </w:tcPr>
          <w:p>
            <w:pPr>
              <w:spacing w:line="240" w:lineRule="auto"/>
              <w:ind w:firstLine="0" w:firstLineChars="0"/>
              <w:rPr>
                <w:rFonts w:ascii="宋体" w:hAnsi="宋体"/>
                <w:sz w:val="21"/>
                <w:szCs w:val="21"/>
              </w:rPr>
            </w:pPr>
            <w:r>
              <w:rPr>
                <w:rFonts w:hint="eastAsia" w:ascii="宋体" w:hAnsi="宋体"/>
                <w:sz w:val="21"/>
                <w:szCs w:val="21"/>
              </w:rPr>
              <w:t>企业建立有限空间管理台账，并及时更新。</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numPr>
                <w:ilvl w:val="0"/>
                <w:numId w:val="84"/>
              </w:numPr>
              <w:autoSpaceDE w:val="0"/>
              <w:autoSpaceDN w:val="0"/>
              <w:spacing w:line="240" w:lineRule="auto"/>
              <w:ind w:left="0" w:firstLine="0" w:firstLineChars="0"/>
              <w:jc w:val="center"/>
              <w:textAlignment w:val="bottom"/>
              <w:rPr>
                <w:rFonts w:ascii="宋体" w:hAnsi="宋体"/>
                <w:sz w:val="21"/>
                <w:szCs w:val="21"/>
              </w:rPr>
            </w:pPr>
          </w:p>
        </w:tc>
        <w:tc>
          <w:tcPr>
            <w:tcW w:w="2196" w:type="pct"/>
            <w:vAlign w:val="center"/>
          </w:tcPr>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rPr>
              <w:t>企业实施有限空间作业前，对作业环境进行评估，分析存在的危险有害因素，提出消除、控制危害的措施，制定有限空间作业方案，并经本企业安全生产管理人员审核，负责人批准。</w:t>
            </w:r>
          </w:p>
        </w:tc>
        <w:tc>
          <w:tcPr>
            <w:tcW w:w="1702" w:type="pct"/>
            <w:vAlign w:val="center"/>
          </w:tcPr>
          <w:p>
            <w:pPr>
              <w:spacing w:line="240" w:lineRule="auto"/>
              <w:ind w:firstLine="0" w:firstLineChars="0"/>
              <w:rPr>
                <w:rFonts w:ascii="宋体" w:hAnsi="宋体"/>
                <w:sz w:val="21"/>
                <w:szCs w:val="21"/>
              </w:rPr>
            </w:pPr>
            <w:r>
              <w:rPr>
                <w:rFonts w:hint="eastAsia" w:ascii="宋体" w:hAnsi="宋体"/>
                <w:sz w:val="21"/>
                <w:szCs w:val="21"/>
              </w:rPr>
              <w:t>企业落实有限空间作业审批制度。</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numPr>
                <w:ilvl w:val="0"/>
                <w:numId w:val="84"/>
              </w:numPr>
              <w:autoSpaceDE w:val="0"/>
              <w:autoSpaceDN w:val="0"/>
              <w:spacing w:line="240" w:lineRule="auto"/>
              <w:ind w:left="0" w:firstLine="0" w:firstLineChars="0"/>
              <w:jc w:val="center"/>
              <w:textAlignment w:val="bottom"/>
              <w:rPr>
                <w:rFonts w:ascii="宋体" w:hAnsi="宋体"/>
                <w:sz w:val="21"/>
                <w:szCs w:val="21"/>
              </w:rPr>
            </w:pPr>
          </w:p>
        </w:tc>
        <w:tc>
          <w:tcPr>
            <w:tcW w:w="2196" w:type="pct"/>
            <w:vAlign w:val="center"/>
          </w:tcPr>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rPr>
              <w:t>企业按照有限空间作业方案，明确作业现场负责人、监护人员、作业人员及其安全职责。</w:t>
            </w:r>
          </w:p>
        </w:tc>
        <w:tc>
          <w:tcPr>
            <w:tcW w:w="1702" w:type="pct"/>
            <w:vAlign w:val="center"/>
          </w:tcPr>
          <w:p>
            <w:pPr>
              <w:spacing w:line="240" w:lineRule="auto"/>
              <w:ind w:firstLine="0" w:firstLineChars="0"/>
              <w:rPr>
                <w:rFonts w:ascii="宋体" w:hAnsi="宋体"/>
                <w:sz w:val="21"/>
                <w:szCs w:val="21"/>
              </w:rPr>
            </w:pPr>
            <w:r>
              <w:rPr>
                <w:rFonts w:hint="eastAsia" w:ascii="宋体" w:hAnsi="宋体"/>
                <w:sz w:val="21"/>
                <w:szCs w:val="21"/>
              </w:rPr>
              <w:t>企业落实有限空间作业审批制度。</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numPr>
                <w:ilvl w:val="0"/>
                <w:numId w:val="84"/>
              </w:numPr>
              <w:autoSpaceDE w:val="0"/>
              <w:autoSpaceDN w:val="0"/>
              <w:spacing w:line="240" w:lineRule="auto"/>
              <w:ind w:left="0" w:firstLine="0" w:firstLineChars="0"/>
              <w:jc w:val="center"/>
              <w:textAlignment w:val="bottom"/>
              <w:rPr>
                <w:rFonts w:ascii="宋体" w:hAnsi="宋体"/>
                <w:sz w:val="21"/>
                <w:szCs w:val="21"/>
              </w:rPr>
            </w:pPr>
          </w:p>
        </w:tc>
        <w:tc>
          <w:tcPr>
            <w:tcW w:w="2196" w:type="pct"/>
            <w:vAlign w:val="center"/>
          </w:tcPr>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rPr>
              <w:t>企业实施有限空间作业前，将有限空间作业方案和作业现场可能存在的危险有害因素、防控措施告知作业人员。现场负责人监督作业人员按照方案进行作业准备。</w:t>
            </w:r>
          </w:p>
        </w:tc>
        <w:tc>
          <w:tcPr>
            <w:tcW w:w="1702" w:type="pct"/>
            <w:vAlign w:val="center"/>
          </w:tcPr>
          <w:p>
            <w:pPr>
              <w:spacing w:line="240" w:lineRule="auto"/>
              <w:ind w:firstLine="0" w:firstLineChars="0"/>
              <w:rPr>
                <w:rFonts w:ascii="宋体" w:hAnsi="宋体"/>
                <w:sz w:val="21"/>
                <w:szCs w:val="21"/>
              </w:rPr>
            </w:pPr>
            <w:r>
              <w:rPr>
                <w:rFonts w:hint="eastAsia" w:ascii="宋体" w:hAnsi="宋体"/>
                <w:sz w:val="21"/>
                <w:szCs w:val="21"/>
              </w:rPr>
              <w:t>企业落实有限空间作业审批制度，将</w:t>
            </w:r>
            <w:r>
              <w:rPr>
                <w:rFonts w:hint="eastAsia" w:ascii="宋体" w:hAnsi="宋体" w:cs="Times New Roman"/>
                <w:sz w:val="21"/>
                <w:szCs w:val="21"/>
              </w:rPr>
              <w:t>有限空间作业方案和作业现场可能存在的危险有害因素、防控措施告知作业人员。现场负责人监督作业人员按照方案进行作业准备。</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numPr>
                <w:ilvl w:val="0"/>
                <w:numId w:val="84"/>
              </w:numPr>
              <w:autoSpaceDE w:val="0"/>
              <w:autoSpaceDN w:val="0"/>
              <w:spacing w:line="240" w:lineRule="auto"/>
              <w:ind w:left="0" w:firstLine="0" w:firstLineChars="0"/>
              <w:jc w:val="center"/>
              <w:textAlignment w:val="bottom"/>
              <w:rPr>
                <w:rFonts w:ascii="宋体" w:hAnsi="宋体"/>
                <w:sz w:val="21"/>
                <w:szCs w:val="21"/>
              </w:rPr>
            </w:pPr>
          </w:p>
        </w:tc>
        <w:tc>
          <w:tcPr>
            <w:tcW w:w="2196" w:type="pct"/>
            <w:vAlign w:val="center"/>
          </w:tcPr>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rPr>
              <w:t>企业采取可靠的隔断（隔离）措施，将可能危及作业安全的设施设备、存在有毒有害物质的空间与作业地点隔开。</w:t>
            </w:r>
          </w:p>
        </w:tc>
        <w:tc>
          <w:tcPr>
            <w:tcW w:w="1702" w:type="pct"/>
            <w:vAlign w:val="center"/>
          </w:tcPr>
          <w:p>
            <w:pPr>
              <w:spacing w:line="240" w:lineRule="auto"/>
              <w:ind w:firstLine="0" w:firstLineChars="0"/>
              <w:rPr>
                <w:rFonts w:ascii="宋体" w:hAnsi="宋体"/>
                <w:sz w:val="21"/>
                <w:szCs w:val="21"/>
              </w:rPr>
            </w:pPr>
            <w:r>
              <w:rPr>
                <w:rFonts w:hint="eastAsia" w:ascii="宋体" w:hAnsi="宋体"/>
                <w:sz w:val="21"/>
                <w:szCs w:val="21"/>
              </w:rPr>
              <w:t>有限空间作业</w:t>
            </w:r>
            <w:r>
              <w:rPr>
                <w:rFonts w:hint="eastAsia" w:ascii="宋体" w:hAnsi="宋体" w:cs="Times New Roman"/>
                <w:sz w:val="21"/>
                <w:szCs w:val="21"/>
              </w:rPr>
              <w:t>采取可靠隔断（隔离）措施。</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numPr>
                <w:ilvl w:val="0"/>
                <w:numId w:val="84"/>
              </w:numPr>
              <w:autoSpaceDE w:val="0"/>
              <w:autoSpaceDN w:val="0"/>
              <w:spacing w:line="240" w:lineRule="auto"/>
              <w:ind w:left="0" w:firstLine="0" w:firstLineChars="0"/>
              <w:jc w:val="center"/>
              <w:textAlignment w:val="bottom"/>
              <w:rPr>
                <w:rFonts w:ascii="宋体" w:hAnsi="宋体"/>
                <w:sz w:val="21"/>
                <w:szCs w:val="21"/>
              </w:rPr>
            </w:pPr>
          </w:p>
        </w:tc>
        <w:tc>
          <w:tcPr>
            <w:tcW w:w="2196" w:type="pct"/>
            <w:vAlign w:val="center"/>
          </w:tcPr>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rPr>
              <w:t>有限空间作业严格遵守“先通风、再检测、后作业”的原则。检测指标包括氧浓度、易燃易爆物质（可燃性气体）浓度、有毒有害气体浓度。检测符合相关国家标准或者行业标准的规定。未经通风和检测合格，任何人员不得进入有限空间作业。检测的时间不得早于作业开始前30分钟。</w:t>
            </w:r>
          </w:p>
        </w:tc>
        <w:tc>
          <w:tcPr>
            <w:tcW w:w="1702" w:type="pct"/>
            <w:vAlign w:val="center"/>
          </w:tcPr>
          <w:p>
            <w:pPr>
              <w:spacing w:line="240" w:lineRule="auto"/>
              <w:ind w:firstLine="0" w:firstLineChars="0"/>
              <w:rPr>
                <w:rFonts w:ascii="宋体" w:hAnsi="宋体"/>
                <w:sz w:val="21"/>
                <w:szCs w:val="21"/>
              </w:rPr>
            </w:pPr>
            <w:r>
              <w:rPr>
                <w:rFonts w:hint="eastAsia" w:ascii="宋体" w:hAnsi="宋体"/>
                <w:sz w:val="21"/>
                <w:szCs w:val="21"/>
              </w:rPr>
              <w:t>有限空间作业执行</w:t>
            </w:r>
            <w:r>
              <w:rPr>
                <w:rFonts w:hint="eastAsia" w:ascii="宋体" w:hAnsi="宋体" w:cs="Times New Roman"/>
                <w:sz w:val="21"/>
                <w:szCs w:val="21"/>
              </w:rPr>
              <w:t>“先通风、再检测、后作业”的原则。</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numPr>
                <w:ilvl w:val="0"/>
                <w:numId w:val="84"/>
              </w:numPr>
              <w:autoSpaceDE w:val="0"/>
              <w:autoSpaceDN w:val="0"/>
              <w:spacing w:line="240" w:lineRule="auto"/>
              <w:ind w:left="0" w:firstLine="0" w:firstLineChars="0"/>
              <w:jc w:val="center"/>
              <w:textAlignment w:val="bottom"/>
              <w:rPr>
                <w:rFonts w:ascii="宋体" w:hAnsi="宋体"/>
                <w:sz w:val="21"/>
                <w:szCs w:val="21"/>
              </w:rPr>
            </w:pPr>
          </w:p>
        </w:tc>
        <w:tc>
          <w:tcPr>
            <w:tcW w:w="2196" w:type="pct"/>
            <w:vAlign w:val="center"/>
          </w:tcPr>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rPr>
              <w:t>检测人员进行检测时，记录检测的时间、地点、气体种类、浓度等信息。检测记录经检测人员签字后存档。检测人员采取相应的安全防护措施，防止中毒窒息等事故发生。</w:t>
            </w:r>
          </w:p>
        </w:tc>
        <w:tc>
          <w:tcPr>
            <w:tcW w:w="1702" w:type="pct"/>
            <w:vAlign w:val="center"/>
          </w:tcPr>
          <w:p>
            <w:pPr>
              <w:spacing w:line="240" w:lineRule="auto"/>
              <w:ind w:firstLine="0" w:firstLineChars="0"/>
              <w:rPr>
                <w:rFonts w:ascii="宋体" w:hAnsi="宋体"/>
                <w:sz w:val="21"/>
                <w:szCs w:val="21"/>
              </w:rPr>
            </w:pPr>
            <w:r>
              <w:rPr>
                <w:rFonts w:hint="eastAsia" w:ascii="宋体" w:hAnsi="宋体"/>
                <w:sz w:val="21"/>
                <w:szCs w:val="21"/>
              </w:rPr>
              <w:t>按要求进行检测。</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numPr>
                <w:ilvl w:val="0"/>
                <w:numId w:val="84"/>
              </w:numPr>
              <w:autoSpaceDE w:val="0"/>
              <w:autoSpaceDN w:val="0"/>
              <w:spacing w:line="240" w:lineRule="auto"/>
              <w:ind w:left="0" w:firstLine="0" w:firstLineChars="0"/>
              <w:jc w:val="center"/>
              <w:textAlignment w:val="bottom"/>
              <w:rPr>
                <w:rFonts w:ascii="宋体" w:hAnsi="宋体"/>
                <w:sz w:val="21"/>
                <w:szCs w:val="21"/>
              </w:rPr>
            </w:pPr>
          </w:p>
        </w:tc>
        <w:tc>
          <w:tcPr>
            <w:tcW w:w="2196" w:type="pct"/>
            <w:vAlign w:val="center"/>
          </w:tcPr>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rPr>
              <w:t>有限空间内盛装或者残留的物料对作业存在危害时，作业人员在作业前对物料进行清洗、清空或者置换。经检测，有限空间的危险有害因素符合《工作场所有害因素职业接触限值 第1部分 化学有害因素》（GBZ 2.1-2019）的要求后，方可进入有限空间作业。</w:t>
            </w:r>
          </w:p>
        </w:tc>
        <w:tc>
          <w:tcPr>
            <w:tcW w:w="1702" w:type="pct"/>
            <w:vAlign w:val="center"/>
          </w:tcPr>
          <w:p>
            <w:pPr>
              <w:spacing w:line="240" w:lineRule="auto"/>
              <w:ind w:firstLine="0" w:firstLineChars="0"/>
              <w:rPr>
                <w:rFonts w:ascii="宋体" w:hAnsi="宋体"/>
                <w:sz w:val="21"/>
                <w:szCs w:val="21"/>
              </w:rPr>
            </w:pPr>
            <w:r>
              <w:rPr>
                <w:rFonts w:hint="eastAsia" w:ascii="宋体" w:hAnsi="宋体" w:cs="Times New Roman"/>
                <w:sz w:val="21"/>
                <w:szCs w:val="21"/>
              </w:rPr>
              <w:t>按要求对物料进行清洗、清空或者置换。</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numPr>
                <w:ilvl w:val="0"/>
                <w:numId w:val="84"/>
              </w:numPr>
              <w:autoSpaceDE w:val="0"/>
              <w:autoSpaceDN w:val="0"/>
              <w:spacing w:line="240" w:lineRule="auto"/>
              <w:ind w:left="0" w:firstLine="0" w:firstLineChars="0"/>
              <w:jc w:val="center"/>
              <w:textAlignment w:val="bottom"/>
              <w:rPr>
                <w:rFonts w:ascii="宋体" w:hAnsi="宋体"/>
                <w:sz w:val="21"/>
                <w:szCs w:val="21"/>
              </w:rPr>
            </w:pPr>
          </w:p>
        </w:tc>
        <w:tc>
          <w:tcPr>
            <w:tcW w:w="2196" w:type="pct"/>
            <w:vAlign w:val="center"/>
          </w:tcPr>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rPr>
              <w:t>在有限空间作业过程中，企业采取通风措施，保持空气流通，禁止采用纯氧通风换气。</w:t>
            </w:r>
          </w:p>
        </w:tc>
        <w:tc>
          <w:tcPr>
            <w:tcW w:w="1702" w:type="pct"/>
            <w:vAlign w:val="center"/>
          </w:tcPr>
          <w:p>
            <w:pPr>
              <w:spacing w:line="240" w:lineRule="auto"/>
              <w:ind w:firstLine="0" w:firstLineChars="0"/>
              <w:rPr>
                <w:rFonts w:ascii="宋体" w:hAnsi="宋体"/>
                <w:sz w:val="21"/>
                <w:szCs w:val="21"/>
              </w:rPr>
            </w:pPr>
            <w:r>
              <w:rPr>
                <w:rFonts w:hint="eastAsia" w:ascii="宋体" w:hAnsi="宋体" w:cs="Times New Roman"/>
                <w:sz w:val="21"/>
                <w:szCs w:val="21"/>
              </w:rPr>
              <w:t>有限空间作业过程中，企业采取通风措施，保持空气流通，不采用纯氧通风换气。</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numPr>
                <w:ilvl w:val="0"/>
                <w:numId w:val="84"/>
              </w:numPr>
              <w:autoSpaceDE w:val="0"/>
              <w:autoSpaceDN w:val="0"/>
              <w:spacing w:line="240" w:lineRule="auto"/>
              <w:ind w:left="0" w:firstLine="0" w:firstLineChars="0"/>
              <w:jc w:val="center"/>
              <w:textAlignment w:val="bottom"/>
              <w:rPr>
                <w:rFonts w:ascii="宋体" w:hAnsi="宋体"/>
                <w:sz w:val="21"/>
                <w:szCs w:val="21"/>
              </w:rPr>
            </w:pPr>
          </w:p>
        </w:tc>
        <w:tc>
          <w:tcPr>
            <w:tcW w:w="2196" w:type="pct"/>
            <w:vAlign w:val="center"/>
          </w:tcPr>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rPr>
              <w:t>发现通风设备停止运转、有限空间内氧含量浓度低于或者有毒有害气体浓度高于国家标准或者行业标准规定的限值时，工贸企业必须立即停止有限空间作业，清点作业人员，撤离作业现场。</w:t>
            </w:r>
          </w:p>
        </w:tc>
        <w:tc>
          <w:tcPr>
            <w:tcW w:w="1702" w:type="pct"/>
            <w:vAlign w:val="center"/>
          </w:tcPr>
          <w:p>
            <w:pPr>
              <w:spacing w:line="240" w:lineRule="auto"/>
              <w:ind w:firstLine="0" w:firstLineChars="0"/>
              <w:rPr>
                <w:rFonts w:ascii="宋体" w:hAnsi="宋体"/>
                <w:sz w:val="21"/>
                <w:szCs w:val="21"/>
              </w:rPr>
            </w:pPr>
            <w:r>
              <w:rPr>
                <w:rFonts w:hint="eastAsia" w:ascii="宋体" w:hAnsi="宋体"/>
                <w:sz w:val="21"/>
                <w:szCs w:val="21"/>
              </w:rPr>
              <w:t>按要求进行有限空间作业，通风设备</w:t>
            </w:r>
            <w:r>
              <w:rPr>
                <w:rFonts w:hint="eastAsia" w:ascii="宋体" w:hAnsi="宋体" w:cs="Times New Roman"/>
                <w:sz w:val="21"/>
                <w:szCs w:val="21"/>
              </w:rPr>
              <w:t>停止运转、有限空间内氧含量浓度低于或者有毒有害气体浓度高于国家标准或者行业标准规定的限值时，立即停止有限空间作业。</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numPr>
                <w:ilvl w:val="0"/>
                <w:numId w:val="84"/>
              </w:numPr>
              <w:autoSpaceDE w:val="0"/>
              <w:autoSpaceDN w:val="0"/>
              <w:spacing w:line="240" w:lineRule="auto"/>
              <w:ind w:left="0" w:firstLine="0" w:firstLineChars="0"/>
              <w:jc w:val="center"/>
              <w:textAlignment w:val="bottom"/>
              <w:rPr>
                <w:rFonts w:ascii="宋体" w:hAnsi="宋体"/>
                <w:sz w:val="21"/>
                <w:szCs w:val="21"/>
              </w:rPr>
            </w:pPr>
          </w:p>
        </w:tc>
        <w:tc>
          <w:tcPr>
            <w:tcW w:w="2196" w:type="pct"/>
            <w:vAlign w:val="center"/>
          </w:tcPr>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rPr>
              <w:t>在有限空间作业过程中，工贸企业对作业场所中的危险有害因素进行定时检测或者连续监测。作业中断超过30分钟，作业人员再次进入有限空间作业前，重新通风、检测合格后方可进入。</w:t>
            </w:r>
          </w:p>
        </w:tc>
        <w:tc>
          <w:tcPr>
            <w:tcW w:w="1702" w:type="pct"/>
            <w:vAlign w:val="center"/>
          </w:tcPr>
          <w:p>
            <w:pPr>
              <w:spacing w:line="240" w:lineRule="auto"/>
              <w:ind w:firstLine="0" w:firstLineChars="0"/>
              <w:rPr>
                <w:rFonts w:ascii="宋体" w:hAnsi="宋体"/>
                <w:sz w:val="21"/>
                <w:szCs w:val="21"/>
              </w:rPr>
            </w:pPr>
            <w:r>
              <w:rPr>
                <w:rFonts w:hint="eastAsia" w:ascii="宋体" w:hAnsi="宋体"/>
                <w:sz w:val="21"/>
                <w:szCs w:val="21"/>
              </w:rPr>
              <w:t>按要求进行定时检测。</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numPr>
                <w:ilvl w:val="0"/>
                <w:numId w:val="84"/>
              </w:numPr>
              <w:autoSpaceDE w:val="0"/>
              <w:autoSpaceDN w:val="0"/>
              <w:spacing w:line="240" w:lineRule="auto"/>
              <w:ind w:left="0" w:firstLine="0" w:firstLineChars="0"/>
              <w:jc w:val="center"/>
              <w:textAlignment w:val="bottom"/>
              <w:rPr>
                <w:rFonts w:ascii="宋体" w:hAnsi="宋体"/>
                <w:sz w:val="21"/>
                <w:szCs w:val="21"/>
              </w:rPr>
            </w:pPr>
          </w:p>
        </w:tc>
        <w:tc>
          <w:tcPr>
            <w:tcW w:w="2196" w:type="pct"/>
            <w:vAlign w:val="center"/>
          </w:tcPr>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rPr>
              <w:t>有限空间作业场所的照明灯具电压符合《特低电压限值》（GB/T3805-2008）等国家标准或者行业标准的规定；作业场所存在可燃性气体、粉尘的，其电气设施设备及照明灯具的防爆安全要求符合《爆炸性环境第一部分：设备通用要求》（GB/T 3836.1-2021）等国家标准或者行业标准的规定。</w:t>
            </w:r>
          </w:p>
        </w:tc>
        <w:tc>
          <w:tcPr>
            <w:tcW w:w="1702" w:type="pct"/>
            <w:vAlign w:val="center"/>
          </w:tcPr>
          <w:p>
            <w:pPr>
              <w:spacing w:line="240" w:lineRule="auto"/>
              <w:ind w:firstLine="0" w:firstLineChars="0"/>
              <w:rPr>
                <w:rFonts w:ascii="宋体" w:hAnsi="宋体"/>
                <w:sz w:val="21"/>
                <w:szCs w:val="21"/>
              </w:rPr>
            </w:pPr>
            <w:r>
              <w:rPr>
                <w:rFonts w:hint="eastAsia" w:ascii="宋体" w:hAnsi="宋体" w:cs="Times New Roman"/>
                <w:sz w:val="21"/>
                <w:szCs w:val="21"/>
              </w:rPr>
              <w:t>有限空间作业场所的照明灯具电压符合规范要求。</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numPr>
                <w:ilvl w:val="0"/>
                <w:numId w:val="84"/>
              </w:numPr>
              <w:autoSpaceDE w:val="0"/>
              <w:autoSpaceDN w:val="0"/>
              <w:spacing w:line="240" w:lineRule="auto"/>
              <w:ind w:left="0" w:firstLine="0" w:firstLineChars="0"/>
              <w:jc w:val="center"/>
              <w:textAlignment w:val="bottom"/>
              <w:rPr>
                <w:rFonts w:ascii="宋体" w:hAnsi="宋体"/>
                <w:sz w:val="21"/>
                <w:szCs w:val="21"/>
              </w:rPr>
            </w:pPr>
          </w:p>
        </w:tc>
        <w:tc>
          <w:tcPr>
            <w:tcW w:w="2196" w:type="pct"/>
            <w:vAlign w:val="center"/>
          </w:tcPr>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rPr>
              <w:t>企业根据有限空间存在危险有害因素的种类和危害程度，为作业人员提供符合国家标准或者行业标准规定的劳动防护用品，并教育监督作业人员正确佩戴与使用。</w:t>
            </w:r>
          </w:p>
        </w:tc>
        <w:tc>
          <w:tcPr>
            <w:tcW w:w="1702" w:type="pct"/>
            <w:vAlign w:val="center"/>
          </w:tcPr>
          <w:p>
            <w:pPr>
              <w:spacing w:line="240" w:lineRule="auto"/>
              <w:ind w:firstLine="0" w:firstLineChars="0"/>
              <w:rPr>
                <w:rFonts w:ascii="宋体" w:hAnsi="宋体"/>
                <w:sz w:val="21"/>
                <w:szCs w:val="21"/>
              </w:rPr>
            </w:pPr>
            <w:r>
              <w:rPr>
                <w:rFonts w:hint="eastAsia" w:ascii="宋体" w:hAnsi="宋体" w:cs="Times New Roman"/>
                <w:sz w:val="21"/>
                <w:szCs w:val="21"/>
              </w:rPr>
              <w:t>企业为有限空间作业人员提供符合国家标准或者行业标准规定的劳动防护用品，并教育监督作业人员正确佩戴与使用。</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numPr>
                <w:ilvl w:val="0"/>
                <w:numId w:val="84"/>
              </w:numPr>
              <w:autoSpaceDE w:val="0"/>
              <w:autoSpaceDN w:val="0"/>
              <w:spacing w:line="240" w:lineRule="auto"/>
              <w:ind w:left="0" w:firstLine="0" w:firstLineChars="0"/>
              <w:jc w:val="center"/>
              <w:textAlignment w:val="bottom"/>
              <w:rPr>
                <w:rFonts w:ascii="宋体" w:hAnsi="宋体"/>
                <w:sz w:val="21"/>
                <w:szCs w:val="21"/>
              </w:rPr>
            </w:pPr>
          </w:p>
        </w:tc>
        <w:tc>
          <w:tcPr>
            <w:tcW w:w="2196" w:type="pct"/>
            <w:vAlign w:val="center"/>
          </w:tcPr>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rPr>
              <w:t>企业有限空间作业还符合下列要求：</w:t>
            </w:r>
          </w:p>
          <w:p>
            <w:pPr>
              <w:numPr>
                <w:ilvl w:val="0"/>
                <w:numId w:val="87"/>
              </w:numPr>
              <w:autoSpaceDE w:val="0"/>
              <w:autoSpaceDN w:val="0"/>
              <w:spacing w:line="240" w:lineRule="auto"/>
              <w:ind w:left="0" w:firstLine="0" w:firstLineChars="0"/>
              <w:jc w:val="both"/>
              <w:textAlignment w:val="bottom"/>
              <w:rPr>
                <w:rFonts w:ascii="宋体" w:hAnsi="宋体" w:cs="Times New Roman"/>
                <w:sz w:val="21"/>
                <w:szCs w:val="21"/>
              </w:rPr>
            </w:pPr>
            <w:r>
              <w:rPr>
                <w:rFonts w:hint="eastAsia" w:ascii="宋体" w:hAnsi="宋体" w:cs="Times New Roman"/>
                <w:sz w:val="21"/>
                <w:szCs w:val="21"/>
              </w:rPr>
              <w:t>保持有限空间出入口畅通。</w:t>
            </w:r>
          </w:p>
          <w:p>
            <w:pPr>
              <w:numPr>
                <w:ilvl w:val="0"/>
                <w:numId w:val="87"/>
              </w:numPr>
              <w:autoSpaceDE w:val="0"/>
              <w:autoSpaceDN w:val="0"/>
              <w:spacing w:line="240" w:lineRule="auto"/>
              <w:ind w:left="0" w:firstLine="0" w:firstLineChars="0"/>
              <w:jc w:val="both"/>
              <w:textAlignment w:val="bottom"/>
              <w:rPr>
                <w:rFonts w:ascii="宋体" w:hAnsi="宋体" w:cs="Times New Roman"/>
                <w:sz w:val="21"/>
                <w:szCs w:val="21"/>
              </w:rPr>
            </w:pPr>
            <w:r>
              <w:rPr>
                <w:rFonts w:hint="eastAsia" w:ascii="宋体" w:hAnsi="宋体" w:cs="Times New Roman"/>
                <w:sz w:val="21"/>
                <w:szCs w:val="21"/>
              </w:rPr>
              <w:t>设置明显的安全警示标志和警示说明。</w:t>
            </w:r>
          </w:p>
          <w:p>
            <w:pPr>
              <w:numPr>
                <w:ilvl w:val="0"/>
                <w:numId w:val="87"/>
              </w:numPr>
              <w:autoSpaceDE w:val="0"/>
              <w:autoSpaceDN w:val="0"/>
              <w:spacing w:line="240" w:lineRule="auto"/>
              <w:ind w:left="0" w:firstLine="0" w:firstLineChars="0"/>
              <w:jc w:val="both"/>
              <w:textAlignment w:val="bottom"/>
              <w:rPr>
                <w:rFonts w:ascii="宋体" w:hAnsi="宋体" w:cs="Times New Roman"/>
                <w:sz w:val="21"/>
                <w:szCs w:val="21"/>
              </w:rPr>
            </w:pPr>
            <w:r>
              <w:rPr>
                <w:rFonts w:hint="eastAsia" w:ascii="宋体" w:hAnsi="宋体" w:cs="Times New Roman"/>
                <w:sz w:val="21"/>
                <w:szCs w:val="21"/>
              </w:rPr>
              <w:t>作业前清点作业人员和工器具。</w:t>
            </w:r>
          </w:p>
          <w:p>
            <w:pPr>
              <w:numPr>
                <w:ilvl w:val="0"/>
                <w:numId w:val="87"/>
              </w:numPr>
              <w:autoSpaceDE w:val="0"/>
              <w:autoSpaceDN w:val="0"/>
              <w:spacing w:line="240" w:lineRule="auto"/>
              <w:ind w:left="0" w:firstLine="0" w:firstLineChars="0"/>
              <w:jc w:val="both"/>
              <w:textAlignment w:val="bottom"/>
              <w:rPr>
                <w:rFonts w:ascii="宋体" w:hAnsi="宋体" w:cs="Times New Roman"/>
                <w:sz w:val="21"/>
                <w:szCs w:val="21"/>
              </w:rPr>
            </w:pPr>
            <w:r>
              <w:rPr>
                <w:rFonts w:hint="eastAsia" w:ascii="宋体" w:hAnsi="宋体" w:cs="Times New Roman"/>
                <w:sz w:val="21"/>
                <w:szCs w:val="21"/>
              </w:rPr>
              <w:t>作业人员与外部有可靠的通讯联络。</w:t>
            </w:r>
          </w:p>
          <w:p>
            <w:pPr>
              <w:numPr>
                <w:ilvl w:val="0"/>
                <w:numId w:val="87"/>
              </w:numPr>
              <w:autoSpaceDE w:val="0"/>
              <w:autoSpaceDN w:val="0"/>
              <w:spacing w:line="240" w:lineRule="auto"/>
              <w:ind w:left="0" w:firstLine="0" w:firstLineChars="0"/>
              <w:jc w:val="both"/>
              <w:textAlignment w:val="bottom"/>
              <w:rPr>
                <w:rFonts w:ascii="宋体" w:hAnsi="宋体" w:cs="Times New Roman"/>
                <w:sz w:val="21"/>
                <w:szCs w:val="21"/>
              </w:rPr>
            </w:pPr>
            <w:r>
              <w:rPr>
                <w:rFonts w:hint="eastAsia" w:ascii="宋体" w:hAnsi="宋体" w:cs="Times New Roman"/>
                <w:sz w:val="21"/>
                <w:szCs w:val="21"/>
              </w:rPr>
              <w:t>监护人员不得离开作业现场，并与作业人员保持联系。</w:t>
            </w:r>
          </w:p>
          <w:p>
            <w:pPr>
              <w:numPr>
                <w:ilvl w:val="0"/>
                <w:numId w:val="87"/>
              </w:numPr>
              <w:autoSpaceDE w:val="0"/>
              <w:autoSpaceDN w:val="0"/>
              <w:spacing w:line="240" w:lineRule="auto"/>
              <w:ind w:left="0" w:firstLine="0" w:firstLineChars="0"/>
              <w:jc w:val="both"/>
              <w:textAlignment w:val="bottom"/>
              <w:rPr>
                <w:rFonts w:ascii="宋体" w:hAnsi="宋体" w:cs="Times New Roman"/>
                <w:sz w:val="21"/>
                <w:szCs w:val="21"/>
              </w:rPr>
            </w:pPr>
            <w:r>
              <w:rPr>
                <w:rFonts w:hint="eastAsia" w:ascii="宋体" w:hAnsi="宋体" w:cs="Times New Roman"/>
                <w:sz w:val="21"/>
                <w:szCs w:val="21"/>
              </w:rPr>
              <w:t>存在交叉作业时，采取避免互相伤害的措施。</w:t>
            </w:r>
          </w:p>
        </w:tc>
        <w:tc>
          <w:tcPr>
            <w:tcW w:w="1702" w:type="pct"/>
            <w:vAlign w:val="center"/>
          </w:tcPr>
          <w:p>
            <w:pPr>
              <w:spacing w:line="240" w:lineRule="auto"/>
              <w:ind w:firstLine="0" w:firstLineChars="0"/>
              <w:rPr>
                <w:rFonts w:ascii="宋体" w:hAnsi="宋体"/>
                <w:sz w:val="21"/>
                <w:szCs w:val="21"/>
              </w:rPr>
            </w:pPr>
            <w:r>
              <w:rPr>
                <w:rFonts w:hint="eastAsia" w:ascii="宋体" w:hAnsi="宋体"/>
                <w:sz w:val="21"/>
                <w:szCs w:val="21"/>
              </w:rPr>
              <w:t>企业有限空间作业落实以上措施。</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numPr>
                <w:ilvl w:val="0"/>
                <w:numId w:val="84"/>
              </w:numPr>
              <w:autoSpaceDE w:val="0"/>
              <w:autoSpaceDN w:val="0"/>
              <w:spacing w:line="240" w:lineRule="auto"/>
              <w:ind w:left="0" w:firstLine="0" w:firstLineChars="0"/>
              <w:jc w:val="center"/>
              <w:textAlignment w:val="bottom"/>
              <w:rPr>
                <w:rFonts w:ascii="宋体" w:hAnsi="宋体"/>
                <w:sz w:val="21"/>
                <w:szCs w:val="21"/>
              </w:rPr>
            </w:pPr>
          </w:p>
        </w:tc>
        <w:tc>
          <w:tcPr>
            <w:tcW w:w="2196" w:type="pct"/>
            <w:vAlign w:val="center"/>
          </w:tcPr>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rPr>
              <w:t>有限空间作业结束后，作业现场负责人、监护人员对作业现场进行清理，撤离作业人员。</w:t>
            </w:r>
          </w:p>
        </w:tc>
        <w:tc>
          <w:tcPr>
            <w:tcW w:w="1702" w:type="pct"/>
            <w:vAlign w:val="center"/>
          </w:tcPr>
          <w:p>
            <w:pPr>
              <w:spacing w:line="240" w:lineRule="auto"/>
              <w:ind w:firstLine="0" w:firstLineChars="0"/>
              <w:rPr>
                <w:rFonts w:ascii="宋体" w:hAnsi="宋体"/>
                <w:sz w:val="21"/>
                <w:szCs w:val="21"/>
              </w:rPr>
            </w:pPr>
            <w:r>
              <w:rPr>
                <w:rFonts w:hint="eastAsia" w:ascii="宋体" w:hAnsi="宋体"/>
                <w:sz w:val="21"/>
                <w:szCs w:val="21"/>
              </w:rPr>
              <w:t>按要求进行有限空间作业现场清理。</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numPr>
                <w:ilvl w:val="0"/>
                <w:numId w:val="84"/>
              </w:numPr>
              <w:autoSpaceDE w:val="0"/>
              <w:autoSpaceDN w:val="0"/>
              <w:spacing w:line="240" w:lineRule="auto"/>
              <w:ind w:left="0" w:firstLine="0" w:firstLineChars="0"/>
              <w:jc w:val="center"/>
              <w:textAlignment w:val="bottom"/>
              <w:rPr>
                <w:rFonts w:ascii="宋体" w:hAnsi="宋体"/>
                <w:sz w:val="21"/>
                <w:szCs w:val="21"/>
              </w:rPr>
            </w:pPr>
          </w:p>
        </w:tc>
        <w:tc>
          <w:tcPr>
            <w:tcW w:w="2196" w:type="pct"/>
            <w:vAlign w:val="center"/>
          </w:tcPr>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rPr>
              <w:t>企业根据本企业有限空间作业的特点，制定应急预案，并配备相关的呼吸器、防毒面罩、通讯设备、安全绳索等应急装备和器材。有限空间作业的现场负责人、监护人员、作业人员和应急救援人员掌握相关应急预案内容，定期进行演练，提高应急处置能力。</w:t>
            </w:r>
          </w:p>
        </w:tc>
        <w:tc>
          <w:tcPr>
            <w:tcW w:w="1702" w:type="pct"/>
            <w:vAlign w:val="center"/>
          </w:tcPr>
          <w:p>
            <w:pPr>
              <w:spacing w:line="240" w:lineRule="auto"/>
              <w:ind w:firstLine="0" w:firstLineChars="0"/>
              <w:rPr>
                <w:rFonts w:ascii="宋体" w:hAnsi="宋体"/>
                <w:sz w:val="21"/>
                <w:szCs w:val="21"/>
              </w:rPr>
            </w:pPr>
            <w:r>
              <w:rPr>
                <w:rFonts w:hint="eastAsia" w:ascii="宋体" w:hAnsi="宋体"/>
                <w:sz w:val="21"/>
                <w:szCs w:val="21"/>
              </w:rPr>
              <w:t>有专项有限空间作业应急预案，并组织演练。</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numPr>
                <w:ilvl w:val="0"/>
                <w:numId w:val="84"/>
              </w:numPr>
              <w:autoSpaceDE w:val="0"/>
              <w:autoSpaceDN w:val="0"/>
              <w:spacing w:line="240" w:lineRule="auto"/>
              <w:ind w:left="0" w:firstLine="0" w:firstLineChars="0"/>
              <w:jc w:val="center"/>
              <w:textAlignment w:val="bottom"/>
              <w:rPr>
                <w:rFonts w:ascii="宋体" w:hAnsi="宋体"/>
                <w:sz w:val="21"/>
                <w:szCs w:val="21"/>
              </w:rPr>
            </w:pPr>
          </w:p>
        </w:tc>
        <w:tc>
          <w:tcPr>
            <w:tcW w:w="2196" w:type="pct"/>
            <w:vAlign w:val="center"/>
          </w:tcPr>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rPr>
              <w:t>企业将有限空间作业发包给其他单位实施的，发包给具备国家规定资质或者安全生产条件的承包方，并与承包方签订专门的安全生产管理协议或者在承包合同中明确各自的安全生产职责。工贸企业对承包单位的安全生产工作统一协调、管理，定期进行安全检查，发现安全问题的，及时督促整改。</w:t>
            </w:r>
          </w:p>
        </w:tc>
        <w:tc>
          <w:tcPr>
            <w:tcW w:w="1702"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企业按要求落实发包责任。</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numPr>
                <w:ilvl w:val="0"/>
                <w:numId w:val="84"/>
              </w:numPr>
              <w:autoSpaceDE w:val="0"/>
              <w:autoSpaceDN w:val="0"/>
              <w:spacing w:line="240" w:lineRule="auto"/>
              <w:ind w:left="0" w:firstLine="0" w:firstLineChars="0"/>
              <w:jc w:val="center"/>
              <w:textAlignment w:val="bottom"/>
              <w:rPr>
                <w:rFonts w:ascii="宋体" w:hAnsi="宋体"/>
                <w:sz w:val="21"/>
                <w:szCs w:val="21"/>
              </w:rPr>
            </w:pPr>
          </w:p>
        </w:tc>
        <w:tc>
          <w:tcPr>
            <w:tcW w:w="2196" w:type="pct"/>
            <w:vAlign w:val="center"/>
          </w:tcPr>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rPr>
              <w:t>工贸企业对其发包的有限空间作业安全承担主体责任。承包方对其承包的有限空间作业安全承担直接责任。</w:t>
            </w:r>
          </w:p>
        </w:tc>
        <w:tc>
          <w:tcPr>
            <w:tcW w:w="1702" w:type="pct"/>
            <w:vAlign w:val="center"/>
          </w:tcPr>
          <w:p>
            <w:pPr>
              <w:spacing w:line="240" w:lineRule="auto"/>
              <w:ind w:firstLine="0" w:firstLineChars="0"/>
              <w:rPr>
                <w:rFonts w:ascii="宋体" w:hAnsi="宋体"/>
                <w:sz w:val="21"/>
                <w:szCs w:val="21"/>
              </w:rPr>
            </w:pPr>
            <w:r>
              <w:rPr>
                <w:rFonts w:hint="eastAsia" w:ascii="宋体" w:hAnsi="宋体"/>
                <w:sz w:val="21"/>
                <w:szCs w:val="21"/>
              </w:rPr>
              <w:t>企业按要求落实发包责任。</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numPr>
                <w:ilvl w:val="0"/>
                <w:numId w:val="84"/>
              </w:numPr>
              <w:autoSpaceDE w:val="0"/>
              <w:autoSpaceDN w:val="0"/>
              <w:spacing w:line="240" w:lineRule="auto"/>
              <w:ind w:left="0" w:firstLine="0" w:firstLineChars="0"/>
              <w:jc w:val="center"/>
              <w:textAlignment w:val="bottom"/>
              <w:rPr>
                <w:rFonts w:ascii="宋体" w:hAnsi="宋体"/>
                <w:sz w:val="21"/>
                <w:szCs w:val="21"/>
              </w:rPr>
            </w:pPr>
          </w:p>
        </w:tc>
        <w:tc>
          <w:tcPr>
            <w:tcW w:w="2196" w:type="pct"/>
            <w:vAlign w:val="center"/>
          </w:tcPr>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rPr>
              <w:t>有限空间作业中发生事故后，现场有关人员立即报警，禁止盲目施救。应急救援人员实施救援时，做好自身防护，佩戴必要的呼吸器具、救援器材。</w:t>
            </w:r>
          </w:p>
        </w:tc>
        <w:tc>
          <w:tcPr>
            <w:tcW w:w="1702" w:type="pct"/>
            <w:vAlign w:val="center"/>
          </w:tcPr>
          <w:p>
            <w:pPr>
              <w:spacing w:line="240" w:lineRule="auto"/>
              <w:ind w:firstLine="0" w:firstLineChars="0"/>
              <w:rPr>
                <w:rFonts w:ascii="宋体" w:hAnsi="宋体"/>
                <w:sz w:val="21"/>
                <w:szCs w:val="21"/>
              </w:rPr>
            </w:pPr>
            <w:r>
              <w:rPr>
                <w:rFonts w:hint="eastAsia" w:ascii="宋体" w:hAnsi="宋体"/>
                <w:sz w:val="21"/>
                <w:szCs w:val="21"/>
              </w:rPr>
              <w:t>企业对有限空间作业进行过相关演练。</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656" w:type="pct"/>
            <w:vAlign w:val="center"/>
          </w:tcPr>
          <w:p>
            <w:pPr>
              <w:autoSpaceDE w:val="0"/>
              <w:autoSpaceDN w:val="0"/>
              <w:spacing w:line="240" w:lineRule="auto"/>
              <w:ind w:firstLine="0" w:firstLineChars="0"/>
              <w:jc w:val="center"/>
              <w:textAlignment w:val="bottom"/>
              <w:rPr>
                <w:rFonts w:ascii="宋体" w:hAnsi="宋体"/>
                <w:b/>
                <w:bCs/>
                <w:sz w:val="21"/>
                <w:szCs w:val="21"/>
              </w:rPr>
            </w:pPr>
            <w:r>
              <w:rPr>
                <w:rFonts w:hint="eastAsia" w:ascii="宋体" w:hAnsi="宋体"/>
                <w:b/>
                <w:bCs/>
                <w:sz w:val="21"/>
                <w:szCs w:val="21"/>
              </w:rPr>
              <w:t>5.5</w:t>
            </w:r>
          </w:p>
        </w:tc>
        <w:tc>
          <w:tcPr>
            <w:tcW w:w="2196" w:type="pct"/>
            <w:vAlign w:val="center"/>
          </w:tcPr>
          <w:p>
            <w:pPr>
              <w:autoSpaceDE w:val="0"/>
              <w:autoSpaceDN w:val="0"/>
              <w:spacing w:line="240" w:lineRule="auto"/>
              <w:ind w:firstLine="0" w:firstLineChars="0"/>
              <w:textAlignment w:val="bottom"/>
              <w:rPr>
                <w:rFonts w:ascii="宋体" w:hAnsi="宋体" w:cs="Times New Roman"/>
                <w:b/>
                <w:bCs/>
                <w:sz w:val="21"/>
                <w:szCs w:val="21"/>
              </w:rPr>
            </w:pPr>
            <w:r>
              <w:rPr>
                <w:rFonts w:hint="eastAsia" w:ascii="宋体" w:hAnsi="宋体" w:cs="Times New Roman"/>
                <w:b/>
                <w:bCs/>
                <w:sz w:val="21"/>
                <w:szCs w:val="21"/>
              </w:rPr>
              <w:t>电气安全防范措施</w:t>
            </w:r>
          </w:p>
        </w:tc>
        <w:tc>
          <w:tcPr>
            <w:tcW w:w="1702"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w:t>
            </w:r>
          </w:p>
        </w:tc>
        <w:tc>
          <w:tcPr>
            <w:tcW w:w="444" w:type="pct"/>
            <w:vAlign w:val="center"/>
          </w:tcPr>
          <w:p>
            <w:pPr>
              <w:spacing w:line="240" w:lineRule="auto"/>
              <w:ind w:firstLine="0" w:firstLineChars="0"/>
              <w:jc w:val="center"/>
              <w:rPr>
                <w:sz w:val="21"/>
                <w:szCs w:val="21"/>
              </w:rPr>
            </w:pPr>
            <w:r>
              <w:rPr>
                <w:rFonts w:hint="eastAsia"/>
                <w:sz w:val="21"/>
                <w:szCs w:val="21"/>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numPr>
                <w:ilvl w:val="0"/>
                <w:numId w:val="88"/>
              </w:numPr>
              <w:autoSpaceDE w:val="0"/>
              <w:autoSpaceDN w:val="0"/>
              <w:spacing w:line="240" w:lineRule="auto"/>
              <w:ind w:left="0" w:firstLine="0" w:firstLineChars="0"/>
              <w:jc w:val="center"/>
              <w:textAlignment w:val="bottom"/>
              <w:rPr>
                <w:rFonts w:ascii="宋体" w:hAnsi="宋体"/>
                <w:sz w:val="21"/>
                <w:szCs w:val="21"/>
              </w:rPr>
            </w:pPr>
          </w:p>
        </w:tc>
        <w:tc>
          <w:tcPr>
            <w:tcW w:w="2196" w:type="pct"/>
            <w:vAlign w:val="center"/>
          </w:tcPr>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rPr>
              <w:t>供电</w:t>
            </w:r>
          </w:p>
        </w:tc>
        <w:tc>
          <w:tcPr>
            <w:tcW w:w="1702"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w:t>
            </w:r>
          </w:p>
        </w:tc>
        <w:tc>
          <w:tcPr>
            <w:tcW w:w="444" w:type="pct"/>
            <w:vAlign w:val="center"/>
          </w:tcPr>
          <w:p>
            <w:pPr>
              <w:spacing w:line="240" w:lineRule="auto"/>
              <w:ind w:firstLine="0" w:firstLineChars="0"/>
              <w:jc w:val="center"/>
              <w:rPr>
                <w:sz w:val="21"/>
                <w:szCs w:val="21"/>
              </w:rPr>
            </w:pPr>
            <w:r>
              <w:rPr>
                <w:rFonts w:hint="eastAsia"/>
                <w:sz w:val="21"/>
                <w:szCs w:val="21"/>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autoSpaceDE w:val="0"/>
              <w:autoSpaceDN w:val="0"/>
              <w:spacing w:line="240" w:lineRule="auto"/>
              <w:ind w:firstLine="0" w:firstLineChars="0"/>
              <w:jc w:val="center"/>
              <w:textAlignment w:val="bottom"/>
              <w:rPr>
                <w:rFonts w:ascii="宋体" w:hAnsi="宋体"/>
                <w:sz w:val="21"/>
                <w:szCs w:val="21"/>
              </w:rPr>
            </w:pPr>
            <w:r>
              <w:rPr>
                <w:rFonts w:hint="eastAsia" w:ascii="宋体" w:hAnsi="宋体"/>
                <w:sz w:val="21"/>
                <w:szCs w:val="21"/>
                <w:lang w:val="zh-CN"/>
              </w:rPr>
              <w:t>（1）</w:t>
            </w:r>
          </w:p>
        </w:tc>
        <w:tc>
          <w:tcPr>
            <w:tcW w:w="2196" w:type="pct"/>
            <w:vAlign w:val="center"/>
          </w:tcPr>
          <w:p>
            <w:pPr>
              <w:autoSpaceDE w:val="0"/>
              <w:autoSpaceDN w:val="0"/>
              <w:spacing w:line="240" w:lineRule="auto"/>
              <w:ind w:firstLine="0" w:firstLineChars="0"/>
              <w:textAlignment w:val="bottom"/>
              <w:rPr>
                <w:rFonts w:ascii="宋体" w:hAnsi="宋体" w:cs="Times New Roman"/>
                <w:sz w:val="21"/>
                <w:szCs w:val="21"/>
                <w:lang w:val="zh-CN"/>
              </w:rPr>
            </w:pPr>
            <w:r>
              <w:rPr>
                <w:rFonts w:hint="eastAsia" w:ascii="宋体" w:hAnsi="宋体" w:cs="Times New Roman"/>
                <w:sz w:val="21"/>
                <w:szCs w:val="21"/>
                <w:lang w:val="zh-CN"/>
              </w:rPr>
              <w:t>供电电源：</w:t>
            </w:r>
          </w:p>
          <w:p>
            <w:pPr>
              <w:autoSpaceDE w:val="0"/>
              <w:autoSpaceDN w:val="0"/>
              <w:spacing w:line="240" w:lineRule="auto"/>
              <w:ind w:firstLine="0" w:firstLineChars="0"/>
              <w:textAlignment w:val="bottom"/>
              <w:rPr>
                <w:rFonts w:ascii="宋体" w:hAnsi="宋体" w:cs="Times New Roman"/>
                <w:sz w:val="21"/>
                <w:szCs w:val="21"/>
                <w:lang w:val="zh-CN"/>
              </w:rPr>
            </w:pPr>
            <w:r>
              <w:rPr>
                <w:rFonts w:hint="eastAsia" w:ascii="宋体" w:hAnsi="宋体" w:cs="Times New Roman"/>
                <w:sz w:val="21"/>
                <w:szCs w:val="21"/>
                <w:lang w:val="zh-CN"/>
              </w:rPr>
              <w:t>供电由10KV高压进厂区配电室经变压为380V三相供电，新建建筑配电电压采用380V/220V，供车间电气动力及建筑照明使用，全厂各生产车间的电力线由配电室的低压室经电缆沟引至，车间内设有配电屏，动力配电箱等，配电采用放射式与树干式相结合的型式，三相五线制中性点重复接地系统，向设备和行车供电。</w:t>
            </w:r>
          </w:p>
          <w:p>
            <w:pPr>
              <w:autoSpaceDE w:val="0"/>
              <w:autoSpaceDN w:val="0"/>
              <w:spacing w:line="240" w:lineRule="auto"/>
              <w:ind w:firstLine="0" w:firstLineChars="0"/>
              <w:textAlignment w:val="bottom"/>
              <w:rPr>
                <w:rFonts w:ascii="宋体" w:hAnsi="宋体" w:cs="Times New Roman"/>
                <w:sz w:val="21"/>
                <w:szCs w:val="21"/>
              </w:rPr>
            </w:pPr>
          </w:p>
        </w:tc>
        <w:tc>
          <w:tcPr>
            <w:tcW w:w="1702" w:type="pct"/>
            <w:vAlign w:val="center"/>
          </w:tcPr>
          <w:p>
            <w:pPr>
              <w:autoSpaceDE w:val="0"/>
              <w:autoSpaceDN w:val="0"/>
              <w:spacing w:line="240" w:lineRule="auto"/>
              <w:ind w:firstLine="0" w:firstLineChars="0"/>
              <w:textAlignment w:val="bottom"/>
              <w:rPr>
                <w:rFonts w:ascii="宋体" w:hAnsi="宋体"/>
                <w:sz w:val="21"/>
                <w:szCs w:val="21"/>
              </w:rPr>
            </w:pPr>
            <w:r>
              <w:rPr>
                <w:rFonts w:hint="eastAsia" w:ascii="宋体" w:hAnsi="宋体" w:cs="Times New Roman"/>
                <w:sz w:val="21"/>
                <w:szCs w:val="21"/>
                <w:lang w:val="zh-CN"/>
              </w:rPr>
              <w:t>供电由10KV高压进厂区配电室经变压为380V三相供电，新建建筑配电电压采用380V/220V，供车间电气动力及建筑照明使用，全厂各生产车间的电力线由配电室的低压室经电缆沟引至，车间内设有配电屏，动力配电箱等，配电采用放射式与树干式相结合的型式，三相五线制中性点重复接地系统，向设备和行车供电。</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autoSpaceDE w:val="0"/>
              <w:autoSpaceDN w:val="0"/>
              <w:spacing w:line="240" w:lineRule="auto"/>
              <w:ind w:firstLine="0" w:firstLineChars="0"/>
              <w:jc w:val="center"/>
              <w:textAlignment w:val="bottom"/>
              <w:rPr>
                <w:rFonts w:ascii="宋体" w:hAnsi="宋体"/>
                <w:sz w:val="21"/>
                <w:szCs w:val="21"/>
              </w:rPr>
            </w:pPr>
            <w:r>
              <w:rPr>
                <w:rFonts w:hint="eastAsia" w:ascii="宋体" w:hAnsi="宋体"/>
                <w:sz w:val="21"/>
                <w:szCs w:val="21"/>
                <w:lang w:val="zh-CN"/>
              </w:rPr>
              <w:t>（2）</w:t>
            </w:r>
          </w:p>
        </w:tc>
        <w:tc>
          <w:tcPr>
            <w:tcW w:w="2196" w:type="pct"/>
            <w:vAlign w:val="center"/>
          </w:tcPr>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lang w:val="zh-CN"/>
              </w:rPr>
              <w:t>负荷等级：本工程新建厂房，用电性质属三级用电负荷。</w:t>
            </w:r>
          </w:p>
        </w:tc>
        <w:tc>
          <w:tcPr>
            <w:tcW w:w="1702" w:type="pct"/>
            <w:vAlign w:val="center"/>
          </w:tcPr>
          <w:p>
            <w:pPr>
              <w:spacing w:line="240" w:lineRule="auto"/>
              <w:ind w:firstLine="0" w:firstLineChars="0"/>
              <w:rPr>
                <w:rFonts w:ascii="宋体" w:hAnsi="宋体"/>
                <w:sz w:val="21"/>
                <w:szCs w:val="21"/>
              </w:rPr>
            </w:pPr>
            <w:r>
              <w:rPr>
                <w:rFonts w:hint="eastAsia" w:ascii="宋体" w:hAnsi="宋体" w:cs="Times New Roman"/>
                <w:sz w:val="21"/>
                <w:szCs w:val="21"/>
                <w:lang w:val="zh-CN"/>
              </w:rPr>
              <w:t>本工程新建厂房，用电性质属三级用电负荷。</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autoSpaceDE w:val="0"/>
              <w:autoSpaceDN w:val="0"/>
              <w:spacing w:line="240" w:lineRule="auto"/>
              <w:ind w:firstLine="0" w:firstLineChars="0"/>
              <w:jc w:val="center"/>
              <w:textAlignment w:val="bottom"/>
              <w:rPr>
                <w:rFonts w:ascii="宋体" w:hAnsi="宋体"/>
                <w:b/>
                <w:bCs/>
                <w:sz w:val="21"/>
                <w:szCs w:val="21"/>
              </w:rPr>
            </w:pPr>
            <w:r>
              <w:rPr>
                <w:rFonts w:hint="eastAsia" w:ascii="宋体" w:hAnsi="宋体" w:cs="Times New Roman"/>
                <w:sz w:val="21"/>
                <w:szCs w:val="21"/>
                <w:lang w:val="zh-CN"/>
              </w:rPr>
              <w:t>（3）</w:t>
            </w:r>
          </w:p>
        </w:tc>
        <w:tc>
          <w:tcPr>
            <w:tcW w:w="2196" w:type="pct"/>
            <w:vAlign w:val="center"/>
          </w:tcPr>
          <w:p>
            <w:pPr>
              <w:autoSpaceDE w:val="0"/>
              <w:autoSpaceDN w:val="0"/>
              <w:spacing w:line="240" w:lineRule="auto"/>
              <w:ind w:firstLine="0" w:firstLineChars="0"/>
              <w:textAlignment w:val="bottom"/>
              <w:rPr>
                <w:rFonts w:ascii="宋体" w:hAnsi="宋体" w:cs="Times New Roman"/>
                <w:sz w:val="21"/>
                <w:szCs w:val="21"/>
                <w:lang w:val="zh-CN"/>
              </w:rPr>
            </w:pPr>
            <w:r>
              <w:rPr>
                <w:rFonts w:hint="eastAsia" w:ascii="宋体" w:hAnsi="宋体" w:cs="Times New Roman"/>
                <w:sz w:val="21"/>
                <w:szCs w:val="21"/>
                <w:lang w:val="zh-CN"/>
              </w:rPr>
              <w:t>变压器选型：</w:t>
            </w:r>
          </w:p>
          <w:p>
            <w:pPr>
              <w:autoSpaceDE w:val="0"/>
              <w:autoSpaceDN w:val="0"/>
              <w:spacing w:line="240" w:lineRule="auto"/>
              <w:ind w:firstLine="0" w:firstLineChars="0"/>
              <w:textAlignment w:val="bottom"/>
              <w:rPr>
                <w:rFonts w:ascii="宋体" w:hAnsi="宋体" w:cs="Times New Roman"/>
                <w:sz w:val="21"/>
                <w:szCs w:val="21"/>
                <w:lang w:val="zh-CN"/>
              </w:rPr>
            </w:pPr>
            <w:r>
              <w:rPr>
                <w:rFonts w:hint="eastAsia" w:ascii="宋体" w:hAnsi="宋体" w:cs="Times New Roman"/>
                <w:sz w:val="21"/>
                <w:szCs w:val="21"/>
                <w:lang w:val="zh-CN"/>
              </w:rPr>
              <w:t>变压器选用1250KVA及630KVA各一台，1250KVA供铸造车间和空压站使用，630KVA供厂区其它。</w:t>
            </w:r>
          </w:p>
          <w:p>
            <w:pPr>
              <w:autoSpaceDE w:val="0"/>
              <w:autoSpaceDN w:val="0"/>
              <w:spacing w:line="240" w:lineRule="auto"/>
              <w:ind w:firstLine="0" w:firstLineChars="0"/>
              <w:textAlignment w:val="bottom"/>
              <w:rPr>
                <w:rFonts w:ascii="宋体" w:hAnsi="宋体" w:cs="Times New Roman"/>
                <w:sz w:val="21"/>
                <w:szCs w:val="21"/>
              </w:rPr>
            </w:pPr>
          </w:p>
        </w:tc>
        <w:tc>
          <w:tcPr>
            <w:tcW w:w="1702" w:type="pct"/>
            <w:vAlign w:val="center"/>
          </w:tcPr>
          <w:p>
            <w:pPr>
              <w:autoSpaceDE w:val="0"/>
              <w:autoSpaceDN w:val="0"/>
              <w:spacing w:line="240" w:lineRule="auto"/>
              <w:ind w:firstLine="0" w:firstLineChars="0"/>
              <w:textAlignment w:val="bottom"/>
              <w:rPr>
                <w:rFonts w:ascii="宋体" w:hAnsi="宋体"/>
                <w:sz w:val="21"/>
                <w:szCs w:val="21"/>
              </w:rPr>
            </w:pPr>
            <w:r>
              <w:rPr>
                <w:rFonts w:hint="eastAsia" w:ascii="宋体" w:hAnsi="宋体" w:cs="Times New Roman"/>
                <w:sz w:val="21"/>
                <w:szCs w:val="21"/>
                <w:lang w:val="zh-CN"/>
              </w:rPr>
              <w:t>变压器选用1250KVA及630KVA各一台，1250KVA供铸造车间和空压站使用，630KVA供厂区其它。</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numPr>
                <w:ilvl w:val="0"/>
                <w:numId w:val="88"/>
              </w:numPr>
              <w:autoSpaceDE w:val="0"/>
              <w:autoSpaceDN w:val="0"/>
              <w:spacing w:line="240" w:lineRule="auto"/>
              <w:ind w:left="0" w:firstLine="0" w:firstLineChars="0"/>
              <w:jc w:val="center"/>
              <w:textAlignment w:val="bottom"/>
              <w:rPr>
                <w:rFonts w:ascii="宋体" w:hAnsi="宋体"/>
                <w:b/>
                <w:bCs/>
                <w:sz w:val="21"/>
                <w:szCs w:val="21"/>
              </w:rPr>
            </w:pPr>
          </w:p>
        </w:tc>
        <w:tc>
          <w:tcPr>
            <w:tcW w:w="2196" w:type="pct"/>
            <w:vAlign w:val="center"/>
          </w:tcPr>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lang w:val="zh-CN"/>
              </w:rPr>
              <w:t>防雷防静电</w:t>
            </w:r>
          </w:p>
        </w:tc>
        <w:tc>
          <w:tcPr>
            <w:tcW w:w="1702"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w:t>
            </w:r>
          </w:p>
        </w:tc>
        <w:tc>
          <w:tcPr>
            <w:tcW w:w="444" w:type="pct"/>
            <w:vAlign w:val="center"/>
          </w:tcPr>
          <w:p>
            <w:pPr>
              <w:spacing w:line="240" w:lineRule="auto"/>
              <w:ind w:firstLine="0" w:firstLineChars="0"/>
              <w:jc w:val="center"/>
              <w:rPr>
                <w:sz w:val="21"/>
                <w:szCs w:val="21"/>
              </w:rPr>
            </w:pPr>
            <w:r>
              <w:rPr>
                <w:rFonts w:hint="eastAsia"/>
                <w:sz w:val="21"/>
                <w:szCs w:val="21"/>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autoSpaceDE w:val="0"/>
              <w:autoSpaceDN w:val="0"/>
              <w:spacing w:line="240" w:lineRule="auto"/>
              <w:ind w:firstLine="0" w:firstLineChars="0"/>
              <w:jc w:val="center"/>
              <w:textAlignment w:val="bottom"/>
              <w:rPr>
                <w:rFonts w:ascii="宋体" w:hAnsi="宋体"/>
                <w:b/>
                <w:bCs/>
                <w:sz w:val="21"/>
                <w:szCs w:val="21"/>
              </w:rPr>
            </w:pPr>
            <w:r>
              <w:rPr>
                <w:rFonts w:hint="eastAsia" w:ascii="宋体" w:hAnsi="宋体"/>
                <w:b/>
                <w:bCs/>
                <w:sz w:val="21"/>
                <w:szCs w:val="21"/>
              </w:rPr>
              <w:t>/</w:t>
            </w:r>
          </w:p>
        </w:tc>
        <w:tc>
          <w:tcPr>
            <w:tcW w:w="2196" w:type="pct"/>
            <w:vAlign w:val="center"/>
          </w:tcPr>
          <w:p>
            <w:pPr>
              <w:autoSpaceDE w:val="0"/>
              <w:autoSpaceDN w:val="0"/>
              <w:spacing w:line="240" w:lineRule="auto"/>
              <w:ind w:firstLine="0" w:firstLineChars="0"/>
              <w:textAlignment w:val="bottom"/>
              <w:rPr>
                <w:rFonts w:ascii="宋体" w:hAnsi="宋体" w:cs="Times New Roman"/>
                <w:sz w:val="21"/>
                <w:szCs w:val="21"/>
                <w:lang w:val="zh-CN"/>
              </w:rPr>
            </w:pPr>
            <w:r>
              <w:rPr>
                <w:rFonts w:hint="eastAsia" w:ascii="宋体" w:hAnsi="宋体" w:cs="Times New Roman"/>
                <w:sz w:val="21"/>
                <w:szCs w:val="21"/>
                <w:lang w:val="zh-CN"/>
              </w:rPr>
              <w:t>依据《建筑物防雷设计规范》（GB50057-2010）的要求，本项目建筑物均按第三类防雷措施设防。利用25×4的镀锌扁钢在屋面组成避雷带防直击雷；三类防雷建筑物网屋面避雷带格密度为不大于20×20m，或24×16m。为防止雷电感应，建（构）筑物内的设备、管道、构架等主要金属均就近接地。为防止雷电波侵入，本项目架空、埋地或地沟内的金属管道、电缆的金属外皮等在入户端也均就近接地。</w:t>
            </w:r>
          </w:p>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lang w:val="zh-CN"/>
              </w:rPr>
              <w:t>本项目防雷接地、防静电接地、电气设备的工作接地、保护接地及信息系统接地，采用共用接地装置，并接入同一接地网，其接地电阻不大于1Ω。接地网由水平接地体与垂直接地体构成。接地主干线和分支线采用-40×4的扁钢。所有设备的金属外壳、金属设备、金属管道、金属构架、电气设备的金属外壳、所有电气用金属构件、铠装电缆外皮，电缆加穿的保护管两端均接地。金属管道法兰均采取防静电跨接。</w:t>
            </w:r>
          </w:p>
        </w:tc>
        <w:tc>
          <w:tcPr>
            <w:tcW w:w="1702" w:type="pct"/>
            <w:vAlign w:val="center"/>
          </w:tcPr>
          <w:p>
            <w:pPr>
              <w:spacing w:line="240" w:lineRule="auto"/>
              <w:ind w:firstLine="0" w:firstLineChars="0"/>
              <w:rPr>
                <w:rFonts w:ascii="宋体" w:hAnsi="宋体"/>
                <w:sz w:val="21"/>
                <w:szCs w:val="21"/>
              </w:rPr>
            </w:pPr>
            <w:r>
              <w:rPr>
                <w:rFonts w:hint="eastAsia" w:ascii="宋体" w:hAnsi="宋体" w:cs="Times New Roman"/>
                <w:sz w:val="21"/>
                <w:szCs w:val="21"/>
                <w:lang w:val="zh-CN"/>
              </w:rPr>
              <w:t>建筑物均按第三类</w:t>
            </w:r>
            <w:r>
              <w:rPr>
                <w:rFonts w:hint="eastAsia" w:ascii="宋体" w:hAnsi="宋体"/>
                <w:sz w:val="21"/>
                <w:szCs w:val="21"/>
              </w:rPr>
              <w:t>防雷</w:t>
            </w:r>
            <w:r>
              <w:rPr>
                <w:rFonts w:hint="eastAsia" w:ascii="宋体" w:hAnsi="宋体" w:cs="Times New Roman"/>
                <w:sz w:val="21"/>
                <w:szCs w:val="21"/>
                <w:lang w:val="zh-CN"/>
              </w:rPr>
              <w:t>措施设防。雷接地、防静电接地、电气设备的工作接地、保护接地及信息系统接地，采用共用接地装置，并接入同一接地网，其接地电阻不大于1Ω。</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autoSpaceDE w:val="0"/>
              <w:autoSpaceDN w:val="0"/>
              <w:spacing w:line="240" w:lineRule="auto"/>
              <w:ind w:firstLine="0" w:firstLineChars="0"/>
              <w:jc w:val="center"/>
              <w:textAlignment w:val="bottom"/>
              <w:rPr>
                <w:rFonts w:ascii="宋体" w:hAnsi="宋体"/>
                <w:b/>
                <w:bCs/>
                <w:sz w:val="21"/>
                <w:szCs w:val="21"/>
              </w:rPr>
            </w:pPr>
            <w:r>
              <w:rPr>
                <w:rFonts w:hint="eastAsia" w:ascii="宋体" w:hAnsi="宋体"/>
                <w:b/>
                <w:bCs/>
                <w:sz w:val="21"/>
                <w:szCs w:val="21"/>
              </w:rPr>
              <w:t>/</w:t>
            </w:r>
          </w:p>
        </w:tc>
        <w:tc>
          <w:tcPr>
            <w:tcW w:w="2196" w:type="pct"/>
            <w:vAlign w:val="center"/>
          </w:tcPr>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lang w:val="zh-CN"/>
              </w:rPr>
              <w:t>电气控制设备选型以满足生产工艺要求为原则，以现场就地控制为主，需要调速的电机设调速装置，一般交流鼠笼电机采用交流变频器调速，直流电机采用全数字直流调速装置调速。大型电机采用软启动装置。</w:t>
            </w:r>
          </w:p>
        </w:tc>
        <w:tc>
          <w:tcPr>
            <w:tcW w:w="1702" w:type="pct"/>
            <w:vAlign w:val="center"/>
          </w:tcPr>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lang w:val="zh-CN"/>
              </w:rPr>
              <w:t>电气控制设备选型满足生产工艺要求</w:t>
            </w:r>
            <w:r>
              <w:rPr>
                <w:rFonts w:hint="eastAsia" w:ascii="宋体" w:hAnsi="宋体" w:cs="Times New Roman"/>
                <w:sz w:val="21"/>
                <w:szCs w:val="21"/>
              </w:rPr>
              <w:t>.</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autoSpaceDE w:val="0"/>
              <w:autoSpaceDN w:val="0"/>
              <w:spacing w:line="240" w:lineRule="auto"/>
              <w:ind w:firstLine="0" w:firstLineChars="0"/>
              <w:jc w:val="center"/>
              <w:textAlignment w:val="bottom"/>
              <w:rPr>
                <w:rFonts w:ascii="宋体" w:hAnsi="宋体"/>
                <w:b/>
                <w:bCs/>
                <w:sz w:val="21"/>
                <w:szCs w:val="21"/>
              </w:rPr>
            </w:pPr>
            <w:r>
              <w:rPr>
                <w:rFonts w:hint="eastAsia" w:ascii="宋体" w:hAnsi="宋体"/>
                <w:b/>
                <w:bCs/>
                <w:sz w:val="21"/>
                <w:szCs w:val="21"/>
              </w:rPr>
              <w:t>/</w:t>
            </w:r>
          </w:p>
        </w:tc>
        <w:tc>
          <w:tcPr>
            <w:tcW w:w="2196" w:type="pct"/>
            <w:vAlign w:val="center"/>
          </w:tcPr>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lang w:val="zh-CN"/>
              </w:rPr>
              <w:t>车间内一般设置正常工作照明，在车间主要通道、主要操作岗位和出入口处设置应急照明灯和疏散诱导指示灯，以保证事故时生产的继续或人员的安全疏散。在车间比较危险、复杂的平台和通道处亦设置应急照明灯和疏散诱导指示灯，提高安全性。车间内的照明灯具在车间照明配电箱上分段集中控制，办公室内的照明灯具采用面板开关分散控制。</w:t>
            </w:r>
          </w:p>
        </w:tc>
        <w:tc>
          <w:tcPr>
            <w:tcW w:w="1702" w:type="pct"/>
            <w:vAlign w:val="center"/>
          </w:tcPr>
          <w:p>
            <w:pPr>
              <w:autoSpaceDE w:val="0"/>
              <w:autoSpaceDN w:val="0"/>
              <w:spacing w:line="240" w:lineRule="auto"/>
              <w:ind w:firstLine="0" w:firstLineChars="0"/>
              <w:textAlignment w:val="bottom"/>
              <w:rPr>
                <w:rFonts w:ascii="宋体" w:hAnsi="宋体" w:cs="Times New Roman"/>
                <w:sz w:val="21"/>
                <w:szCs w:val="21"/>
              </w:rPr>
            </w:pPr>
            <w:r>
              <w:rPr>
                <w:rFonts w:hint="eastAsia" w:ascii="宋体" w:hAnsi="宋体" w:cs="Times New Roman"/>
                <w:sz w:val="21"/>
                <w:szCs w:val="21"/>
                <w:lang w:val="zh-CN"/>
              </w:rPr>
              <w:t>车间内一般设置正常工作照明，在车间主要通道、主要操作岗位和出入口处设置应急照明灯和疏散诱导指示灯。在车间比较危险、复杂的平台和通道处设置应急照明灯和疏散诱导指示灯，提高安全性。车间内的照明灯具在车间照明配电箱上分段集中控制，办公室内的照明灯具采用面板开关分散控制。</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autoSpaceDE w:val="0"/>
              <w:autoSpaceDN w:val="0"/>
              <w:spacing w:line="240" w:lineRule="auto"/>
              <w:ind w:firstLine="0" w:firstLineChars="0"/>
              <w:jc w:val="center"/>
              <w:textAlignment w:val="bottom"/>
              <w:rPr>
                <w:rFonts w:ascii="宋体" w:hAnsi="宋体"/>
                <w:b/>
                <w:bCs/>
                <w:sz w:val="21"/>
                <w:szCs w:val="21"/>
              </w:rPr>
            </w:pPr>
            <w:r>
              <w:rPr>
                <w:rFonts w:hint="eastAsia" w:ascii="宋体" w:hAnsi="宋体"/>
                <w:b/>
                <w:bCs/>
                <w:sz w:val="21"/>
                <w:szCs w:val="21"/>
              </w:rPr>
              <w:t>/</w:t>
            </w:r>
          </w:p>
        </w:tc>
        <w:tc>
          <w:tcPr>
            <w:tcW w:w="2196" w:type="pct"/>
            <w:vAlign w:val="center"/>
          </w:tcPr>
          <w:p>
            <w:pPr>
              <w:spacing w:line="240" w:lineRule="auto"/>
              <w:ind w:firstLine="0" w:firstLineChars="0"/>
              <w:rPr>
                <w:rFonts w:ascii="宋体" w:hAnsi="宋体"/>
                <w:sz w:val="21"/>
                <w:szCs w:val="21"/>
              </w:rPr>
            </w:pPr>
            <w:r>
              <w:rPr>
                <w:rFonts w:hint="eastAsia" w:ascii="宋体" w:hAnsi="宋体"/>
                <w:sz w:val="21"/>
                <w:szCs w:val="21"/>
                <w:lang w:val="zh-CN"/>
              </w:rPr>
              <w:t>灯具选用效率高、利用系数高、配光合理的新型工厂灯具，考虑工作环境的不同，正常工作环境选用普通灯具。照明光源采用发光效率高、使用寿命长的钠金卤混光灯、高效节能荧光灯等节能光源，不宜采用金卤灯或荧光灯时也可采用白炽灯。</w:t>
            </w:r>
          </w:p>
        </w:tc>
        <w:tc>
          <w:tcPr>
            <w:tcW w:w="1702" w:type="pct"/>
            <w:vAlign w:val="center"/>
          </w:tcPr>
          <w:p>
            <w:pPr>
              <w:spacing w:line="240" w:lineRule="auto"/>
              <w:ind w:firstLine="0" w:firstLineChars="0"/>
              <w:rPr>
                <w:rFonts w:ascii="宋体" w:hAnsi="宋体"/>
                <w:sz w:val="21"/>
                <w:szCs w:val="21"/>
              </w:rPr>
            </w:pPr>
            <w:r>
              <w:rPr>
                <w:rFonts w:hint="eastAsia" w:ascii="宋体" w:hAnsi="宋体"/>
                <w:sz w:val="21"/>
                <w:szCs w:val="21"/>
              </w:rPr>
              <w:t>灯具使用节能灯具。</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autoSpaceDE w:val="0"/>
              <w:autoSpaceDN w:val="0"/>
              <w:spacing w:line="240" w:lineRule="auto"/>
              <w:ind w:firstLine="0" w:firstLineChars="0"/>
              <w:jc w:val="center"/>
              <w:textAlignment w:val="bottom"/>
              <w:rPr>
                <w:rFonts w:ascii="宋体" w:hAnsi="宋体"/>
                <w:b/>
                <w:bCs/>
                <w:sz w:val="21"/>
                <w:szCs w:val="21"/>
              </w:rPr>
            </w:pPr>
            <w:r>
              <w:rPr>
                <w:rFonts w:hint="eastAsia" w:ascii="宋体" w:hAnsi="宋体"/>
                <w:b/>
                <w:bCs/>
                <w:sz w:val="21"/>
                <w:szCs w:val="21"/>
              </w:rPr>
              <w:t>/</w:t>
            </w:r>
          </w:p>
        </w:tc>
        <w:tc>
          <w:tcPr>
            <w:tcW w:w="2196" w:type="pct"/>
            <w:vAlign w:val="center"/>
          </w:tcPr>
          <w:p>
            <w:pPr>
              <w:spacing w:line="240" w:lineRule="auto"/>
              <w:ind w:firstLine="0" w:firstLineChars="0"/>
              <w:rPr>
                <w:rFonts w:ascii="宋体" w:hAnsi="宋体"/>
                <w:sz w:val="21"/>
                <w:szCs w:val="21"/>
              </w:rPr>
            </w:pPr>
            <w:r>
              <w:rPr>
                <w:rFonts w:hint="eastAsia" w:ascii="宋体" w:hAnsi="宋体"/>
                <w:sz w:val="21"/>
                <w:szCs w:val="21"/>
                <w:lang w:val="zh-CN"/>
              </w:rPr>
              <w:t>照明线路一般采用铜芯导线穿钢管敷设。</w:t>
            </w:r>
          </w:p>
        </w:tc>
        <w:tc>
          <w:tcPr>
            <w:tcW w:w="1702" w:type="pct"/>
            <w:vAlign w:val="center"/>
          </w:tcPr>
          <w:p>
            <w:pPr>
              <w:spacing w:line="240" w:lineRule="auto"/>
              <w:ind w:firstLine="0" w:firstLineChars="0"/>
              <w:rPr>
                <w:rFonts w:ascii="宋体" w:hAnsi="宋体"/>
                <w:sz w:val="21"/>
                <w:szCs w:val="21"/>
              </w:rPr>
            </w:pPr>
            <w:r>
              <w:rPr>
                <w:rFonts w:hint="eastAsia" w:ascii="宋体" w:hAnsi="宋体"/>
                <w:sz w:val="21"/>
                <w:szCs w:val="21"/>
                <w:lang w:val="zh-CN"/>
              </w:rPr>
              <w:t>照明线路采用铜芯导线穿钢管敷设。</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numPr>
                <w:ilvl w:val="0"/>
                <w:numId w:val="89"/>
              </w:numPr>
              <w:autoSpaceDE w:val="0"/>
              <w:autoSpaceDN w:val="0"/>
              <w:spacing w:line="240" w:lineRule="auto"/>
              <w:ind w:left="0" w:firstLine="0" w:firstLineChars="0"/>
              <w:jc w:val="center"/>
              <w:textAlignment w:val="bottom"/>
              <w:rPr>
                <w:rFonts w:ascii="宋体" w:hAnsi="宋体"/>
                <w:b/>
                <w:bCs/>
                <w:sz w:val="21"/>
                <w:szCs w:val="21"/>
              </w:rPr>
            </w:pPr>
          </w:p>
        </w:tc>
        <w:tc>
          <w:tcPr>
            <w:tcW w:w="2196" w:type="pct"/>
            <w:vAlign w:val="center"/>
          </w:tcPr>
          <w:p>
            <w:pPr>
              <w:spacing w:line="240" w:lineRule="auto"/>
              <w:ind w:firstLine="0" w:firstLineChars="0"/>
              <w:rPr>
                <w:rFonts w:ascii="宋体" w:hAnsi="宋体"/>
                <w:sz w:val="21"/>
                <w:szCs w:val="21"/>
              </w:rPr>
            </w:pPr>
            <w:r>
              <w:rPr>
                <w:rFonts w:hint="eastAsia" w:ascii="宋体" w:hAnsi="宋体"/>
                <w:sz w:val="21"/>
                <w:szCs w:val="21"/>
                <w:lang w:val="zh-CN"/>
              </w:rPr>
              <w:t>主控制室、继电器室采取防止电缆着火延燃的安全措施；变电所与涉外的建筑物、堆场之间的防火净距，符合《建筑设计防火规范》的规定。</w:t>
            </w:r>
          </w:p>
        </w:tc>
        <w:tc>
          <w:tcPr>
            <w:tcW w:w="1702" w:type="pct"/>
            <w:vAlign w:val="center"/>
          </w:tcPr>
          <w:p>
            <w:pPr>
              <w:spacing w:line="240" w:lineRule="auto"/>
              <w:ind w:firstLine="0" w:firstLineChars="0"/>
              <w:rPr>
                <w:rFonts w:ascii="宋体" w:hAnsi="宋体"/>
                <w:sz w:val="21"/>
                <w:szCs w:val="21"/>
              </w:rPr>
            </w:pPr>
            <w:r>
              <w:rPr>
                <w:rFonts w:hint="eastAsia" w:ascii="宋体" w:hAnsi="宋体"/>
                <w:sz w:val="21"/>
                <w:szCs w:val="21"/>
                <w:lang w:val="zh-CN"/>
              </w:rPr>
              <w:t>主控制室、继电器室采取防止电缆着火延燃的安全措施；变电所与涉外的建筑物、堆场之间的防火净距，符合《建筑设计防火规范》的规定。</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numPr>
                <w:ilvl w:val="0"/>
                <w:numId w:val="89"/>
              </w:numPr>
              <w:autoSpaceDE w:val="0"/>
              <w:autoSpaceDN w:val="0"/>
              <w:spacing w:line="240" w:lineRule="auto"/>
              <w:ind w:left="0" w:firstLine="0" w:firstLineChars="0"/>
              <w:jc w:val="center"/>
              <w:textAlignment w:val="bottom"/>
              <w:rPr>
                <w:rFonts w:ascii="宋体" w:hAnsi="宋体"/>
                <w:b/>
                <w:bCs/>
                <w:sz w:val="21"/>
                <w:szCs w:val="21"/>
              </w:rPr>
            </w:pPr>
          </w:p>
        </w:tc>
        <w:tc>
          <w:tcPr>
            <w:tcW w:w="2196" w:type="pct"/>
            <w:vAlign w:val="center"/>
          </w:tcPr>
          <w:p>
            <w:pPr>
              <w:spacing w:line="240" w:lineRule="auto"/>
              <w:ind w:firstLine="0" w:firstLineChars="0"/>
              <w:rPr>
                <w:rFonts w:ascii="宋体" w:hAnsi="宋体"/>
                <w:sz w:val="21"/>
                <w:szCs w:val="21"/>
              </w:rPr>
            </w:pPr>
            <w:r>
              <w:rPr>
                <w:rFonts w:hint="eastAsia" w:ascii="宋体" w:hAnsi="宋体"/>
                <w:sz w:val="21"/>
                <w:szCs w:val="21"/>
                <w:lang w:val="zh-CN"/>
              </w:rPr>
              <w:t>电缆从室外进入室内的入口处，电缆竖井的出入口处及主控制室与电缆层之间，采取防止电缆火灾蔓延的阻燃及分隔措施；电缆在变电室内敷设避免电缆受到各种损坏及腐蚀；避开规划中建筑工程需要挖掘施工的地方，便于运行维修，电缆尽量短。在电缆隧道或电缆沟内，通道宽度及电缆支架的层间距离，满足敷设和更换电缆的要求。电缆选用阻燃耐火型。</w:t>
            </w:r>
          </w:p>
        </w:tc>
        <w:tc>
          <w:tcPr>
            <w:tcW w:w="1702" w:type="pct"/>
            <w:vAlign w:val="center"/>
          </w:tcPr>
          <w:p>
            <w:pPr>
              <w:spacing w:line="240" w:lineRule="auto"/>
              <w:ind w:firstLine="0" w:firstLineChars="0"/>
              <w:rPr>
                <w:rFonts w:ascii="宋体" w:hAnsi="宋体"/>
                <w:sz w:val="21"/>
                <w:szCs w:val="21"/>
              </w:rPr>
            </w:pPr>
            <w:r>
              <w:rPr>
                <w:rFonts w:hint="eastAsia" w:ascii="宋体" w:hAnsi="宋体"/>
                <w:sz w:val="21"/>
                <w:szCs w:val="21"/>
                <w:lang w:val="zh-CN"/>
              </w:rPr>
              <w:t>电缆从室外进入室内的入口处，电缆竖井的出入口处及主控制室与电缆层之间，采取防止电缆火灾蔓延的阻燃及分隔措施；在电缆隧道或电缆沟内，通道宽度及电缆支架的层间距离，满足敷设和更换电缆的要求。电缆选用阻燃耐火型。</w:t>
            </w:r>
          </w:p>
        </w:tc>
        <w:tc>
          <w:tcPr>
            <w:tcW w:w="444" w:type="pct"/>
            <w:vAlign w:val="center"/>
          </w:tcPr>
          <w:p>
            <w:pPr>
              <w:spacing w:line="240" w:lineRule="auto"/>
              <w:ind w:firstLine="0" w:firstLineChars="0"/>
              <w:jc w:val="center"/>
              <w:rPr>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numPr>
                <w:ilvl w:val="0"/>
                <w:numId w:val="89"/>
              </w:numPr>
              <w:autoSpaceDE w:val="0"/>
              <w:autoSpaceDN w:val="0"/>
              <w:spacing w:line="240" w:lineRule="auto"/>
              <w:ind w:left="0" w:firstLine="0" w:firstLineChars="0"/>
              <w:jc w:val="center"/>
              <w:textAlignment w:val="bottom"/>
              <w:rPr>
                <w:rFonts w:ascii="宋体" w:hAnsi="宋体"/>
                <w:b/>
                <w:bCs/>
                <w:sz w:val="21"/>
                <w:szCs w:val="21"/>
              </w:rPr>
            </w:pPr>
          </w:p>
        </w:tc>
        <w:tc>
          <w:tcPr>
            <w:tcW w:w="2196" w:type="pct"/>
            <w:vAlign w:val="center"/>
          </w:tcPr>
          <w:p>
            <w:pPr>
              <w:spacing w:line="240" w:lineRule="auto"/>
              <w:ind w:firstLine="0" w:firstLineChars="0"/>
              <w:rPr>
                <w:rFonts w:ascii="宋体" w:hAnsi="宋体"/>
                <w:sz w:val="21"/>
                <w:szCs w:val="21"/>
              </w:rPr>
            </w:pPr>
            <w:r>
              <w:rPr>
                <w:rFonts w:hint="eastAsia" w:ascii="宋体" w:hAnsi="宋体"/>
                <w:sz w:val="21"/>
                <w:szCs w:val="21"/>
                <w:lang w:val="zh-CN"/>
              </w:rPr>
              <w:t>配电装置室设防火门，并向外开启，防火门装弹簧锁，严禁用门闩，相邻配电装置室之间如有门时，能双向开启；配电装置室采取防止雨、雪、小动物、风沙及污秽尘埃进入的措施。在控制室、屋内配电装置，蓄电池室及层内主要通道等处，装设事故照明。</w:t>
            </w:r>
          </w:p>
        </w:tc>
        <w:tc>
          <w:tcPr>
            <w:tcW w:w="1702" w:type="pct"/>
            <w:vAlign w:val="center"/>
          </w:tcPr>
          <w:p>
            <w:pPr>
              <w:spacing w:line="240" w:lineRule="auto"/>
              <w:ind w:firstLine="0" w:firstLineChars="0"/>
              <w:rPr>
                <w:rFonts w:ascii="宋体" w:hAnsi="宋体"/>
                <w:sz w:val="21"/>
                <w:szCs w:val="21"/>
              </w:rPr>
            </w:pPr>
            <w:r>
              <w:rPr>
                <w:rFonts w:hint="eastAsia" w:ascii="宋体" w:hAnsi="宋体"/>
                <w:sz w:val="21"/>
                <w:szCs w:val="21"/>
                <w:lang w:val="zh-CN"/>
              </w:rPr>
              <w:t>配电装置室设防火门，并向外开启。配电装置室采取防止雨、雪、小动物、风沙及污秽尘埃进入的措施。装设</w:t>
            </w:r>
            <w:r>
              <w:rPr>
                <w:rFonts w:hint="eastAsia" w:ascii="宋体" w:hAnsi="宋体"/>
                <w:sz w:val="21"/>
                <w:szCs w:val="21"/>
              </w:rPr>
              <w:t>有</w:t>
            </w:r>
            <w:r>
              <w:rPr>
                <w:rFonts w:hint="eastAsia" w:ascii="宋体" w:hAnsi="宋体"/>
                <w:sz w:val="21"/>
                <w:szCs w:val="21"/>
                <w:lang w:val="zh-CN"/>
              </w:rPr>
              <w:t>事故照明。</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numPr>
                <w:ilvl w:val="0"/>
                <w:numId w:val="89"/>
              </w:numPr>
              <w:autoSpaceDE w:val="0"/>
              <w:autoSpaceDN w:val="0"/>
              <w:spacing w:line="240" w:lineRule="auto"/>
              <w:ind w:left="0" w:firstLine="0" w:firstLineChars="0"/>
              <w:jc w:val="center"/>
              <w:textAlignment w:val="bottom"/>
              <w:rPr>
                <w:rFonts w:ascii="宋体" w:hAnsi="宋体"/>
                <w:b/>
                <w:bCs/>
                <w:sz w:val="21"/>
                <w:szCs w:val="21"/>
              </w:rPr>
            </w:pPr>
          </w:p>
        </w:tc>
        <w:tc>
          <w:tcPr>
            <w:tcW w:w="2196" w:type="pct"/>
            <w:vAlign w:val="center"/>
          </w:tcPr>
          <w:p>
            <w:pPr>
              <w:spacing w:line="240" w:lineRule="auto"/>
              <w:ind w:firstLine="0" w:firstLineChars="0"/>
              <w:rPr>
                <w:rFonts w:ascii="宋体" w:hAnsi="宋体"/>
                <w:sz w:val="21"/>
                <w:szCs w:val="21"/>
              </w:rPr>
            </w:pPr>
            <w:r>
              <w:rPr>
                <w:rFonts w:hint="eastAsia" w:ascii="宋体" w:hAnsi="宋体"/>
                <w:sz w:val="21"/>
                <w:szCs w:val="21"/>
                <w:lang w:val="zh-CN"/>
              </w:rPr>
              <w:t>配电室与室外相通的洞、通风孔，设防止鼠、蛇类小动物进入的网罩，其防护等级不宜低于《外壳防护等级分类》（GB/T 4208-2017）的IP3X级。</w:t>
            </w:r>
          </w:p>
        </w:tc>
        <w:tc>
          <w:tcPr>
            <w:tcW w:w="1702" w:type="pct"/>
            <w:vAlign w:val="center"/>
          </w:tcPr>
          <w:p>
            <w:pPr>
              <w:spacing w:line="240" w:lineRule="auto"/>
              <w:ind w:firstLine="0" w:firstLineChars="0"/>
              <w:rPr>
                <w:rFonts w:ascii="宋体" w:hAnsi="宋体"/>
                <w:sz w:val="21"/>
                <w:szCs w:val="21"/>
              </w:rPr>
            </w:pPr>
            <w:r>
              <w:rPr>
                <w:rFonts w:hint="eastAsia" w:ascii="宋体" w:hAnsi="宋体"/>
                <w:sz w:val="21"/>
                <w:szCs w:val="21"/>
                <w:lang w:val="zh-CN"/>
              </w:rPr>
              <w:t>配电室与室外相通的洞、通风孔，设防止鼠、蛇类小动物进入的网罩。</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numPr>
                <w:ilvl w:val="0"/>
                <w:numId w:val="89"/>
              </w:numPr>
              <w:autoSpaceDE w:val="0"/>
              <w:autoSpaceDN w:val="0"/>
              <w:spacing w:line="240" w:lineRule="auto"/>
              <w:ind w:left="0" w:firstLine="0" w:firstLineChars="0"/>
              <w:jc w:val="center"/>
              <w:textAlignment w:val="bottom"/>
              <w:rPr>
                <w:rFonts w:ascii="宋体" w:hAnsi="宋体"/>
                <w:b/>
                <w:bCs/>
                <w:sz w:val="21"/>
                <w:szCs w:val="21"/>
              </w:rPr>
            </w:pPr>
          </w:p>
        </w:tc>
        <w:tc>
          <w:tcPr>
            <w:tcW w:w="2196" w:type="pct"/>
            <w:vAlign w:val="center"/>
          </w:tcPr>
          <w:p>
            <w:pPr>
              <w:spacing w:line="240" w:lineRule="auto"/>
              <w:ind w:firstLine="0" w:firstLineChars="0"/>
              <w:rPr>
                <w:rFonts w:ascii="宋体" w:hAnsi="宋体"/>
                <w:sz w:val="21"/>
                <w:szCs w:val="21"/>
              </w:rPr>
            </w:pPr>
            <w:r>
              <w:rPr>
                <w:rFonts w:hint="eastAsia" w:ascii="宋体" w:hAnsi="宋体"/>
                <w:sz w:val="21"/>
                <w:szCs w:val="21"/>
                <w:lang w:val="zh-CN"/>
              </w:rPr>
              <w:t>对易发生过负荷的电动机，装设过负荷保护。保护装置根据负荷特性，带时限作用于信号或跳闸。起动或自起动困难、防止起动或自起动时间过长的电动机，装设过负荷保护，保护装置动作于跳闸。交流同步电动机装设失步保护，还装设防止非同步冲击的保护。</w:t>
            </w:r>
          </w:p>
        </w:tc>
        <w:tc>
          <w:tcPr>
            <w:tcW w:w="1702" w:type="pct"/>
            <w:vAlign w:val="center"/>
          </w:tcPr>
          <w:p>
            <w:pPr>
              <w:spacing w:line="240" w:lineRule="auto"/>
              <w:ind w:firstLine="0" w:firstLineChars="0"/>
              <w:rPr>
                <w:rFonts w:ascii="宋体" w:hAnsi="宋体"/>
                <w:sz w:val="21"/>
                <w:szCs w:val="21"/>
              </w:rPr>
            </w:pPr>
            <w:r>
              <w:rPr>
                <w:rFonts w:hint="eastAsia" w:ascii="宋体" w:hAnsi="宋体"/>
                <w:sz w:val="21"/>
                <w:szCs w:val="21"/>
              </w:rPr>
              <w:t>企业使用电机多为成套设备配备，相关保护齐全。</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numPr>
                <w:ilvl w:val="0"/>
                <w:numId w:val="89"/>
              </w:numPr>
              <w:autoSpaceDE w:val="0"/>
              <w:autoSpaceDN w:val="0"/>
              <w:spacing w:line="240" w:lineRule="auto"/>
              <w:ind w:left="0" w:firstLine="0" w:firstLineChars="0"/>
              <w:jc w:val="center"/>
              <w:textAlignment w:val="bottom"/>
              <w:rPr>
                <w:rFonts w:ascii="宋体" w:hAnsi="宋体"/>
                <w:b/>
                <w:bCs/>
                <w:sz w:val="21"/>
                <w:szCs w:val="21"/>
              </w:rPr>
            </w:pPr>
          </w:p>
        </w:tc>
        <w:tc>
          <w:tcPr>
            <w:tcW w:w="2196" w:type="pct"/>
            <w:vAlign w:val="center"/>
          </w:tcPr>
          <w:p>
            <w:pPr>
              <w:spacing w:line="240" w:lineRule="auto"/>
              <w:ind w:firstLine="0" w:firstLineChars="0"/>
              <w:rPr>
                <w:rFonts w:ascii="宋体" w:hAnsi="宋体"/>
                <w:sz w:val="21"/>
                <w:szCs w:val="21"/>
              </w:rPr>
            </w:pPr>
            <w:r>
              <w:rPr>
                <w:rFonts w:hint="eastAsia" w:ascii="宋体" w:hAnsi="宋体"/>
                <w:sz w:val="21"/>
                <w:szCs w:val="21"/>
                <w:lang w:val="zh-CN"/>
              </w:rPr>
              <w:t>当电源电压短时降低或短时中断后又恢复时，需要断开的次要电动机和有备用自动投入机械的电动机，装设低电压保护。根据生产过程不允许或不需要自起动的电动机，装设低电压保护。在电源电压长时间消失后，须从电力网中自动断开的电动机，装设低电压保护。保护装置动作于跳闸。</w:t>
            </w:r>
          </w:p>
        </w:tc>
        <w:tc>
          <w:tcPr>
            <w:tcW w:w="1702" w:type="pct"/>
            <w:vAlign w:val="center"/>
          </w:tcPr>
          <w:p>
            <w:pPr>
              <w:spacing w:line="240" w:lineRule="auto"/>
              <w:ind w:firstLine="0" w:firstLineChars="0"/>
              <w:rPr>
                <w:rFonts w:ascii="宋体" w:hAnsi="宋体"/>
                <w:sz w:val="21"/>
                <w:szCs w:val="21"/>
              </w:rPr>
            </w:pPr>
            <w:r>
              <w:rPr>
                <w:rFonts w:hint="eastAsia" w:ascii="宋体" w:hAnsi="宋体"/>
                <w:sz w:val="21"/>
                <w:szCs w:val="21"/>
              </w:rPr>
              <w:t>企业使用电机多为成套设备配备，相关保护齐全。</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numPr>
                <w:ilvl w:val="0"/>
                <w:numId w:val="89"/>
              </w:numPr>
              <w:autoSpaceDE w:val="0"/>
              <w:autoSpaceDN w:val="0"/>
              <w:spacing w:line="240" w:lineRule="auto"/>
              <w:ind w:left="0" w:firstLine="0" w:firstLineChars="0"/>
              <w:jc w:val="center"/>
              <w:textAlignment w:val="bottom"/>
              <w:rPr>
                <w:rFonts w:ascii="宋体" w:hAnsi="宋体"/>
                <w:b/>
                <w:bCs/>
                <w:sz w:val="21"/>
                <w:szCs w:val="21"/>
              </w:rPr>
            </w:pPr>
          </w:p>
        </w:tc>
        <w:tc>
          <w:tcPr>
            <w:tcW w:w="2196" w:type="pct"/>
            <w:vAlign w:val="center"/>
          </w:tcPr>
          <w:p>
            <w:pPr>
              <w:spacing w:line="240" w:lineRule="auto"/>
              <w:ind w:firstLine="0" w:firstLineChars="0"/>
              <w:rPr>
                <w:rFonts w:ascii="宋体" w:hAnsi="宋体"/>
                <w:sz w:val="21"/>
                <w:szCs w:val="21"/>
                <w:lang w:val="zh-CN"/>
              </w:rPr>
            </w:pPr>
            <w:r>
              <w:rPr>
                <w:rFonts w:hint="eastAsia" w:ascii="宋体" w:hAnsi="宋体"/>
                <w:sz w:val="21"/>
                <w:szCs w:val="21"/>
                <w:lang w:val="zh-CN"/>
              </w:rPr>
              <w:t>电气设备保护的二次回路采取抗干扰措施，以保证动作正确。</w:t>
            </w:r>
          </w:p>
          <w:p>
            <w:pPr>
              <w:spacing w:line="240" w:lineRule="auto"/>
              <w:ind w:firstLine="0" w:firstLineChars="0"/>
              <w:rPr>
                <w:rFonts w:ascii="宋体" w:hAnsi="宋体"/>
                <w:sz w:val="21"/>
                <w:szCs w:val="21"/>
                <w:lang w:val="zh-CN"/>
              </w:rPr>
            </w:pPr>
            <w:r>
              <w:rPr>
                <w:rFonts w:hint="eastAsia" w:ascii="宋体" w:hAnsi="宋体"/>
                <w:sz w:val="21"/>
                <w:szCs w:val="21"/>
                <w:lang w:val="zh-CN"/>
              </w:rPr>
              <w:t>（1）在电缆敷设时，首先充分利用自然屏蔽物的屏蔽作用。</w:t>
            </w:r>
          </w:p>
          <w:p>
            <w:pPr>
              <w:spacing w:line="240" w:lineRule="auto"/>
              <w:ind w:firstLine="0" w:firstLineChars="0"/>
              <w:rPr>
                <w:rFonts w:ascii="宋体" w:hAnsi="宋体"/>
                <w:sz w:val="21"/>
                <w:szCs w:val="21"/>
                <w:lang w:val="zh-CN"/>
              </w:rPr>
            </w:pPr>
            <w:r>
              <w:rPr>
                <w:rFonts w:hint="eastAsia" w:ascii="宋体" w:hAnsi="宋体"/>
                <w:sz w:val="21"/>
                <w:szCs w:val="21"/>
                <w:lang w:val="zh-CN"/>
              </w:rPr>
              <w:t>（2）采用屏蔽电缆，屏蔽层在两端接地。</w:t>
            </w:r>
          </w:p>
          <w:p>
            <w:pPr>
              <w:spacing w:line="240" w:lineRule="auto"/>
              <w:ind w:firstLine="0" w:firstLineChars="0"/>
              <w:rPr>
                <w:rFonts w:ascii="宋体" w:hAnsi="宋体"/>
                <w:sz w:val="21"/>
                <w:szCs w:val="21"/>
                <w:lang w:val="zh-CN"/>
              </w:rPr>
            </w:pPr>
            <w:r>
              <w:rPr>
                <w:rFonts w:hint="eastAsia" w:ascii="宋体" w:hAnsi="宋体"/>
                <w:sz w:val="21"/>
                <w:szCs w:val="21"/>
                <w:lang w:val="zh-CN"/>
              </w:rPr>
              <w:t>（3）强电和弱电回路不合用同一根电缆。</w:t>
            </w:r>
          </w:p>
          <w:p>
            <w:pPr>
              <w:spacing w:line="240" w:lineRule="auto"/>
              <w:ind w:firstLine="0" w:firstLineChars="0"/>
              <w:rPr>
                <w:rFonts w:ascii="宋体" w:hAnsi="宋体"/>
                <w:sz w:val="21"/>
                <w:szCs w:val="21"/>
                <w:lang w:val="zh-CN"/>
              </w:rPr>
            </w:pPr>
            <w:r>
              <w:rPr>
                <w:rFonts w:hint="eastAsia" w:ascii="宋体" w:hAnsi="宋体"/>
                <w:sz w:val="21"/>
                <w:szCs w:val="21"/>
                <w:lang w:val="zh-CN"/>
              </w:rPr>
              <w:t>（4）保护用电缆与电力电缆不同层敷设。</w:t>
            </w:r>
          </w:p>
          <w:p>
            <w:pPr>
              <w:spacing w:line="240" w:lineRule="auto"/>
              <w:ind w:firstLine="0" w:firstLineChars="0"/>
              <w:rPr>
                <w:rFonts w:ascii="宋体" w:hAnsi="宋体"/>
                <w:sz w:val="21"/>
                <w:szCs w:val="21"/>
              </w:rPr>
            </w:pPr>
            <w:r>
              <w:rPr>
                <w:rFonts w:hint="eastAsia" w:ascii="宋体" w:hAnsi="宋体"/>
                <w:sz w:val="21"/>
                <w:szCs w:val="21"/>
                <w:lang w:val="zh-CN"/>
              </w:rPr>
              <w:t>（5）保护用电缆敷设路径，避开高压母线及高频暂态电流的入地点。</w:t>
            </w:r>
          </w:p>
        </w:tc>
        <w:tc>
          <w:tcPr>
            <w:tcW w:w="1702" w:type="pct"/>
            <w:vAlign w:val="center"/>
          </w:tcPr>
          <w:p>
            <w:pPr>
              <w:spacing w:line="240" w:lineRule="auto"/>
              <w:ind w:firstLine="0" w:firstLineChars="0"/>
              <w:rPr>
                <w:rFonts w:ascii="宋体" w:hAnsi="宋体"/>
                <w:sz w:val="21"/>
                <w:szCs w:val="21"/>
              </w:rPr>
            </w:pPr>
            <w:r>
              <w:rPr>
                <w:rFonts w:hint="eastAsia" w:ascii="宋体" w:hAnsi="宋体"/>
                <w:sz w:val="21"/>
                <w:szCs w:val="21"/>
                <w:lang w:val="zh-CN"/>
              </w:rPr>
              <w:t>电气设备保护的二次回路</w:t>
            </w:r>
            <w:r>
              <w:rPr>
                <w:rFonts w:hint="eastAsia" w:ascii="宋体" w:hAnsi="宋体"/>
                <w:sz w:val="21"/>
                <w:szCs w:val="21"/>
              </w:rPr>
              <w:t>按要求</w:t>
            </w:r>
            <w:r>
              <w:rPr>
                <w:rFonts w:hint="eastAsia" w:ascii="宋体" w:hAnsi="宋体"/>
                <w:sz w:val="21"/>
                <w:szCs w:val="21"/>
                <w:lang w:val="zh-CN"/>
              </w:rPr>
              <w:t>敷设。</w:t>
            </w:r>
          </w:p>
          <w:p>
            <w:pPr>
              <w:spacing w:line="240" w:lineRule="auto"/>
              <w:ind w:firstLine="0" w:firstLineChars="0"/>
              <w:rPr>
                <w:rFonts w:ascii="宋体" w:hAnsi="宋体"/>
                <w:sz w:val="21"/>
                <w:szCs w:val="21"/>
              </w:rPr>
            </w:pP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numPr>
                <w:ilvl w:val="0"/>
                <w:numId w:val="89"/>
              </w:numPr>
              <w:autoSpaceDE w:val="0"/>
              <w:autoSpaceDN w:val="0"/>
              <w:spacing w:line="240" w:lineRule="auto"/>
              <w:ind w:left="0" w:firstLine="0" w:firstLineChars="0"/>
              <w:jc w:val="center"/>
              <w:textAlignment w:val="bottom"/>
              <w:rPr>
                <w:rFonts w:ascii="宋体" w:hAnsi="宋体"/>
                <w:b/>
                <w:bCs/>
                <w:sz w:val="21"/>
                <w:szCs w:val="21"/>
              </w:rPr>
            </w:pPr>
          </w:p>
        </w:tc>
        <w:tc>
          <w:tcPr>
            <w:tcW w:w="2196" w:type="pct"/>
            <w:vAlign w:val="center"/>
          </w:tcPr>
          <w:p>
            <w:pPr>
              <w:spacing w:line="240" w:lineRule="auto"/>
              <w:ind w:firstLine="0" w:firstLineChars="0"/>
              <w:rPr>
                <w:rFonts w:ascii="宋体" w:hAnsi="宋体"/>
                <w:sz w:val="21"/>
                <w:szCs w:val="21"/>
              </w:rPr>
            </w:pPr>
            <w:r>
              <w:rPr>
                <w:rFonts w:hint="eastAsia" w:ascii="宋体" w:hAnsi="宋体"/>
                <w:sz w:val="21"/>
                <w:szCs w:val="21"/>
                <w:lang w:val="zh-CN"/>
              </w:rPr>
              <w:t>高低压电缆，控制电缆等在敷设中避开高温区，经高温区和易燃区的电缆采用阻燃耐火型电缆。</w:t>
            </w:r>
          </w:p>
        </w:tc>
        <w:tc>
          <w:tcPr>
            <w:tcW w:w="1702" w:type="pct"/>
            <w:vAlign w:val="center"/>
          </w:tcPr>
          <w:p>
            <w:pPr>
              <w:spacing w:line="240" w:lineRule="auto"/>
              <w:ind w:firstLine="0" w:firstLineChars="0"/>
              <w:rPr>
                <w:rFonts w:ascii="宋体" w:hAnsi="宋体"/>
                <w:sz w:val="21"/>
                <w:szCs w:val="21"/>
              </w:rPr>
            </w:pPr>
            <w:r>
              <w:rPr>
                <w:rFonts w:hint="eastAsia" w:ascii="宋体" w:hAnsi="宋体"/>
                <w:sz w:val="21"/>
                <w:szCs w:val="21"/>
                <w:lang w:val="zh-CN"/>
              </w:rPr>
              <w:t>高低压电缆，控制电缆等在敷设中避开高温区，经高温区和电缆采用阻燃耐火型电缆。</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numPr>
                <w:ilvl w:val="0"/>
                <w:numId w:val="89"/>
              </w:numPr>
              <w:autoSpaceDE w:val="0"/>
              <w:autoSpaceDN w:val="0"/>
              <w:spacing w:line="240" w:lineRule="auto"/>
              <w:ind w:left="0" w:firstLine="0" w:firstLineChars="0"/>
              <w:jc w:val="center"/>
              <w:textAlignment w:val="bottom"/>
              <w:rPr>
                <w:rFonts w:ascii="宋体" w:hAnsi="宋体"/>
                <w:b/>
                <w:bCs/>
                <w:sz w:val="21"/>
                <w:szCs w:val="21"/>
              </w:rPr>
            </w:pPr>
          </w:p>
        </w:tc>
        <w:tc>
          <w:tcPr>
            <w:tcW w:w="2196" w:type="pct"/>
            <w:vAlign w:val="center"/>
          </w:tcPr>
          <w:p>
            <w:pPr>
              <w:spacing w:line="240" w:lineRule="auto"/>
              <w:ind w:firstLine="0" w:firstLineChars="0"/>
              <w:rPr>
                <w:rFonts w:ascii="宋体" w:hAnsi="宋体"/>
                <w:sz w:val="21"/>
                <w:szCs w:val="21"/>
              </w:rPr>
            </w:pPr>
            <w:r>
              <w:rPr>
                <w:rFonts w:hint="eastAsia" w:ascii="宋体" w:hAnsi="宋体"/>
                <w:sz w:val="21"/>
                <w:szCs w:val="21"/>
                <w:lang w:val="zh-CN"/>
              </w:rPr>
              <w:t>高压电动机、开关柜、配电屏等外露可导电的部分（金属外壳、柜体、机架等）采用保护接地。在同一电网只采用一种接地方式，不采用两种接地方式。</w:t>
            </w:r>
          </w:p>
        </w:tc>
        <w:tc>
          <w:tcPr>
            <w:tcW w:w="1702" w:type="pct"/>
            <w:vAlign w:val="center"/>
          </w:tcPr>
          <w:p>
            <w:pPr>
              <w:spacing w:line="240" w:lineRule="auto"/>
              <w:ind w:firstLine="0" w:firstLineChars="0"/>
              <w:rPr>
                <w:rFonts w:ascii="宋体" w:hAnsi="宋体"/>
                <w:sz w:val="21"/>
                <w:szCs w:val="21"/>
              </w:rPr>
            </w:pPr>
            <w:r>
              <w:rPr>
                <w:rFonts w:hint="eastAsia" w:ascii="宋体" w:hAnsi="宋体"/>
                <w:sz w:val="21"/>
                <w:szCs w:val="21"/>
                <w:lang w:val="zh-CN"/>
              </w:rPr>
              <w:t>高压电动机、开关柜、配电屏等外露可导电的部分（金属外壳、柜体、机架等）采用保护接地。</w:t>
            </w:r>
            <w:r>
              <w:rPr>
                <w:rFonts w:hint="eastAsia" w:ascii="宋体" w:hAnsi="宋体"/>
                <w:sz w:val="21"/>
                <w:szCs w:val="21"/>
              </w:rPr>
              <w:t>企业</w:t>
            </w:r>
            <w:r>
              <w:rPr>
                <w:rFonts w:hint="eastAsia" w:ascii="宋体" w:hAnsi="宋体"/>
                <w:sz w:val="21"/>
                <w:szCs w:val="21"/>
                <w:lang w:val="zh-CN"/>
              </w:rPr>
              <w:t>采用一种接地方式。</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numPr>
                <w:ilvl w:val="0"/>
                <w:numId w:val="89"/>
              </w:numPr>
              <w:autoSpaceDE w:val="0"/>
              <w:autoSpaceDN w:val="0"/>
              <w:spacing w:line="240" w:lineRule="auto"/>
              <w:ind w:left="0" w:firstLine="0" w:firstLineChars="0"/>
              <w:jc w:val="center"/>
              <w:textAlignment w:val="bottom"/>
              <w:rPr>
                <w:rFonts w:ascii="宋体" w:hAnsi="宋体"/>
                <w:b/>
                <w:bCs/>
                <w:sz w:val="21"/>
                <w:szCs w:val="21"/>
              </w:rPr>
            </w:pPr>
          </w:p>
        </w:tc>
        <w:tc>
          <w:tcPr>
            <w:tcW w:w="2196" w:type="pct"/>
            <w:vAlign w:val="center"/>
          </w:tcPr>
          <w:p>
            <w:pPr>
              <w:spacing w:line="240" w:lineRule="auto"/>
              <w:ind w:firstLine="0" w:firstLineChars="0"/>
              <w:rPr>
                <w:rFonts w:ascii="宋体" w:hAnsi="宋体"/>
                <w:sz w:val="21"/>
                <w:szCs w:val="21"/>
              </w:rPr>
            </w:pPr>
            <w:r>
              <w:rPr>
                <w:rFonts w:hint="eastAsia" w:ascii="宋体" w:hAnsi="宋体"/>
                <w:sz w:val="21"/>
                <w:szCs w:val="21"/>
                <w:lang w:val="zh-CN"/>
              </w:rPr>
              <w:t>传动电动机等电气设备及主要设备之间设置必要的电气联锁，高压隔离刀闸与高压开关应有防误操作联锁装置，设事故应急电源，正常电源与事故应急电源之间有联锁，防止并联。</w:t>
            </w:r>
          </w:p>
        </w:tc>
        <w:tc>
          <w:tcPr>
            <w:tcW w:w="1702" w:type="pct"/>
            <w:vAlign w:val="center"/>
          </w:tcPr>
          <w:p>
            <w:pPr>
              <w:spacing w:line="240" w:lineRule="auto"/>
              <w:ind w:firstLine="0" w:firstLineChars="0"/>
              <w:rPr>
                <w:rFonts w:ascii="宋体" w:hAnsi="宋体"/>
                <w:sz w:val="21"/>
                <w:szCs w:val="21"/>
              </w:rPr>
            </w:pPr>
            <w:r>
              <w:rPr>
                <w:rFonts w:hint="eastAsia" w:ascii="宋体" w:hAnsi="宋体"/>
                <w:sz w:val="21"/>
                <w:szCs w:val="21"/>
                <w:lang w:val="zh-CN"/>
              </w:rPr>
              <w:t>电气设备及主要设备之间设置必要的电气联锁，高压隔离刀闸与高压开关应有防误操作联锁装置，设事故应急电源，正常电源与事故应急电源之间有联锁，防止并联。</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numPr>
                <w:ilvl w:val="0"/>
                <w:numId w:val="89"/>
              </w:numPr>
              <w:autoSpaceDE w:val="0"/>
              <w:autoSpaceDN w:val="0"/>
              <w:spacing w:line="240" w:lineRule="auto"/>
              <w:ind w:left="0" w:firstLine="0" w:firstLineChars="0"/>
              <w:jc w:val="center"/>
              <w:textAlignment w:val="bottom"/>
              <w:rPr>
                <w:rFonts w:ascii="宋体" w:hAnsi="宋体"/>
                <w:b/>
                <w:bCs/>
                <w:sz w:val="21"/>
                <w:szCs w:val="21"/>
              </w:rPr>
            </w:pPr>
          </w:p>
        </w:tc>
        <w:tc>
          <w:tcPr>
            <w:tcW w:w="2196" w:type="pct"/>
            <w:vAlign w:val="center"/>
          </w:tcPr>
          <w:p>
            <w:pPr>
              <w:spacing w:line="240" w:lineRule="auto"/>
              <w:ind w:firstLine="0" w:firstLineChars="0"/>
              <w:rPr>
                <w:rFonts w:ascii="宋体" w:hAnsi="宋体"/>
                <w:sz w:val="21"/>
                <w:szCs w:val="21"/>
              </w:rPr>
            </w:pPr>
            <w:r>
              <w:rPr>
                <w:rFonts w:hint="eastAsia" w:ascii="宋体" w:hAnsi="宋体"/>
                <w:sz w:val="21"/>
                <w:szCs w:val="21"/>
                <w:lang w:val="zh-CN"/>
              </w:rPr>
              <w:t>电气设备施工后出现的孔、洞必用阻燃材料封堵。</w:t>
            </w:r>
          </w:p>
        </w:tc>
        <w:tc>
          <w:tcPr>
            <w:tcW w:w="1702" w:type="pct"/>
            <w:vAlign w:val="center"/>
          </w:tcPr>
          <w:p>
            <w:pPr>
              <w:spacing w:line="240" w:lineRule="auto"/>
              <w:ind w:firstLine="0" w:firstLineChars="0"/>
              <w:rPr>
                <w:rFonts w:ascii="宋体" w:hAnsi="宋体"/>
                <w:sz w:val="21"/>
                <w:szCs w:val="21"/>
              </w:rPr>
            </w:pPr>
            <w:r>
              <w:rPr>
                <w:rFonts w:hint="eastAsia" w:ascii="宋体" w:hAnsi="宋体"/>
                <w:sz w:val="21"/>
                <w:szCs w:val="21"/>
                <w:lang w:val="zh-CN"/>
              </w:rPr>
              <w:t>电气设备施工后出现的孔、洞用阻燃材料封堵。</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656" w:type="pct"/>
            <w:vAlign w:val="center"/>
          </w:tcPr>
          <w:p>
            <w:pPr>
              <w:numPr>
                <w:ilvl w:val="0"/>
                <w:numId w:val="89"/>
              </w:numPr>
              <w:autoSpaceDE w:val="0"/>
              <w:autoSpaceDN w:val="0"/>
              <w:spacing w:line="240" w:lineRule="auto"/>
              <w:ind w:left="0" w:firstLine="0" w:firstLineChars="0"/>
              <w:jc w:val="center"/>
              <w:textAlignment w:val="bottom"/>
              <w:rPr>
                <w:rFonts w:ascii="宋体" w:hAnsi="宋体"/>
                <w:b/>
                <w:bCs/>
                <w:sz w:val="21"/>
                <w:szCs w:val="21"/>
              </w:rPr>
            </w:pPr>
          </w:p>
        </w:tc>
        <w:tc>
          <w:tcPr>
            <w:tcW w:w="2196" w:type="pct"/>
            <w:vAlign w:val="center"/>
          </w:tcPr>
          <w:p>
            <w:pPr>
              <w:spacing w:line="240" w:lineRule="auto"/>
              <w:ind w:firstLine="0" w:firstLineChars="0"/>
              <w:rPr>
                <w:rFonts w:ascii="宋体" w:hAnsi="宋体"/>
                <w:sz w:val="21"/>
                <w:szCs w:val="21"/>
              </w:rPr>
            </w:pPr>
            <w:r>
              <w:rPr>
                <w:rFonts w:hint="eastAsia" w:ascii="宋体" w:hAnsi="宋体"/>
                <w:sz w:val="21"/>
                <w:szCs w:val="21"/>
                <w:lang w:val="zh-CN"/>
              </w:rPr>
              <w:t>爆炸危险区域内的电气设备，符合周围环境内化学的、机械的、热的、霉菌以及风沙等不同环境条件对电气设备的要求，电气设备结构满足电气设备在规定的运行条件下不降低防爆性能的要求。</w:t>
            </w:r>
            <w:r>
              <w:rPr>
                <w:rFonts w:hint="eastAsia" w:ascii="宋体" w:hAnsi="宋体"/>
                <w:sz w:val="21"/>
                <w:szCs w:val="21"/>
              </w:rPr>
              <w:t>本项目中间仓库和喷涂间电气设备选用气体防爆型，防爆等级不低于ExdIIBT4；厂房内的喷粉设备区域的电气设备选用粉尘防爆型，防爆等级不低于ExdIIIBT4。</w:t>
            </w:r>
          </w:p>
        </w:tc>
        <w:tc>
          <w:tcPr>
            <w:tcW w:w="1702" w:type="pct"/>
            <w:vAlign w:val="center"/>
          </w:tcPr>
          <w:p>
            <w:pPr>
              <w:spacing w:line="240" w:lineRule="auto"/>
              <w:ind w:firstLine="0" w:firstLineChars="0"/>
              <w:rPr>
                <w:rFonts w:ascii="宋体" w:hAnsi="宋体"/>
                <w:sz w:val="21"/>
                <w:szCs w:val="21"/>
              </w:rPr>
            </w:pPr>
            <w:r>
              <w:rPr>
                <w:rFonts w:hint="eastAsia" w:ascii="宋体" w:hAnsi="宋体"/>
                <w:sz w:val="21"/>
                <w:szCs w:val="21"/>
              </w:rPr>
              <w:t>本项目喷涂间电气设备选用气体防爆型，防爆等级不低于ExdIIBT4；厂房内的喷粉设备区域的电气设备选用粉尘防爆型，防爆等级不低于ExdIIIBT4。</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656" w:type="pct"/>
            <w:vAlign w:val="center"/>
          </w:tcPr>
          <w:p>
            <w:pPr>
              <w:autoSpaceDE w:val="0"/>
              <w:autoSpaceDN w:val="0"/>
              <w:spacing w:line="240" w:lineRule="auto"/>
              <w:ind w:firstLine="0" w:firstLineChars="0"/>
              <w:jc w:val="center"/>
              <w:textAlignment w:val="bottom"/>
              <w:rPr>
                <w:rFonts w:ascii="宋体" w:hAnsi="宋体"/>
                <w:b/>
                <w:bCs/>
                <w:sz w:val="21"/>
                <w:szCs w:val="21"/>
              </w:rPr>
            </w:pPr>
            <w:r>
              <w:rPr>
                <w:rFonts w:hint="eastAsia" w:ascii="宋体" w:hAnsi="宋体" w:cs="Times New Roman"/>
                <w:b/>
                <w:bCs/>
                <w:sz w:val="21"/>
                <w:szCs w:val="21"/>
              </w:rPr>
              <w:t>5.6</w:t>
            </w:r>
          </w:p>
        </w:tc>
        <w:tc>
          <w:tcPr>
            <w:tcW w:w="2196" w:type="pct"/>
            <w:vAlign w:val="center"/>
          </w:tcPr>
          <w:p>
            <w:pPr>
              <w:autoSpaceDE w:val="0"/>
              <w:autoSpaceDN w:val="0"/>
              <w:spacing w:line="240" w:lineRule="auto"/>
              <w:ind w:firstLine="0" w:firstLineChars="0"/>
              <w:textAlignment w:val="bottom"/>
              <w:rPr>
                <w:rFonts w:ascii="宋体" w:hAnsi="宋体" w:cs="Times New Roman"/>
                <w:b/>
                <w:bCs/>
                <w:sz w:val="21"/>
                <w:szCs w:val="21"/>
              </w:rPr>
            </w:pPr>
            <w:r>
              <w:rPr>
                <w:rFonts w:hint="eastAsia" w:ascii="宋体" w:hAnsi="宋体" w:cs="Times New Roman"/>
                <w:b/>
                <w:bCs/>
                <w:sz w:val="21"/>
                <w:szCs w:val="21"/>
              </w:rPr>
              <w:t>消防安全防范措施</w:t>
            </w:r>
          </w:p>
        </w:tc>
        <w:tc>
          <w:tcPr>
            <w:tcW w:w="1702"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w:t>
            </w:r>
          </w:p>
        </w:tc>
        <w:tc>
          <w:tcPr>
            <w:tcW w:w="444" w:type="pct"/>
            <w:vAlign w:val="center"/>
          </w:tcPr>
          <w:p>
            <w:pPr>
              <w:spacing w:line="240" w:lineRule="auto"/>
              <w:ind w:firstLine="0" w:firstLineChars="0"/>
              <w:jc w:val="center"/>
              <w:rPr>
                <w:sz w:val="21"/>
                <w:szCs w:val="21"/>
              </w:rPr>
            </w:pPr>
            <w:r>
              <w:rPr>
                <w:rFonts w:hint="eastAsia"/>
                <w:sz w:val="21"/>
                <w:szCs w:val="21"/>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numPr>
                <w:ilvl w:val="0"/>
                <w:numId w:val="90"/>
              </w:numPr>
              <w:autoSpaceDE w:val="0"/>
              <w:autoSpaceDN w:val="0"/>
              <w:spacing w:line="240" w:lineRule="auto"/>
              <w:ind w:left="0" w:firstLine="0" w:firstLineChars="0"/>
              <w:jc w:val="center"/>
              <w:textAlignment w:val="bottom"/>
              <w:rPr>
                <w:rFonts w:ascii="宋体" w:hAnsi="宋体"/>
                <w:b/>
                <w:bCs/>
                <w:sz w:val="21"/>
                <w:szCs w:val="21"/>
              </w:rPr>
            </w:pPr>
          </w:p>
        </w:tc>
        <w:tc>
          <w:tcPr>
            <w:tcW w:w="2196" w:type="pct"/>
            <w:vAlign w:val="center"/>
          </w:tcPr>
          <w:p>
            <w:pPr>
              <w:spacing w:line="240" w:lineRule="auto"/>
              <w:ind w:firstLine="0" w:firstLineChars="0"/>
              <w:rPr>
                <w:rFonts w:ascii="宋体" w:hAnsi="宋体"/>
                <w:sz w:val="21"/>
                <w:szCs w:val="21"/>
              </w:rPr>
            </w:pPr>
            <w:r>
              <w:rPr>
                <w:rFonts w:hint="eastAsia" w:ascii="宋体" w:hAnsi="宋体"/>
                <w:sz w:val="21"/>
                <w:szCs w:val="21"/>
              </w:rPr>
              <w:t>消防水系统</w:t>
            </w:r>
          </w:p>
          <w:p>
            <w:pPr>
              <w:spacing w:line="240" w:lineRule="auto"/>
              <w:ind w:firstLine="0" w:firstLineChars="0"/>
              <w:rPr>
                <w:rFonts w:ascii="宋体" w:hAnsi="宋体"/>
                <w:sz w:val="21"/>
                <w:szCs w:val="21"/>
              </w:rPr>
            </w:pPr>
            <w:r>
              <w:rPr>
                <w:rFonts w:hint="eastAsia" w:ascii="宋体" w:hAnsi="宋体"/>
                <w:sz w:val="21"/>
                <w:szCs w:val="21"/>
              </w:rPr>
              <w:t>根据工厂基地面积约≤100 公顷，附有居住区人数≤1.5 万人，按照《</w:t>
            </w:r>
            <w:r>
              <w:fldChar w:fldCharType="begin"/>
            </w:r>
            <w:r>
              <w:instrText xml:space="preserve"> HYPERLINK "file:///E:\\法律、标准\\标准\\消防\\GB50974-2014消防给水及消火栓系统技术规范%20（高清含条文说明）.pdf" </w:instrText>
            </w:r>
            <w:r>
              <w:fldChar w:fldCharType="separate"/>
            </w:r>
            <w:r>
              <w:rPr>
                <w:rFonts w:hint="eastAsia" w:ascii="宋体" w:hAnsi="宋体"/>
                <w:sz w:val="21"/>
                <w:szCs w:val="21"/>
              </w:rPr>
              <w:t>消防给水及消火栓系统技术规范</w:t>
            </w:r>
            <w:r>
              <w:rPr>
                <w:rFonts w:hint="eastAsia" w:ascii="宋体" w:hAnsi="宋体"/>
                <w:sz w:val="21"/>
                <w:szCs w:val="21"/>
              </w:rPr>
              <w:fldChar w:fldCharType="end"/>
            </w:r>
            <w:r>
              <w:rPr>
                <w:rFonts w:hint="eastAsia" w:ascii="宋体" w:hAnsi="宋体"/>
                <w:sz w:val="21"/>
                <w:szCs w:val="21"/>
              </w:rPr>
              <w:t>》（GB50974-2014）第3.3.2条规定，全厂同时火灾次数为一次。</w:t>
            </w:r>
          </w:p>
          <w:p>
            <w:pPr>
              <w:spacing w:line="240" w:lineRule="auto"/>
              <w:ind w:firstLine="0" w:firstLineChars="0"/>
              <w:rPr>
                <w:rFonts w:ascii="宋体" w:hAnsi="宋体"/>
                <w:sz w:val="21"/>
                <w:szCs w:val="21"/>
              </w:rPr>
            </w:pPr>
            <w:r>
              <w:rPr>
                <w:rFonts w:hint="eastAsia" w:ascii="宋体" w:hAnsi="宋体"/>
                <w:sz w:val="21"/>
                <w:szCs w:val="21"/>
              </w:rPr>
              <w:t>本项目占地面积小于1000000平方米，按照发生火灾一次考虑；最大消防用水点为生产厂房（丁类），厂房占地面积为15840m2，建筑高度12.15m，建筑体积为192456m3，其室外消火栓设计流量按V≥50000m3取20L/s，室内消火栓设计流量取10L/s，火灾延续时间2h，一次火灾消火栓用水量为216m³。</w:t>
            </w:r>
          </w:p>
          <w:p>
            <w:pPr>
              <w:spacing w:line="240" w:lineRule="auto"/>
              <w:ind w:firstLine="0" w:firstLineChars="0"/>
              <w:rPr>
                <w:rFonts w:ascii="宋体" w:hAnsi="宋体"/>
                <w:sz w:val="21"/>
                <w:szCs w:val="21"/>
              </w:rPr>
            </w:pPr>
            <w:r>
              <w:rPr>
                <w:rFonts w:hint="eastAsia" w:ascii="宋体" w:hAnsi="宋体"/>
                <w:sz w:val="21"/>
                <w:szCs w:val="21"/>
              </w:rPr>
              <w:t>本项目厂区消防用水来自市政给水管网，市政给水管网管径DN150，水压不低于0.35Mpa，厂区内消防水管网呈环状布置，项目内设置DN100室外枝装消防水管网，室外消防水供应能力满足本项目要求。</w:t>
            </w:r>
          </w:p>
        </w:tc>
        <w:tc>
          <w:tcPr>
            <w:tcW w:w="1702" w:type="pct"/>
            <w:vAlign w:val="center"/>
          </w:tcPr>
          <w:p>
            <w:pPr>
              <w:spacing w:line="240" w:lineRule="auto"/>
              <w:ind w:firstLine="0" w:firstLineChars="0"/>
              <w:rPr>
                <w:rFonts w:ascii="宋体" w:hAnsi="宋体"/>
                <w:sz w:val="21"/>
                <w:szCs w:val="21"/>
              </w:rPr>
            </w:pPr>
            <w:r>
              <w:rPr>
                <w:rFonts w:hint="eastAsia" w:ascii="宋体" w:hAnsi="宋体"/>
                <w:sz w:val="21"/>
                <w:szCs w:val="21"/>
              </w:rPr>
              <w:t>消防水系统按要求设置。项目厂区消防用水来自市政给水管网，市政给水管网管径DN150，水压不低于0.35Mpa，厂区内消防水管网呈环状布置，项目内设置DN100室外枝装消防水管网，室外消防水供应能力满足本项目要求。</w:t>
            </w:r>
          </w:p>
          <w:p>
            <w:pPr>
              <w:spacing w:line="240" w:lineRule="auto"/>
              <w:ind w:firstLine="0" w:firstLineChars="0"/>
              <w:rPr>
                <w:rFonts w:ascii="宋体" w:hAnsi="宋体"/>
                <w:sz w:val="21"/>
                <w:szCs w:val="21"/>
              </w:rPr>
            </w:pP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numPr>
                <w:ilvl w:val="0"/>
                <w:numId w:val="90"/>
              </w:numPr>
              <w:autoSpaceDE w:val="0"/>
              <w:autoSpaceDN w:val="0"/>
              <w:spacing w:line="240" w:lineRule="auto"/>
              <w:ind w:left="0" w:firstLine="0" w:firstLineChars="0"/>
              <w:jc w:val="center"/>
              <w:textAlignment w:val="bottom"/>
              <w:rPr>
                <w:rFonts w:ascii="宋体" w:hAnsi="宋体"/>
                <w:b/>
                <w:bCs/>
                <w:sz w:val="21"/>
                <w:szCs w:val="21"/>
              </w:rPr>
            </w:pPr>
          </w:p>
        </w:tc>
        <w:tc>
          <w:tcPr>
            <w:tcW w:w="2196" w:type="pct"/>
            <w:vAlign w:val="center"/>
          </w:tcPr>
          <w:p>
            <w:pPr>
              <w:spacing w:line="240" w:lineRule="auto"/>
              <w:ind w:firstLine="0" w:firstLineChars="0"/>
              <w:rPr>
                <w:rFonts w:ascii="宋体" w:hAnsi="宋体"/>
                <w:sz w:val="21"/>
                <w:szCs w:val="21"/>
              </w:rPr>
            </w:pPr>
            <w:r>
              <w:rPr>
                <w:rFonts w:hint="eastAsia" w:ascii="宋体" w:hAnsi="宋体"/>
                <w:sz w:val="21"/>
                <w:szCs w:val="21"/>
              </w:rPr>
              <w:t>灭火器配置</w:t>
            </w:r>
          </w:p>
          <w:p>
            <w:pPr>
              <w:spacing w:line="240" w:lineRule="auto"/>
              <w:ind w:firstLine="0" w:firstLineChars="0"/>
              <w:rPr>
                <w:rFonts w:ascii="宋体" w:hAnsi="宋体"/>
                <w:sz w:val="21"/>
                <w:szCs w:val="21"/>
              </w:rPr>
            </w:pPr>
            <w:r>
              <w:rPr>
                <w:rFonts w:hint="eastAsia" w:ascii="宋体" w:hAnsi="宋体"/>
                <w:sz w:val="21"/>
                <w:szCs w:val="21"/>
              </w:rPr>
              <w:t>按照《建筑灭火器配置设计规范》（GB50140-2005）的规定，本项目的火灾种类有：A类火灾：固体火灾、E类火灾：电气火灾。各厂房均应按照《建筑灭火器配置设计规范》（GB50140-2005）的要求设置手提式或推车式干粉灭火器。</w:t>
            </w:r>
          </w:p>
          <w:p>
            <w:pPr>
              <w:spacing w:line="240" w:lineRule="auto"/>
              <w:ind w:firstLine="0" w:firstLineChars="0"/>
              <w:rPr>
                <w:rFonts w:ascii="宋体" w:hAnsi="宋体"/>
                <w:sz w:val="21"/>
                <w:szCs w:val="21"/>
              </w:rPr>
            </w:pPr>
          </w:p>
        </w:tc>
        <w:tc>
          <w:tcPr>
            <w:tcW w:w="1702" w:type="pct"/>
            <w:vAlign w:val="center"/>
          </w:tcPr>
          <w:p>
            <w:pPr>
              <w:spacing w:line="240" w:lineRule="auto"/>
              <w:ind w:firstLine="0" w:firstLineChars="0"/>
              <w:rPr>
                <w:rFonts w:ascii="宋体" w:hAnsi="宋体"/>
                <w:sz w:val="21"/>
                <w:szCs w:val="21"/>
              </w:rPr>
            </w:pP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8" w:hRule="atLeast"/>
          <w:jc w:val="center"/>
        </w:trPr>
        <w:tc>
          <w:tcPr>
            <w:tcW w:w="656" w:type="pct"/>
            <w:vAlign w:val="center"/>
          </w:tcPr>
          <w:p>
            <w:pPr>
              <w:autoSpaceDE w:val="0"/>
              <w:autoSpaceDN w:val="0"/>
              <w:spacing w:line="240" w:lineRule="auto"/>
              <w:ind w:firstLine="0" w:firstLineChars="0"/>
              <w:jc w:val="center"/>
              <w:textAlignment w:val="bottom"/>
              <w:rPr>
                <w:rFonts w:ascii="宋体" w:hAnsi="宋体"/>
                <w:b/>
                <w:bCs/>
                <w:sz w:val="21"/>
                <w:szCs w:val="21"/>
              </w:rPr>
            </w:pPr>
            <w:r>
              <w:rPr>
                <w:rFonts w:hint="eastAsia" w:ascii="宋体" w:hAnsi="宋体"/>
                <w:b/>
                <w:bCs/>
                <w:sz w:val="21"/>
                <w:szCs w:val="21"/>
              </w:rPr>
              <w:t>5.6.1</w:t>
            </w:r>
          </w:p>
        </w:tc>
        <w:tc>
          <w:tcPr>
            <w:tcW w:w="2196" w:type="pct"/>
            <w:vAlign w:val="center"/>
          </w:tcPr>
          <w:p>
            <w:pPr>
              <w:autoSpaceDE w:val="0"/>
              <w:autoSpaceDN w:val="0"/>
              <w:spacing w:line="240" w:lineRule="auto"/>
              <w:ind w:firstLine="0" w:firstLineChars="0"/>
              <w:jc w:val="center"/>
              <w:textAlignment w:val="bottom"/>
              <w:rPr>
                <w:rFonts w:ascii="宋体" w:hAnsi="宋体" w:cs="Times New Roman"/>
                <w:b/>
                <w:bCs/>
                <w:sz w:val="21"/>
                <w:szCs w:val="21"/>
              </w:rPr>
            </w:pPr>
            <w:r>
              <w:rPr>
                <w:rFonts w:hint="eastAsia" w:ascii="宋体" w:hAnsi="宋体" w:cs="Times New Roman"/>
                <w:b/>
                <w:bCs/>
                <w:sz w:val="21"/>
                <w:szCs w:val="21"/>
              </w:rPr>
              <w:t>建筑防火</w:t>
            </w:r>
          </w:p>
        </w:tc>
        <w:tc>
          <w:tcPr>
            <w:tcW w:w="1702"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w:t>
            </w:r>
          </w:p>
        </w:tc>
        <w:tc>
          <w:tcPr>
            <w:tcW w:w="444" w:type="pct"/>
            <w:vAlign w:val="center"/>
          </w:tcPr>
          <w:p>
            <w:pPr>
              <w:spacing w:line="240" w:lineRule="auto"/>
              <w:ind w:firstLine="0" w:firstLineChars="0"/>
              <w:jc w:val="center"/>
              <w:rPr>
                <w:sz w:val="21"/>
                <w:szCs w:val="21"/>
              </w:rPr>
            </w:pPr>
            <w:r>
              <w:rPr>
                <w:rFonts w:hint="eastAsia"/>
                <w:sz w:val="21"/>
                <w:szCs w:val="21"/>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numPr>
                <w:ilvl w:val="0"/>
                <w:numId w:val="91"/>
              </w:numPr>
              <w:autoSpaceDE w:val="0"/>
              <w:autoSpaceDN w:val="0"/>
              <w:spacing w:line="240" w:lineRule="auto"/>
              <w:ind w:left="0" w:firstLine="0" w:firstLineChars="0"/>
              <w:jc w:val="center"/>
              <w:textAlignment w:val="bottom"/>
              <w:rPr>
                <w:rFonts w:ascii="宋体" w:hAnsi="宋体"/>
                <w:b/>
                <w:bCs/>
                <w:sz w:val="21"/>
                <w:szCs w:val="21"/>
              </w:rPr>
            </w:pPr>
          </w:p>
        </w:tc>
        <w:tc>
          <w:tcPr>
            <w:tcW w:w="2196" w:type="pct"/>
            <w:vAlign w:val="center"/>
          </w:tcPr>
          <w:p>
            <w:pPr>
              <w:spacing w:line="240" w:lineRule="auto"/>
              <w:ind w:firstLine="0" w:firstLineChars="0"/>
              <w:rPr>
                <w:rFonts w:ascii="宋体" w:hAnsi="宋体"/>
                <w:sz w:val="21"/>
                <w:szCs w:val="21"/>
                <w:lang w:val="zh-CN"/>
              </w:rPr>
            </w:pPr>
            <w:r>
              <w:rPr>
                <w:rFonts w:hint="eastAsia" w:ascii="宋体" w:hAnsi="宋体"/>
                <w:sz w:val="21"/>
                <w:szCs w:val="21"/>
                <w:lang w:val="zh-CN"/>
              </w:rPr>
              <w:t>耐火等级</w:t>
            </w:r>
          </w:p>
          <w:p>
            <w:pPr>
              <w:spacing w:line="240" w:lineRule="auto"/>
              <w:ind w:firstLine="0" w:firstLineChars="0"/>
              <w:rPr>
                <w:rFonts w:ascii="宋体" w:hAnsi="宋体"/>
                <w:sz w:val="21"/>
                <w:szCs w:val="21"/>
              </w:rPr>
            </w:pPr>
            <w:r>
              <w:rPr>
                <w:rFonts w:hint="eastAsia" w:ascii="宋体" w:hAnsi="宋体"/>
                <w:sz w:val="21"/>
                <w:szCs w:val="21"/>
                <w:lang w:val="zh-CN"/>
              </w:rPr>
              <w:t>本工程所有建筑物的平面布置、结构及材料选用均按《建筑设计防火规范》（GB50016-20</w:t>
            </w:r>
            <w:r>
              <w:rPr>
                <w:rFonts w:hint="eastAsia" w:ascii="宋体" w:hAnsi="宋体"/>
                <w:sz w:val="21"/>
                <w:szCs w:val="21"/>
              </w:rPr>
              <w:t>14（2018版）</w:t>
            </w:r>
            <w:r>
              <w:rPr>
                <w:rFonts w:hint="eastAsia" w:ascii="宋体" w:hAnsi="宋体"/>
                <w:sz w:val="21"/>
                <w:szCs w:val="21"/>
                <w:lang w:val="zh-CN"/>
              </w:rPr>
              <w:t>）进行设计，</w:t>
            </w:r>
            <w:r>
              <w:rPr>
                <w:rFonts w:hint="eastAsia" w:ascii="宋体" w:hAnsi="宋体"/>
                <w:sz w:val="21"/>
                <w:szCs w:val="21"/>
              </w:rPr>
              <w:t>本项目</w:t>
            </w:r>
            <w:r>
              <w:rPr>
                <w:rFonts w:hint="eastAsia" w:ascii="宋体" w:hAnsi="宋体"/>
                <w:sz w:val="21"/>
                <w:szCs w:val="21"/>
                <w:lang w:val="zh-CN"/>
              </w:rPr>
              <w:t>各建构筑物耐火等级均为二级。</w:t>
            </w:r>
            <w:r>
              <w:rPr>
                <w:rFonts w:hint="eastAsia" w:ascii="宋体" w:hAnsi="宋体"/>
                <w:sz w:val="21"/>
                <w:szCs w:val="21"/>
              </w:rPr>
              <w:t>钢结构涂刷防火涂料使之达到二级耐火等级的要求。</w:t>
            </w:r>
          </w:p>
        </w:tc>
        <w:tc>
          <w:tcPr>
            <w:tcW w:w="1702" w:type="pct"/>
            <w:vAlign w:val="center"/>
          </w:tcPr>
          <w:p>
            <w:pPr>
              <w:spacing w:line="240" w:lineRule="auto"/>
              <w:ind w:firstLine="0" w:firstLineChars="0"/>
              <w:rPr>
                <w:rFonts w:ascii="宋体" w:hAnsi="宋体"/>
                <w:sz w:val="21"/>
                <w:szCs w:val="21"/>
              </w:rPr>
            </w:pP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numPr>
                <w:ilvl w:val="0"/>
                <w:numId w:val="91"/>
              </w:numPr>
              <w:autoSpaceDE w:val="0"/>
              <w:autoSpaceDN w:val="0"/>
              <w:spacing w:line="240" w:lineRule="auto"/>
              <w:ind w:left="0" w:firstLine="0" w:firstLineChars="0"/>
              <w:jc w:val="center"/>
              <w:textAlignment w:val="bottom"/>
              <w:rPr>
                <w:rFonts w:ascii="宋体" w:hAnsi="宋体"/>
                <w:b/>
                <w:bCs/>
                <w:sz w:val="21"/>
                <w:szCs w:val="21"/>
              </w:rPr>
            </w:pPr>
          </w:p>
        </w:tc>
        <w:tc>
          <w:tcPr>
            <w:tcW w:w="2196" w:type="pct"/>
            <w:vAlign w:val="center"/>
          </w:tcPr>
          <w:p>
            <w:pPr>
              <w:spacing w:line="240" w:lineRule="auto"/>
              <w:ind w:firstLine="0" w:firstLineChars="0"/>
              <w:rPr>
                <w:rFonts w:ascii="宋体" w:hAnsi="宋体"/>
                <w:sz w:val="21"/>
                <w:szCs w:val="21"/>
                <w:lang w:val="zh-CN"/>
              </w:rPr>
            </w:pPr>
            <w:r>
              <w:rPr>
                <w:rFonts w:hint="eastAsia" w:ascii="宋体" w:hAnsi="宋体"/>
                <w:sz w:val="21"/>
                <w:szCs w:val="21"/>
                <w:lang w:val="zh-CN"/>
              </w:rPr>
              <w:t>安全疏散</w:t>
            </w:r>
          </w:p>
          <w:p>
            <w:pPr>
              <w:spacing w:line="240" w:lineRule="auto"/>
              <w:ind w:firstLine="0" w:firstLineChars="0"/>
              <w:rPr>
                <w:rFonts w:ascii="宋体" w:hAnsi="宋体"/>
                <w:sz w:val="21"/>
                <w:szCs w:val="21"/>
              </w:rPr>
            </w:pPr>
            <w:r>
              <w:rPr>
                <w:rFonts w:hint="eastAsia" w:ascii="宋体" w:hAnsi="宋体"/>
                <w:sz w:val="21"/>
                <w:szCs w:val="21"/>
              </w:rPr>
              <w:t>（1）办公楼占地面积为69.75m2，建筑面积为139.5m2，设置2个安全出口，安全出口的设置符合《建筑设计防火规范》（GB50016-2014（2018版））第5.5节的要求。</w:t>
            </w:r>
          </w:p>
          <w:p>
            <w:pPr>
              <w:spacing w:line="240" w:lineRule="auto"/>
              <w:ind w:firstLine="0" w:firstLineChars="0"/>
              <w:rPr>
                <w:rFonts w:ascii="宋体" w:hAnsi="宋体"/>
                <w:sz w:val="21"/>
                <w:szCs w:val="21"/>
              </w:rPr>
            </w:pPr>
            <w:r>
              <w:rPr>
                <w:rFonts w:hint="eastAsia" w:ascii="宋体" w:hAnsi="宋体"/>
                <w:sz w:val="21"/>
                <w:szCs w:val="21"/>
              </w:rPr>
              <w:t>（2）门卫室占地面积为13.5m2，设置1个安全出口，疏散楼梯及安全出口的设置符合《建筑设计防火规范》（GB50016-2014（2018版））第5.5节的要求。</w:t>
            </w:r>
          </w:p>
          <w:p>
            <w:pPr>
              <w:spacing w:line="240" w:lineRule="auto"/>
              <w:ind w:firstLine="0" w:firstLineChars="0"/>
              <w:rPr>
                <w:rFonts w:ascii="宋体" w:hAnsi="宋体"/>
                <w:sz w:val="21"/>
                <w:szCs w:val="21"/>
              </w:rPr>
            </w:pPr>
            <w:r>
              <w:rPr>
                <w:rFonts w:hint="eastAsia" w:ascii="宋体" w:hAnsi="宋体"/>
                <w:sz w:val="21"/>
                <w:szCs w:val="21"/>
              </w:rPr>
              <w:t>（3）生产厂房火灾危险性为丁类，耐火等级为二级，安全出口的设置符合《建筑设计防火规范》（GB50016-2014（2018版））第3.7节的要求。</w:t>
            </w:r>
          </w:p>
          <w:p>
            <w:pPr>
              <w:spacing w:line="240" w:lineRule="auto"/>
              <w:ind w:firstLine="0" w:firstLineChars="0"/>
              <w:rPr>
                <w:rFonts w:ascii="宋体" w:hAnsi="宋体"/>
                <w:sz w:val="21"/>
                <w:szCs w:val="21"/>
              </w:rPr>
            </w:pPr>
            <w:r>
              <w:rPr>
                <w:rFonts w:hint="eastAsia" w:ascii="宋体" w:hAnsi="宋体"/>
                <w:sz w:val="21"/>
                <w:szCs w:val="21"/>
              </w:rPr>
              <w:t>生产厂房内设有疏散走道，疏散走道净宽度大于等于1.4m，并在用于安全疏散的安全出口、通道等处设有醒目标志。</w:t>
            </w:r>
          </w:p>
          <w:p>
            <w:pPr>
              <w:spacing w:line="240" w:lineRule="auto"/>
              <w:ind w:firstLine="0" w:firstLineChars="0"/>
              <w:rPr>
                <w:rFonts w:ascii="宋体" w:hAnsi="宋体"/>
                <w:sz w:val="21"/>
                <w:szCs w:val="21"/>
              </w:rPr>
            </w:pPr>
            <w:r>
              <w:rPr>
                <w:rFonts w:hint="eastAsia" w:ascii="宋体" w:hAnsi="宋体"/>
                <w:sz w:val="21"/>
                <w:szCs w:val="21"/>
              </w:rPr>
              <w:t>（4）仓库火灾危险性为丁类，耐火等级为二级，安全出口的设置符合《建筑设计防火规范》（GB50016-2014（2018版））第3.7节的要求。</w:t>
            </w:r>
          </w:p>
          <w:p>
            <w:pPr>
              <w:spacing w:line="240" w:lineRule="auto"/>
              <w:ind w:firstLine="0" w:firstLineChars="0"/>
              <w:rPr>
                <w:rFonts w:ascii="宋体" w:hAnsi="宋体"/>
                <w:sz w:val="21"/>
                <w:szCs w:val="21"/>
                <w:lang w:val="zh-CN"/>
              </w:rPr>
            </w:pPr>
            <w:r>
              <w:rPr>
                <w:rFonts w:hint="eastAsia" w:ascii="宋体" w:hAnsi="宋体"/>
                <w:sz w:val="21"/>
                <w:szCs w:val="21"/>
                <w:lang w:val="zh-CN"/>
              </w:rPr>
              <w:t>3）安全标志</w:t>
            </w:r>
          </w:p>
          <w:p>
            <w:pPr>
              <w:spacing w:line="240" w:lineRule="auto"/>
              <w:ind w:firstLine="0" w:firstLineChars="0"/>
              <w:rPr>
                <w:rFonts w:ascii="宋体" w:hAnsi="宋体"/>
                <w:sz w:val="21"/>
                <w:szCs w:val="21"/>
                <w:lang w:val="zh-CN"/>
              </w:rPr>
            </w:pPr>
            <w:r>
              <w:rPr>
                <w:rFonts w:hint="eastAsia" w:ascii="宋体" w:hAnsi="宋体"/>
                <w:sz w:val="21"/>
                <w:szCs w:val="21"/>
                <w:lang w:val="zh-CN"/>
              </w:rPr>
              <w:t>按《消防安全标志》和《消防安全标志设置要求》的规定要求设置消防</w:t>
            </w:r>
          </w:p>
          <w:p>
            <w:pPr>
              <w:spacing w:line="240" w:lineRule="auto"/>
              <w:ind w:firstLine="0" w:firstLineChars="0"/>
              <w:rPr>
                <w:rFonts w:ascii="宋体" w:hAnsi="宋体"/>
                <w:sz w:val="21"/>
                <w:szCs w:val="21"/>
              </w:rPr>
            </w:pPr>
            <w:r>
              <w:rPr>
                <w:rFonts w:hint="eastAsia" w:ascii="宋体" w:hAnsi="宋体"/>
                <w:sz w:val="21"/>
                <w:szCs w:val="21"/>
                <w:lang w:val="zh-CN"/>
              </w:rPr>
              <w:t>安全标志牌。</w:t>
            </w:r>
          </w:p>
        </w:tc>
        <w:tc>
          <w:tcPr>
            <w:tcW w:w="1702" w:type="pct"/>
            <w:vAlign w:val="center"/>
          </w:tcPr>
          <w:p>
            <w:pPr>
              <w:spacing w:line="240" w:lineRule="auto"/>
              <w:ind w:firstLine="0" w:firstLineChars="0"/>
              <w:rPr>
                <w:rFonts w:ascii="宋体" w:hAnsi="宋体"/>
                <w:sz w:val="21"/>
                <w:szCs w:val="21"/>
              </w:rPr>
            </w:pPr>
            <w:r>
              <w:rPr>
                <w:rFonts w:hint="eastAsia" w:ascii="宋体" w:hAnsi="宋体"/>
                <w:sz w:val="21"/>
                <w:szCs w:val="21"/>
              </w:rPr>
              <w:t>安全出口、疏散走道、消防安全标志按设计要求进行设置。</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656" w:type="pct"/>
            <w:vAlign w:val="center"/>
          </w:tcPr>
          <w:p>
            <w:pPr>
              <w:autoSpaceDE w:val="0"/>
              <w:autoSpaceDN w:val="0"/>
              <w:spacing w:line="240" w:lineRule="auto"/>
              <w:ind w:firstLine="0" w:firstLineChars="0"/>
              <w:jc w:val="center"/>
              <w:textAlignment w:val="bottom"/>
              <w:rPr>
                <w:rFonts w:ascii="宋体" w:hAnsi="宋体"/>
                <w:b/>
                <w:bCs/>
                <w:sz w:val="21"/>
                <w:szCs w:val="21"/>
              </w:rPr>
            </w:pPr>
            <w:r>
              <w:rPr>
                <w:rFonts w:hint="eastAsia" w:ascii="宋体" w:hAnsi="宋体" w:cs="Times New Roman"/>
                <w:b/>
                <w:bCs/>
                <w:sz w:val="21"/>
                <w:szCs w:val="21"/>
              </w:rPr>
              <w:t>5.6.2</w:t>
            </w:r>
          </w:p>
        </w:tc>
        <w:tc>
          <w:tcPr>
            <w:tcW w:w="2196" w:type="pct"/>
            <w:vAlign w:val="center"/>
          </w:tcPr>
          <w:p>
            <w:pPr>
              <w:autoSpaceDE w:val="0"/>
              <w:autoSpaceDN w:val="0"/>
              <w:spacing w:line="240" w:lineRule="auto"/>
              <w:ind w:firstLine="0" w:firstLineChars="0"/>
              <w:textAlignment w:val="bottom"/>
              <w:rPr>
                <w:rFonts w:ascii="宋体" w:hAnsi="宋体" w:cs="Times New Roman"/>
                <w:b/>
                <w:bCs/>
                <w:sz w:val="21"/>
                <w:szCs w:val="21"/>
              </w:rPr>
            </w:pPr>
            <w:r>
              <w:rPr>
                <w:rFonts w:hint="eastAsia" w:ascii="宋体" w:hAnsi="宋体" w:cs="Times New Roman"/>
                <w:b/>
                <w:bCs/>
                <w:sz w:val="21"/>
                <w:szCs w:val="21"/>
              </w:rPr>
              <w:t>总图布置及道路防火</w:t>
            </w:r>
          </w:p>
        </w:tc>
        <w:tc>
          <w:tcPr>
            <w:tcW w:w="1702"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w:t>
            </w:r>
          </w:p>
        </w:tc>
        <w:tc>
          <w:tcPr>
            <w:tcW w:w="444" w:type="pct"/>
            <w:vAlign w:val="center"/>
          </w:tcPr>
          <w:p>
            <w:pPr>
              <w:spacing w:line="240" w:lineRule="auto"/>
              <w:ind w:firstLine="0" w:firstLineChars="0"/>
              <w:jc w:val="center"/>
              <w:rPr>
                <w:sz w:val="21"/>
                <w:szCs w:val="21"/>
              </w:rPr>
            </w:pPr>
            <w:r>
              <w:rPr>
                <w:rFonts w:hint="eastAsia"/>
                <w:sz w:val="21"/>
                <w:szCs w:val="21"/>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autoSpaceDE w:val="0"/>
              <w:autoSpaceDN w:val="0"/>
              <w:spacing w:line="240" w:lineRule="auto"/>
              <w:ind w:firstLine="0" w:firstLineChars="0"/>
              <w:jc w:val="center"/>
              <w:textAlignment w:val="bottom"/>
              <w:rPr>
                <w:rFonts w:ascii="宋体" w:hAnsi="宋体"/>
                <w:b/>
                <w:bCs/>
                <w:sz w:val="21"/>
                <w:szCs w:val="21"/>
              </w:rPr>
            </w:pPr>
            <w:r>
              <w:rPr>
                <w:rFonts w:hint="eastAsia" w:ascii="宋体" w:hAnsi="宋体"/>
                <w:b/>
                <w:bCs/>
                <w:sz w:val="21"/>
                <w:szCs w:val="21"/>
              </w:rPr>
              <w:t>/</w:t>
            </w:r>
          </w:p>
        </w:tc>
        <w:tc>
          <w:tcPr>
            <w:tcW w:w="2196" w:type="pct"/>
            <w:vAlign w:val="center"/>
          </w:tcPr>
          <w:p>
            <w:pPr>
              <w:spacing w:line="240" w:lineRule="auto"/>
              <w:ind w:firstLine="0" w:firstLineChars="0"/>
              <w:rPr>
                <w:rFonts w:ascii="宋体" w:hAnsi="宋体"/>
                <w:sz w:val="21"/>
                <w:szCs w:val="21"/>
                <w:lang w:val="zh-CN"/>
              </w:rPr>
            </w:pPr>
            <w:r>
              <w:rPr>
                <w:rFonts w:hint="eastAsia" w:ascii="宋体" w:hAnsi="宋体"/>
                <w:sz w:val="21"/>
                <w:szCs w:val="21"/>
                <w:lang w:val="zh-CN"/>
              </w:rPr>
              <w:t>本工程根据生产性质、火灾危险性、建筑物耐火等级、防火分隔和安全</w:t>
            </w:r>
          </w:p>
          <w:p>
            <w:pPr>
              <w:spacing w:line="240" w:lineRule="auto"/>
              <w:ind w:firstLine="0" w:firstLineChars="0"/>
              <w:rPr>
                <w:rFonts w:ascii="宋体" w:hAnsi="宋体"/>
                <w:sz w:val="21"/>
                <w:szCs w:val="21"/>
                <w:lang w:val="zh-CN"/>
              </w:rPr>
            </w:pPr>
            <w:r>
              <w:rPr>
                <w:rFonts w:hint="eastAsia" w:ascii="宋体" w:hAnsi="宋体"/>
                <w:sz w:val="21"/>
                <w:szCs w:val="21"/>
                <w:lang w:val="zh-CN"/>
              </w:rPr>
              <w:t>通道等方面的要求进行总图布置。</w:t>
            </w:r>
          </w:p>
          <w:p>
            <w:pPr>
              <w:spacing w:line="240" w:lineRule="auto"/>
              <w:ind w:firstLine="0" w:firstLineChars="0"/>
              <w:rPr>
                <w:rFonts w:ascii="宋体" w:hAnsi="宋体"/>
                <w:sz w:val="21"/>
                <w:szCs w:val="21"/>
                <w:lang w:val="zh-CN"/>
              </w:rPr>
            </w:pPr>
            <w:r>
              <w:rPr>
                <w:rFonts w:hint="eastAsia" w:ascii="宋体" w:hAnsi="宋体"/>
                <w:sz w:val="21"/>
                <w:szCs w:val="21"/>
                <w:lang w:val="zh-CN"/>
              </w:rPr>
              <w:t>在厂区总平面布置时，按生产性质、工艺要求及火灾危险性的大小等分成相对独立的小区，各区间以道路相隔，各建筑物之间留有足够的防火间距。</w:t>
            </w:r>
          </w:p>
          <w:p>
            <w:pPr>
              <w:spacing w:line="240" w:lineRule="auto"/>
              <w:ind w:firstLine="0" w:firstLineChars="0"/>
              <w:rPr>
                <w:rFonts w:ascii="宋体" w:hAnsi="宋体"/>
                <w:sz w:val="21"/>
                <w:szCs w:val="21"/>
              </w:rPr>
            </w:pPr>
            <w:r>
              <w:rPr>
                <w:rFonts w:hint="eastAsia" w:ascii="宋体" w:hAnsi="宋体"/>
                <w:sz w:val="21"/>
                <w:szCs w:val="21"/>
                <w:lang w:val="zh-CN"/>
              </w:rPr>
              <w:t>厂区</w:t>
            </w:r>
            <w:r>
              <w:rPr>
                <w:rFonts w:hint="eastAsia" w:ascii="宋体" w:hAnsi="宋体"/>
                <w:sz w:val="21"/>
                <w:szCs w:val="21"/>
              </w:rPr>
              <w:t>设置有环形或带回车场地的尽头式消防道路</w:t>
            </w:r>
            <w:r>
              <w:rPr>
                <w:rFonts w:hint="eastAsia" w:ascii="宋体" w:hAnsi="宋体"/>
                <w:sz w:val="21"/>
                <w:szCs w:val="21"/>
                <w:lang w:val="zh-CN"/>
              </w:rPr>
              <w:t>，道路宽度均不小于</w:t>
            </w:r>
            <w:r>
              <w:rPr>
                <w:rFonts w:hint="eastAsia" w:ascii="宋体" w:hAnsi="宋体"/>
                <w:sz w:val="21"/>
                <w:szCs w:val="21"/>
              </w:rPr>
              <w:t>4</w:t>
            </w:r>
            <w:r>
              <w:rPr>
                <w:rFonts w:hint="eastAsia" w:ascii="宋体" w:hAnsi="宋体"/>
                <w:sz w:val="21"/>
                <w:szCs w:val="21"/>
                <w:lang w:val="zh-CN"/>
              </w:rPr>
              <w:t>m，道路上空净空高度均不</w:t>
            </w:r>
            <w:r>
              <w:rPr>
                <w:rFonts w:hint="eastAsia" w:ascii="宋体" w:hAnsi="宋体"/>
                <w:sz w:val="21"/>
                <w:szCs w:val="21"/>
              </w:rPr>
              <w:t>小于5</w:t>
            </w:r>
            <w:r>
              <w:rPr>
                <w:rFonts w:hint="eastAsia" w:ascii="宋体" w:hAnsi="宋体"/>
                <w:sz w:val="21"/>
                <w:szCs w:val="21"/>
                <w:lang w:val="zh-CN"/>
              </w:rPr>
              <w:t>m，道路转弯半径不小于</w:t>
            </w:r>
            <w:r>
              <w:rPr>
                <w:rFonts w:hint="eastAsia" w:ascii="宋体" w:hAnsi="宋体"/>
                <w:sz w:val="21"/>
                <w:szCs w:val="21"/>
              </w:rPr>
              <w:t>9</w:t>
            </w:r>
            <w:r>
              <w:rPr>
                <w:rFonts w:hint="eastAsia" w:ascii="宋体" w:hAnsi="宋体"/>
                <w:sz w:val="21"/>
                <w:szCs w:val="21"/>
                <w:lang w:val="zh-CN"/>
              </w:rPr>
              <w:t>m，能满足消防车辆错车、转弯及通行等要求。</w:t>
            </w:r>
          </w:p>
        </w:tc>
        <w:tc>
          <w:tcPr>
            <w:tcW w:w="1702" w:type="pct"/>
            <w:vAlign w:val="center"/>
          </w:tcPr>
          <w:p>
            <w:pPr>
              <w:spacing w:line="240" w:lineRule="auto"/>
              <w:ind w:firstLine="0" w:firstLineChars="0"/>
              <w:rPr>
                <w:rFonts w:ascii="宋体" w:hAnsi="宋体"/>
                <w:sz w:val="21"/>
                <w:szCs w:val="21"/>
                <w:lang w:val="zh-CN"/>
              </w:rPr>
            </w:pPr>
            <w:r>
              <w:rPr>
                <w:rFonts w:hint="eastAsia" w:ascii="宋体" w:hAnsi="宋体"/>
                <w:sz w:val="21"/>
                <w:szCs w:val="21"/>
                <w:lang w:val="zh-CN"/>
              </w:rPr>
              <w:t>建筑物耐火等级、防火分隔和安全通道等方面的要求进行</w:t>
            </w:r>
            <w:r>
              <w:rPr>
                <w:rFonts w:hint="eastAsia" w:ascii="宋体" w:hAnsi="宋体"/>
                <w:sz w:val="21"/>
                <w:szCs w:val="21"/>
              </w:rPr>
              <w:t>设计</w:t>
            </w:r>
            <w:r>
              <w:rPr>
                <w:rFonts w:hint="eastAsia" w:ascii="宋体" w:hAnsi="宋体"/>
                <w:sz w:val="21"/>
                <w:szCs w:val="21"/>
                <w:lang w:val="zh-CN"/>
              </w:rPr>
              <w:t>总图布置。各区间以道路相隔，各建筑物之间留有足够的防火间距。</w:t>
            </w:r>
          </w:p>
          <w:p>
            <w:pPr>
              <w:spacing w:line="240" w:lineRule="auto"/>
              <w:ind w:firstLine="0" w:firstLineChars="0"/>
              <w:rPr>
                <w:rFonts w:ascii="宋体" w:hAnsi="宋体"/>
                <w:sz w:val="21"/>
                <w:szCs w:val="21"/>
                <w:lang w:val="zh-CN"/>
              </w:rPr>
            </w:pPr>
            <w:r>
              <w:rPr>
                <w:rFonts w:hint="eastAsia" w:ascii="宋体" w:hAnsi="宋体"/>
                <w:sz w:val="21"/>
                <w:szCs w:val="21"/>
                <w:lang w:val="zh-CN"/>
              </w:rPr>
              <w:t>厂区</w:t>
            </w:r>
            <w:r>
              <w:rPr>
                <w:rFonts w:hint="eastAsia" w:ascii="宋体" w:hAnsi="宋体"/>
                <w:sz w:val="21"/>
                <w:szCs w:val="21"/>
              </w:rPr>
              <w:t>设置有环形或带回车场地的尽头式消防道路</w:t>
            </w:r>
            <w:r>
              <w:rPr>
                <w:rFonts w:hint="eastAsia" w:ascii="宋体" w:hAnsi="宋体"/>
                <w:sz w:val="21"/>
                <w:szCs w:val="21"/>
                <w:lang w:val="zh-CN"/>
              </w:rPr>
              <w:t>，道路宽度均不小于</w:t>
            </w:r>
            <w:r>
              <w:rPr>
                <w:rFonts w:hint="eastAsia" w:ascii="宋体" w:hAnsi="宋体"/>
                <w:sz w:val="21"/>
                <w:szCs w:val="21"/>
              </w:rPr>
              <w:t>4</w:t>
            </w:r>
            <w:r>
              <w:rPr>
                <w:rFonts w:hint="eastAsia" w:ascii="宋体" w:hAnsi="宋体"/>
                <w:sz w:val="21"/>
                <w:szCs w:val="21"/>
                <w:lang w:val="zh-CN"/>
              </w:rPr>
              <w:t>m，道路上空净空高度均不</w:t>
            </w:r>
            <w:r>
              <w:rPr>
                <w:rFonts w:hint="eastAsia" w:ascii="宋体" w:hAnsi="宋体"/>
                <w:sz w:val="21"/>
                <w:szCs w:val="21"/>
              </w:rPr>
              <w:t>小于5</w:t>
            </w:r>
            <w:r>
              <w:rPr>
                <w:rFonts w:hint="eastAsia" w:ascii="宋体" w:hAnsi="宋体"/>
                <w:sz w:val="21"/>
                <w:szCs w:val="21"/>
                <w:lang w:val="zh-CN"/>
              </w:rPr>
              <w:t>m，道路转弯半径不小于</w:t>
            </w:r>
            <w:r>
              <w:rPr>
                <w:rFonts w:hint="eastAsia" w:ascii="宋体" w:hAnsi="宋体"/>
                <w:sz w:val="21"/>
                <w:szCs w:val="21"/>
              </w:rPr>
              <w:t>9</w:t>
            </w:r>
            <w:r>
              <w:rPr>
                <w:rFonts w:hint="eastAsia" w:ascii="宋体" w:hAnsi="宋体"/>
                <w:sz w:val="21"/>
                <w:szCs w:val="21"/>
                <w:lang w:val="zh-CN"/>
              </w:rPr>
              <w:t>m，能满足消防车辆错车、转弯及通行等要求。</w:t>
            </w:r>
          </w:p>
          <w:p>
            <w:pPr>
              <w:spacing w:line="240" w:lineRule="auto"/>
              <w:ind w:firstLine="0" w:firstLineChars="0"/>
              <w:rPr>
                <w:rFonts w:ascii="宋体" w:hAnsi="宋体"/>
                <w:sz w:val="21"/>
                <w:szCs w:val="21"/>
              </w:rPr>
            </w:pP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56" w:type="pct"/>
            <w:vAlign w:val="center"/>
          </w:tcPr>
          <w:p>
            <w:pPr>
              <w:autoSpaceDE w:val="0"/>
              <w:autoSpaceDN w:val="0"/>
              <w:spacing w:line="240" w:lineRule="auto"/>
              <w:ind w:firstLine="0" w:firstLineChars="0"/>
              <w:jc w:val="center"/>
              <w:textAlignment w:val="bottom"/>
              <w:rPr>
                <w:rFonts w:ascii="宋体" w:hAnsi="宋体"/>
                <w:b/>
                <w:bCs/>
                <w:sz w:val="21"/>
                <w:szCs w:val="21"/>
              </w:rPr>
            </w:pPr>
            <w:r>
              <w:rPr>
                <w:rFonts w:hint="eastAsia" w:ascii="宋体" w:hAnsi="宋体" w:cs="Times New Roman"/>
                <w:b/>
                <w:bCs/>
                <w:sz w:val="21"/>
                <w:szCs w:val="21"/>
              </w:rPr>
              <w:t>5.6.3</w:t>
            </w:r>
          </w:p>
        </w:tc>
        <w:tc>
          <w:tcPr>
            <w:tcW w:w="2196" w:type="pct"/>
            <w:vAlign w:val="center"/>
          </w:tcPr>
          <w:p>
            <w:pPr>
              <w:autoSpaceDE w:val="0"/>
              <w:autoSpaceDN w:val="0"/>
              <w:spacing w:line="240" w:lineRule="auto"/>
              <w:ind w:firstLine="0" w:firstLineChars="0"/>
              <w:jc w:val="center"/>
              <w:textAlignment w:val="bottom"/>
              <w:rPr>
                <w:rFonts w:ascii="宋体" w:hAnsi="宋体" w:cs="Times New Roman"/>
                <w:b/>
                <w:bCs/>
                <w:sz w:val="21"/>
                <w:szCs w:val="21"/>
              </w:rPr>
            </w:pPr>
            <w:r>
              <w:rPr>
                <w:rFonts w:hint="eastAsia" w:ascii="宋体" w:hAnsi="宋体" w:cs="Times New Roman"/>
                <w:b/>
                <w:bCs/>
                <w:sz w:val="21"/>
                <w:szCs w:val="21"/>
              </w:rPr>
              <w:t>电气防火</w:t>
            </w:r>
          </w:p>
        </w:tc>
        <w:tc>
          <w:tcPr>
            <w:tcW w:w="1702"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w:t>
            </w:r>
          </w:p>
        </w:tc>
        <w:tc>
          <w:tcPr>
            <w:tcW w:w="444" w:type="pct"/>
            <w:vAlign w:val="center"/>
          </w:tcPr>
          <w:p>
            <w:pPr>
              <w:spacing w:line="240" w:lineRule="auto"/>
              <w:ind w:firstLine="0" w:firstLineChars="0"/>
              <w:jc w:val="center"/>
              <w:rPr>
                <w:sz w:val="21"/>
                <w:szCs w:val="21"/>
              </w:rPr>
            </w:pPr>
            <w:r>
              <w:rPr>
                <w:rFonts w:hint="eastAsia"/>
                <w:sz w:val="21"/>
                <w:szCs w:val="21"/>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numPr>
                <w:ilvl w:val="0"/>
                <w:numId w:val="92"/>
              </w:numPr>
              <w:autoSpaceDE w:val="0"/>
              <w:autoSpaceDN w:val="0"/>
              <w:spacing w:line="240" w:lineRule="auto"/>
              <w:ind w:left="0" w:firstLine="0" w:firstLineChars="0"/>
              <w:jc w:val="center"/>
              <w:textAlignment w:val="bottom"/>
              <w:rPr>
                <w:rFonts w:ascii="宋体" w:hAnsi="宋体"/>
                <w:b/>
                <w:bCs/>
                <w:sz w:val="21"/>
                <w:szCs w:val="21"/>
              </w:rPr>
            </w:pPr>
          </w:p>
        </w:tc>
        <w:tc>
          <w:tcPr>
            <w:tcW w:w="2196" w:type="pct"/>
            <w:vAlign w:val="center"/>
          </w:tcPr>
          <w:p>
            <w:pPr>
              <w:spacing w:line="240" w:lineRule="auto"/>
              <w:ind w:firstLine="0" w:firstLineChars="0"/>
              <w:rPr>
                <w:rFonts w:ascii="宋体" w:hAnsi="宋体"/>
                <w:sz w:val="21"/>
                <w:szCs w:val="21"/>
              </w:rPr>
            </w:pPr>
            <w:r>
              <w:rPr>
                <w:rFonts w:hint="eastAsia" w:ascii="宋体" w:hAnsi="宋体"/>
                <w:sz w:val="21"/>
                <w:szCs w:val="21"/>
                <w:lang w:val="zh-CN"/>
              </w:rPr>
              <w:t>本项目用电</w:t>
            </w:r>
            <w:r>
              <w:rPr>
                <w:rFonts w:hint="eastAsia" w:ascii="宋体" w:hAnsi="宋体"/>
                <w:sz w:val="21"/>
                <w:szCs w:val="21"/>
              </w:rPr>
              <w:t>接自厂区附近的10KV电网</w:t>
            </w:r>
            <w:r>
              <w:rPr>
                <w:rFonts w:hint="eastAsia" w:ascii="宋体" w:hAnsi="宋体"/>
                <w:sz w:val="21"/>
                <w:szCs w:val="21"/>
                <w:lang w:val="zh-CN"/>
              </w:rPr>
              <w:t>。本项目</w:t>
            </w:r>
            <w:r>
              <w:rPr>
                <w:rFonts w:hint="eastAsia" w:ascii="宋体" w:hAnsi="宋体"/>
                <w:sz w:val="21"/>
                <w:szCs w:val="21"/>
              </w:rPr>
              <w:t>设置有一台63</w:t>
            </w:r>
            <w:r>
              <w:rPr>
                <w:rFonts w:hint="eastAsia" w:ascii="宋体" w:hAnsi="宋体"/>
                <w:sz w:val="21"/>
                <w:szCs w:val="21"/>
                <w:lang w:val="zh-CN"/>
              </w:rPr>
              <w:t>0KVA</w:t>
            </w:r>
            <w:r>
              <w:rPr>
                <w:rFonts w:hint="eastAsia" w:ascii="宋体" w:hAnsi="宋体"/>
                <w:sz w:val="21"/>
                <w:szCs w:val="21"/>
              </w:rPr>
              <w:t>及一台1250KVA的干式变压器，</w:t>
            </w:r>
            <w:r>
              <w:rPr>
                <w:rFonts w:hint="eastAsia" w:ascii="宋体" w:hAnsi="宋体"/>
                <w:sz w:val="21"/>
                <w:szCs w:val="21"/>
                <w:lang w:val="zh-CN"/>
              </w:rPr>
              <w:t>供电能满足该公司的用电要求。本工程的用电负荷除消防、应急照明为二级负荷外，其余的用电负荷均为三级负荷。低压配电电源设在各厂区低压配电柜供给，配电采用树干式和放射式相结合的方式供给，供电电压为380/220</w:t>
            </w:r>
            <w:r>
              <w:rPr>
                <w:rFonts w:hint="eastAsia" w:ascii="宋体" w:hAnsi="宋体"/>
                <w:sz w:val="21"/>
                <w:szCs w:val="21"/>
              </w:rPr>
              <w:t>V。</w:t>
            </w:r>
          </w:p>
        </w:tc>
        <w:tc>
          <w:tcPr>
            <w:tcW w:w="1702" w:type="pct"/>
            <w:vAlign w:val="center"/>
          </w:tcPr>
          <w:p>
            <w:pPr>
              <w:spacing w:line="240" w:lineRule="auto"/>
              <w:ind w:firstLine="0" w:firstLineChars="0"/>
              <w:rPr>
                <w:rFonts w:ascii="宋体" w:hAnsi="宋体"/>
                <w:sz w:val="21"/>
                <w:szCs w:val="21"/>
              </w:rPr>
            </w:pPr>
            <w:r>
              <w:rPr>
                <w:rFonts w:hint="eastAsia" w:ascii="宋体" w:hAnsi="宋体"/>
                <w:sz w:val="21"/>
                <w:szCs w:val="21"/>
                <w:lang w:val="zh-CN"/>
              </w:rPr>
              <w:t>项目用电</w:t>
            </w:r>
            <w:r>
              <w:rPr>
                <w:rFonts w:hint="eastAsia" w:ascii="宋体" w:hAnsi="宋体"/>
                <w:sz w:val="21"/>
                <w:szCs w:val="21"/>
              </w:rPr>
              <w:t>接自厂区附近的10KV电网</w:t>
            </w:r>
            <w:r>
              <w:rPr>
                <w:rFonts w:hint="eastAsia" w:ascii="宋体" w:hAnsi="宋体"/>
                <w:sz w:val="21"/>
                <w:szCs w:val="21"/>
                <w:lang w:val="zh-CN"/>
              </w:rPr>
              <w:t>。本项目</w:t>
            </w:r>
            <w:r>
              <w:rPr>
                <w:rFonts w:hint="eastAsia" w:ascii="宋体" w:hAnsi="宋体"/>
                <w:sz w:val="21"/>
                <w:szCs w:val="21"/>
              </w:rPr>
              <w:t>设置有一台63</w:t>
            </w:r>
            <w:r>
              <w:rPr>
                <w:rFonts w:hint="eastAsia" w:ascii="宋体" w:hAnsi="宋体"/>
                <w:sz w:val="21"/>
                <w:szCs w:val="21"/>
                <w:lang w:val="zh-CN"/>
              </w:rPr>
              <w:t>0KVA</w:t>
            </w:r>
            <w:r>
              <w:rPr>
                <w:rFonts w:hint="eastAsia" w:ascii="宋体" w:hAnsi="宋体"/>
                <w:sz w:val="21"/>
                <w:szCs w:val="21"/>
              </w:rPr>
              <w:t>及一台1250KVA的干式变压器。</w:t>
            </w:r>
            <w:r>
              <w:rPr>
                <w:rFonts w:hint="eastAsia" w:ascii="宋体" w:hAnsi="宋体"/>
                <w:sz w:val="21"/>
                <w:szCs w:val="21"/>
                <w:lang w:val="zh-CN"/>
              </w:rPr>
              <w:t>本工程的用电负荷除消防、应急照明为二级负荷外，其余的用电负荷均为三级负荷。低压配电电源设在各厂区低压配电柜供给，配电采用树干式和放射式相结合的方式供给，供电电压为380/220</w:t>
            </w:r>
            <w:r>
              <w:rPr>
                <w:rFonts w:hint="eastAsia" w:ascii="宋体" w:hAnsi="宋体"/>
                <w:sz w:val="21"/>
                <w:szCs w:val="21"/>
              </w:rPr>
              <w:t>V。</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numPr>
                <w:ilvl w:val="0"/>
                <w:numId w:val="92"/>
              </w:numPr>
              <w:autoSpaceDE w:val="0"/>
              <w:autoSpaceDN w:val="0"/>
              <w:spacing w:line="240" w:lineRule="auto"/>
              <w:ind w:left="0" w:firstLine="0" w:firstLineChars="0"/>
              <w:jc w:val="center"/>
              <w:textAlignment w:val="bottom"/>
              <w:rPr>
                <w:rFonts w:ascii="宋体" w:hAnsi="宋体"/>
                <w:b/>
                <w:bCs/>
                <w:sz w:val="21"/>
                <w:szCs w:val="21"/>
              </w:rPr>
            </w:pPr>
          </w:p>
        </w:tc>
        <w:tc>
          <w:tcPr>
            <w:tcW w:w="2196" w:type="pct"/>
            <w:vAlign w:val="center"/>
          </w:tcPr>
          <w:p>
            <w:pPr>
              <w:spacing w:line="240" w:lineRule="auto"/>
              <w:ind w:firstLine="0" w:firstLineChars="0"/>
              <w:rPr>
                <w:rFonts w:ascii="宋体" w:hAnsi="宋体"/>
                <w:sz w:val="21"/>
                <w:szCs w:val="21"/>
              </w:rPr>
            </w:pPr>
            <w:r>
              <w:rPr>
                <w:rFonts w:hint="eastAsia" w:ascii="宋体" w:hAnsi="宋体"/>
                <w:sz w:val="21"/>
                <w:szCs w:val="21"/>
                <w:lang w:val="zh-CN"/>
              </w:rPr>
              <w:t>本工程动力配电系统的配电室和控制室，配置有移动式灭火设备。</w:t>
            </w:r>
          </w:p>
        </w:tc>
        <w:tc>
          <w:tcPr>
            <w:tcW w:w="1702" w:type="pct"/>
            <w:vAlign w:val="center"/>
          </w:tcPr>
          <w:p>
            <w:pPr>
              <w:spacing w:line="240" w:lineRule="auto"/>
              <w:ind w:firstLine="0" w:firstLineChars="0"/>
              <w:jc w:val="center"/>
              <w:rPr>
                <w:rFonts w:ascii="宋体" w:hAnsi="宋体"/>
                <w:sz w:val="21"/>
                <w:szCs w:val="21"/>
              </w:rPr>
            </w:pPr>
            <w:r>
              <w:rPr>
                <w:rFonts w:hint="eastAsia" w:ascii="宋体" w:hAnsi="宋体"/>
                <w:sz w:val="21"/>
                <w:szCs w:val="21"/>
                <w:lang w:val="zh-CN"/>
              </w:rPr>
              <w:t>动力配电系统的配电室和控制室，配置有移动式灭火设备。</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numPr>
                <w:ilvl w:val="0"/>
                <w:numId w:val="92"/>
              </w:numPr>
              <w:autoSpaceDE w:val="0"/>
              <w:autoSpaceDN w:val="0"/>
              <w:spacing w:line="240" w:lineRule="auto"/>
              <w:ind w:left="0" w:firstLine="0" w:firstLineChars="0"/>
              <w:jc w:val="center"/>
              <w:textAlignment w:val="bottom"/>
              <w:rPr>
                <w:rFonts w:ascii="宋体" w:hAnsi="宋体"/>
                <w:b/>
                <w:bCs/>
                <w:sz w:val="21"/>
                <w:szCs w:val="21"/>
              </w:rPr>
            </w:pPr>
          </w:p>
        </w:tc>
        <w:tc>
          <w:tcPr>
            <w:tcW w:w="2196" w:type="pct"/>
            <w:vAlign w:val="center"/>
          </w:tcPr>
          <w:p>
            <w:pPr>
              <w:spacing w:line="240" w:lineRule="auto"/>
              <w:ind w:firstLine="0" w:firstLineChars="0"/>
              <w:rPr>
                <w:rFonts w:ascii="宋体" w:hAnsi="宋体"/>
                <w:sz w:val="21"/>
                <w:szCs w:val="21"/>
              </w:rPr>
            </w:pPr>
            <w:r>
              <w:rPr>
                <w:rFonts w:hint="eastAsia" w:ascii="宋体" w:hAnsi="宋体"/>
                <w:sz w:val="21"/>
                <w:szCs w:val="21"/>
                <w:lang w:val="zh-CN"/>
              </w:rPr>
              <w:t>依据《建筑物防雷设计规范》（GB50057-2010）的要求，本项目建筑物均按第三类防雷措施设防。利用25×4的镀锌扁钢在屋面组成避雷带防直击雷；三类防雷建筑物网屋面避雷带格密度为不大于20×20m，或24×16m。为防止雷电感应，建（构）筑物内的设备、管道、构架等主要金属均就近接地。为防止雷电波侵入，本项目架空、埋地或地沟内的金属管道、电缆的金属外皮等在入户端也均就近接地。</w:t>
            </w:r>
          </w:p>
        </w:tc>
        <w:tc>
          <w:tcPr>
            <w:tcW w:w="1702" w:type="pct"/>
            <w:vAlign w:val="center"/>
          </w:tcPr>
          <w:p>
            <w:pPr>
              <w:spacing w:line="240" w:lineRule="auto"/>
              <w:ind w:firstLine="0" w:firstLineChars="0"/>
              <w:rPr>
                <w:rFonts w:ascii="宋体" w:hAnsi="宋体"/>
                <w:sz w:val="21"/>
                <w:szCs w:val="21"/>
              </w:rPr>
            </w:pPr>
            <w:r>
              <w:rPr>
                <w:rFonts w:hint="eastAsia" w:ascii="宋体" w:hAnsi="宋体"/>
                <w:sz w:val="21"/>
                <w:szCs w:val="21"/>
              </w:rPr>
              <w:t>项目</w:t>
            </w:r>
            <w:r>
              <w:rPr>
                <w:rFonts w:hint="eastAsia" w:ascii="宋体" w:hAnsi="宋体"/>
                <w:sz w:val="21"/>
                <w:szCs w:val="21"/>
                <w:lang w:val="zh-CN"/>
              </w:rPr>
              <w:t>建筑物均按第三类防雷措施设防。防雷</w:t>
            </w:r>
            <w:r>
              <w:rPr>
                <w:rFonts w:hint="eastAsia" w:ascii="宋体" w:hAnsi="宋体"/>
                <w:sz w:val="21"/>
                <w:szCs w:val="21"/>
              </w:rPr>
              <w:t>建设施工按设计要求进行。</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numPr>
                <w:ilvl w:val="0"/>
                <w:numId w:val="92"/>
              </w:numPr>
              <w:autoSpaceDE w:val="0"/>
              <w:autoSpaceDN w:val="0"/>
              <w:spacing w:line="240" w:lineRule="auto"/>
              <w:ind w:left="0" w:firstLine="0" w:firstLineChars="0"/>
              <w:jc w:val="center"/>
              <w:textAlignment w:val="bottom"/>
              <w:rPr>
                <w:rFonts w:ascii="宋体" w:hAnsi="宋体"/>
                <w:b/>
                <w:bCs/>
                <w:sz w:val="21"/>
                <w:szCs w:val="21"/>
              </w:rPr>
            </w:pPr>
          </w:p>
        </w:tc>
        <w:tc>
          <w:tcPr>
            <w:tcW w:w="2196" w:type="pct"/>
            <w:vAlign w:val="center"/>
          </w:tcPr>
          <w:p>
            <w:pPr>
              <w:spacing w:line="240" w:lineRule="auto"/>
              <w:ind w:firstLine="0" w:firstLineChars="0"/>
              <w:rPr>
                <w:rFonts w:ascii="宋体" w:hAnsi="宋体"/>
                <w:sz w:val="21"/>
                <w:szCs w:val="21"/>
              </w:rPr>
            </w:pPr>
            <w:r>
              <w:rPr>
                <w:rFonts w:hint="eastAsia" w:ascii="宋体" w:hAnsi="宋体"/>
                <w:sz w:val="21"/>
                <w:szCs w:val="21"/>
                <w:lang w:val="zh-CN"/>
              </w:rPr>
              <w:t>本项目防雷接地、防静电接地、电气设备的工作接地、保护接地及信息系统接地，采用共用接地装置，并接入同一接地网，其接地电阻不大于1Ω。接地网由水平接地体与垂直接地体构成。接地主干线和分支线采用-40×4的扁钢。所有设备的金属外壳、金属设备、金属管道、金属构架、电气设备的金属外壳、所有电气用金属构件、铠装电缆外皮，电缆加穿的保护管两端均接地。金属管道法兰均采取防静电跨接。</w:t>
            </w:r>
          </w:p>
        </w:tc>
        <w:tc>
          <w:tcPr>
            <w:tcW w:w="1702" w:type="pct"/>
            <w:vAlign w:val="center"/>
          </w:tcPr>
          <w:p>
            <w:pPr>
              <w:spacing w:line="240" w:lineRule="auto"/>
              <w:ind w:firstLine="0" w:firstLineChars="0"/>
              <w:rPr>
                <w:rFonts w:ascii="宋体" w:hAnsi="宋体"/>
                <w:sz w:val="21"/>
                <w:szCs w:val="21"/>
              </w:rPr>
            </w:pPr>
            <w:r>
              <w:rPr>
                <w:rFonts w:hint="eastAsia" w:ascii="宋体" w:hAnsi="宋体"/>
                <w:sz w:val="21"/>
                <w:szCs w:val="21"/>
                <w:lang w:val="zh-CN"/>
              </w:rPr>
              <w:t>项目防雷接地、防静电接地、电气设备的工作接地、保护接地及信息系统接地，采用共用接地装置，并接入同一接地网，其接地电阻不大于1Ω。所有设备的金属外壳、金属设备、金属管道、金属构架、电气设备的金属外壳、所有电气用金属构件、铠装电缆外皮，电缆加穿的保护管两端均接地。</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656" w:type="pct"/>
            <w:vAlign w:val="center"/>
          </w:tcPr>
          <w:p>
            <w:pPr>
              <w:autoSpaceDE w:val="0"/>
              <w:autoSpaceDN w:val="0"/>
              <w:spacing w:line="240" w:lineRule="auto"/>
              <w:ind w:firstLine="0" w:firstLineChars="0"/>
              <w:jc w:val="center"/>
              <w:textAlignment w:val="bottom"/>
              <w:rPr>
                <w:rFonts w:ascii="宋体" w:hAnsi="宋体"/>
                <w:b/>
                <w:bCs/>
                <w:sz w:val="21"/>
                <w:szCs w:val="21"/>
              </w:rPr>
            </w:pPr>
            <w:r>
              <w:rPr>
                <w:rFonts w:hint="eastAsia" w:ascii="宋体" w:hAnsi="宋体" w:cs="Times New Roman"/>
                <w:b/>
                <w:bCs/>
                <w:sz w:val="21"/>
                <w:szCs w:val="21"/>
              </w:rPr>
              <w:t>5.7</w:t>
            </w:r>
          </w:p>
        </w:tc>
        <w:tc>
          <w:tcPr>
            <w:tcW w:w="2196" w:type="pct"/>
            <w:vAlign w:val="center"/>
          </w:tcPr>
          <w:p>
            <w:pPr>
              <w:autoSpaceDE w:val="0"/>
              <w:autoSpaceDN w:val="0"/>
              <w:spacing w:line="240" w:lineRule="auto"/>
              <w:ind w:firstLine="0" w:firstLineChars="0"/>
              <w:textAlignment w:val="bottom"/>
              <w:rPr>
                <w:rFonts w:ascii="宋体" w:hAnsi="宋体" w:cs="Times New Roman"/>
                <w:b/>
                <w:bCs/>
                <w:sz w:val="21"/>
                <w:szCs w:val="21"/>
              </w:rPr>
            </w:pPr>
            <w:r>
              <w:rPr>
                <w:rFonts w:hint="eastAsia" w:ascii="宋体" w:hAnsi="宋体" w:cs="Times New Roman"/>
                <w:b/>
                <w:bCs/>
                <w:sz w:val="21"/>
                <w:szCs w:val="21"/>
              </w:rPr>
              <w:t>职业危害因素控制措施</w:t>
            </w:r>
          </w:p>
        </w:tc>
        <w:tc>
          <w:tcPr>
            <w:tcW w:w="1702"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w:t>
            </w:r>
          </w:p>
        </w:tc>
        <w:tc>
          <w:tcPr>
            <w:tcW w:w="444" w:type="pct"/>
            <w:vAlign w:val="center"/>
          </w:tcPr>
          <w:p>
            <w:pPr>
              <w:spacing w:line="240" w:lineRule="auto"/>
              <w:ind w:firstLine="0" w:firstLineChars="0"/>
              <w:jc w:val="center"/>
              <w:rPr>
                <w:sz w:val="21"/>
                <w:szCs w:val="21"/>
              </w:rPr>
            </w:pPr>
            <w:r>
              <w:rPr>
                <w:rFonts w:hint="eastAsia"/>
                <w:sz w:val="21"/>
                <w:szCs w:val="21"/>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numPr>
                <w:ilvl w:val="0"/>
                <w:numId w:val="93"/>
              </w:numPr>
              <w:autoSpaceDE w:val="0"/>
              <w:autoSpaceDN w:val="0"/>
              <w:spacing w:line="240" w:lineRule="auto"/>
              <w:ind w:left="0" w:firstLine="0" w:firstLineChars="0"/>
              <w:jc w:val="center"/>
              <w:textAlignment w:val="bottom"/>
              <w:rPr>
                <w:rFonts w:ascii="宋体" w:hAnsi="宋体"/>
                <w:b/>
                <w:bCs/>
                <w:sz w:val="21"/>
                <w:szCs w:val="21"/>
              </w:rPr>
            </w:pPr>
          </w:p>
        </w:tc>
        <w:tc>
          <w:tcPr>
            <w:tcW w:w="2196" w:type="pct"/>
            <w:vAlign w:val="center"/>
          </w:tcPr>
          <w:p>
            <w:pPr>
              <w:spacing w:line="240" w:lineRule="auto"/>
              <w:ind w:firstLine="0" w:firstLineChars="0"/>
              <w:rPr>
                <w:rFonts w:ascii="宋体" w:hAnsi="宋体"/>
                <w:sz w:val="21"/>
                <w:szCs w:val="21"/>
              </w:rPr>
            </w:pPr>
            <w:r>
              <w:rPr>
                <w:rFonts w:hint="eastAsia" w:ascii="宋体" w:hAnsi="宋体"/>
                <w:sz w:val="21"/>
                <w:szCs w:val="21"/>
                <w:lang w:val="zh-CN"/>
              </w:rPr>
              <w:t>按照《作业场所职业健康监督管理暂行规定》（安监总局令[2009]第23 号）和《用人单位职业病防治指南》（GBZ/T225-2010）要求，配置职业卫生专职机构，并配备不少于2人的专职职业卫生管理人员。</w:t>
            </w:r>
          </w:p>
        </w:tc>
        <w:tc>
          <w:tcPr>
            <w:tcW w:w="1702" w:type="pct"/>
            <w:vAlign w:val="center"/>
          </w:tcPr>
          <w:p>
            <w:pPr>
              <w:spacing w:line="240" w:lineRule="auto"/>
              <w:ind w:firstLine="0" w:firstLineChars="0"/>
              <w:rPr>
                <w:rFonts w:ascii="宋体" w:hAnsi="宋体"/>
                <w:sz w:val="21"/>
                <w:szCs w:val="21"/>
              </w:rPr>
            </w:pPr>
            <w:r>
              <w:rPr>
                <w:rFonts w:hint="eastAsia" w:ascii="宋体" w:hAnsi="宋体"/>
                <w:sz w:val="21"/>
                <w:szCs w:val="21"/>
              </w:rPr>
              <w:t>企业</w:t>
            </w:r>
            <w:r>
              <w:rPr>
                <w:rFonts w:hint="eastAsia" w:ascii="宋体" w:hAnsi="宋体"/>
                <w:sz w:val="21"/>
                <w:szCs w:val="21"/>
                <w:lang w:val="zh-CN"/>
              </w:rPr>
              <w:t>配置职业卫生专职机构，并配备不少于2人的专职职业卫生管理人员。</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numPr>
                <w:ilvl w:val="0"/>
                <w:numId w:val="93"/>
              </w:numPr>
              <w:autoSpaceDE w:val="0"/>
              <w:autoSpaceDN w:val="0"/>
              <w:spacing w:line="240" w:lineRule="auto"/>
              <w:ind w:left="0" w:firstLine="0" w:firstLineChars="0"/>
              <w:jc w:val="center"/>
              <w:textAlignment w:val="bottom"/>
              <w:rPr>
                <w:rFonts w:ascii="宋体" w:hAnsi="宋体"/>
                <w:b/>
                <w:bCs/>
                <w:sz w:val="21"/>
                <w:szCs w:val="21"/>
              </w:rPr>
            </w:pPr>
          </w:p>
        </w:tc>
        <w:tc>
          <w:tcPr>
            <w:tcW w:w="2196" w:type="pct"/>
            <w:vAlign w:val="center"/>
          </w:tcPr>
          <w:p>
            <w:pPr>
              <w:spacing w:line="240" w:lineRule="auto"/>
              <w:ind w:firstLine="0" w:firstLineChars="0"/>
              <w:rPr>
                <w:rFonts w:ascii="宋体" w:hAnsi="宋体"/>
                <w:sz w:val="21"/>
                <w:szCs w:val="21"/>
              </w:rPr>
            </w:pPr>
            <w:r>
              <w:rPr>
                <w:rFonts w:hint="eastAsia" w:ascii="宋体" w:hAnsi="宋体"/>
                <w:sz w:val="21"/>
                <w:szCs w:val="21"/>
                <w:lang w:val="zh-CN"/>
              </w:rPr>
              <w:t>根据《作业场所职业危害警示标示》要求，在醒目位置设置公告栏，公布有关职业危害防治的规章制度、操作规程和作业场所职业危害因素监测结果。对产生严重职业危害的作业岗位，在醒目位置设置警示标识和中文警示说明。警示说明载明产生职业危害的种类、后果、预防和应急处置措施等内容。在工作场所贮存有毒物质的容器，贴上醒目的标识，以示该物质名称及危险性。输送有毒物质的管道系统、设备、阀门、安全设施、泵及其他固定设备均贴上标签或注明记号以识别所输送的有毒物质。</w:t>
            </w:r>
          </w:p>
        </w:tc>
        <w:tc>
          <w:tcPr>
            <w:tcW w:w="1702" w:type="pct"/>
            <w:vAlign w:val="center"/>
          </w:tcPr>
          <w:p>
            <w:pPr>
              <w:spacing w:line="240" w:lineRule="auto"/>
              <w:ind w:firstLine="0" w:firstLineChars="0"/>
              <w:rPr>
                <w:rFonts w:ascii="宋体" w:hAnsi="宋体"/>
                <w:sz w:val="21"/>
                <w:szCs w:val="21"/>
              </w:rPr>
            </w:pPr>
            <w:r>
              <w:rPr>
                <w:rFonts w:hint="eastAsia" w:ascii="宋体" w:hAnsi="宋体"/>
                <w:sz w:val="21"/>
                <w:szCs w:val="21"/>
              </w:rPr>
              <w:t>企业</w:t>
            </w:r>
            <w:r>
              <w:rPr>
                <w:rFonts w:hint="eastAsia" w:ascii="宋体" w:hAnsi="宋体"/>
                <w:sz w:val="21"/>
                <w:szCs w:val="21"/>
                <w:lang w:val="zh-CN"/>
              </w:rPr>
              <w:t>根据《作业场所职业危害警示标示》要求，在醒目位置设置公告栏，公布有关职业危害防治的规章制度、操作规程和作业场所职业危害因素监测结果。对产生严重职业危害的作业岗位，在醒目位置设置警示标识和中文警示说明。</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numPr>
                <w:ilvl w:val="0"/>
                <w:numId w:val="93"/>
              </w:numPr>
              <w:autoSpaceDE w:val="0"/>
              <w:autoSpaceDN w:val="0"/>
              <w:spacing w:line="240" w:lineRule="auto"/>
              <w:ind w:left="0" w:firstLine="0" w:firstLineChars="0"/>
              <w:jc w:val="center"/>
              <w:textAlignment w:val="bottom"/>
              <w:rPr>
                <w:rFonts w:ascii="宋体" w:hAnsi="宋体"/>
                <w:b/>
                <w:bCs/>
                <w:sz w:val="21"/>
                <w:szCs w:val="21"/>
              </w:rPr>
            </w:pPr>
          </w:p>
        </w:tc>
        <w:tc>
          <w:tcPr>
            <w:tcW w:w="2196" w:type="pct"/>
            <w:vAlign w:val="center"/>
          </w:tcPr>
          <w:p>
            <w:pPr>
              <w:spacing w:line="240" w:lineRule="auto"/>
              <w:ind w:firstLine="0" w:firstLineChars="0"/>
              <w:rPr>
                <w:rFonts w:ascii="宋体" w:hAnsi="宋体"/>
                <w:sz w:val="21"/>
                <w:szCs w:val="21"/>
              </w:rPr>
            </w:pPr>
            <w:r>
              <w:rPr>
                <w:rFonts w:hint="eastAsia" w:ascii="宋体" w:hAnsi="宋体"/>
                <w:sz w:val="21"/>
                <w:szCs w:val="21"/>
                <w:lang w:val="zh-CN"/>
              </w:rPr>
              <w:t>车间墙壁、顶棚和地面等内部结构的表面，采用不易吸收、不吸附毒物的材料，并加设保护层，以便清洗。车间内设置冲洗地面和墙壁的设施，车间地面平整、光滑，易于清扫；经常有积液的地面做到不透水，坡向排水系统。其废水纳入工业废水处理系统。</w:t>
            </w:r>
          </w:p>
        </w:tc>
        <w:tc>
          <w:tcPr>
            <w:tcW w:w="1702" w:type="pct"/>
            <w:vAlign w:val="center"/>
          </w:tcPr>
          <w:p>
            <w:pPr>
              <w:spacing w:line="240" w:lineRule="auto"/>
              <w:ind w:firstLine="0" w:firstLineChars="0"/>
              <w:rPr>
                <w:rFonts w:ascii="宋体" w:hAnsi="宋体"/>
                <w:sz w:val="21"/>
                <w:szCs w:val="21"/>
              </w:rPr>
            </w:pPr>
            <w:r>
              <w:rPr>
                <w:rFonts w:hint="eastAsia" w:ascii="宋体" w:hAnsi="宋体"/>
                <w:sz w:val="21"/>
                <w:szCs w:val="21"/>
              </w:rPr>
              <w:t>企业</w:t>
            </w:r>
            <w:r>
              <w:rPr>
                <w:rFonts w:hint="eastAsia" w:ascii="宋体" w:hAnsi="宋体"/>
                <w:sz w:val="21"/>
                <w:szCs w:val="21"/>
                <w:lang w:val="zh-CN"/>
              </w:rPr>
              <w:t>车间墙壁、顶棚和地面等内部结构的表面，采用不易吸收、不吸附毒物的材料。车间地面平整、光滑，易于清扫；经常有积液的地面做到不透水，坡向排水系统。废水纳入工业废水处理系统。</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autoSpaceDE w:val="0"/>
              <w:autoSpaceDN w:val="0"/>
              <w:spacing w:line="240" w:lineRule="auto"/>
              <w:ind w:firstLine="0" w:firstLineChars="0"/>
              <w:jc w:val="center"/>
              <w:textAlignment w:val="bottom"/>
              <w:rPr>
                <w:rFonts w:ascii="宋体" w:hAnsi="宋体"/>
                <w:b/>
                <w:bCs/>
                <w:sz w:val="21"/>
                <w:szCs w:val="21"/>
              </w:rPr>
            </w:pPr>
            <w:r>
              <w:rPr>
                <w:rFonts w:hint="eastAsia" w:ascii="宋体" w:hAnsi="宋体" w:cs="Times New Roman"/>
                <w:b/>
                <w:bCs/>
                <w:sz w:val="21"/>
                <w:szCs w:val="21"/>
              </w:rPr>
              <w:t>5.8</w:t>
            </w:r>
          </w:p>
        </w:tc>
        <w:tc>
          <w:tcPr>
            <w:tcW w:w="2196" w:type="pct"/>
            <w:vAlign w:val="center"/>
          </w:tcPr>
          <w:p>
            <w:pPr>
              <w:autoSpaceDE w:val="0"/>
              <w:autoSpaceDN w:val="0"/>
              <w:adjustRightInd w:val="0"/>
              <w:spacing w:line="360" w:lineRule="auto"/>
              <w:ind w:firstLine="422"/>
              <w:textAlignment w:val="bottom"/>
              <w:rPr>
                <w:rFonts w:ascii="宋体" w:hAnsi="宋体" w:cs="Times New Roman"/>
                <w:b/>
                <w:bCs/>
                <w:sz w:val="21"/>
                <w:szCs w:val="21"/>
              </w:rPr>
            </w:pPr>
            <w:r>
              <w:rPr>
                <w:rFonts w:hint="eastAsia" w:ascii="宋体" w:hAnsi="宋体" w:cs="Times New Roman"/>
                <w:b/>
                <w:bCs/>
                <w:sz w:val="21"/>
                <w:szCs w:val="21"/>
              </w:rPr>
              <w:t>其他安全防范措施</w:t>
            </w:r>
          </w:p>
        </w:tc>
        <w:tc>
          <w:tcPr>
            <w:tcW w:w="1702" w:type="pct"/>
            <w:vAlign w:val="center"/>
          </w:tcPr>
          <w:p>
            <w:pPr>
              <w:spacing w:line="240" w:lineRule="auto"/>
              <w:ind w:firstLine="0" w:firstLineChars="0"/>
              <w:rPr>
                <w:rFonts w:ascii="宋体" w:hAnsi="宋体"/>
                <w:sz w:val="21"/>
                <w:szCs w:val="21"/>
              </w:rPr>
            </w:pPr>
          </w:p>
        </w:tc>
        <w:tc>
          <w:tcPr>
            <w:tcW w:w="444" w:type="pct"/>
            <w:vAlign w:val="center"/>
          </w:tcPr>
          <w:p>
            <w:pPr>
              <w:spacing w:line="240" w:lineRule="auto"/>
              <w:ind w:firstLine="0" w:firstLineChars="0"/>
              <w:jc w:val="center"/>
              <w:rPr>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numPr>
                <w:ilvl w:val="0"/>
                <w:numId w:val="94"/>
              </w:numPr>
              <w:autoSpaceDE w:val="0"/>
              <w:autoSpaceDN w:val="0"/>
              <w:spacing w:line="240" w:lineRule="auto"/>
              <w:ind w:left="0" w:firstLine="0" w:firstLineChars="0"/>
              <w:jc w:val="center"/>
              <w:textAlignment w:val="bottom"/>
              <w:rPr>
                <w:rFonts w:ascii="宋体" w:hAnsi="宋体"/>
                <w:b/>
                <w:bCs/>
                <w:sz w:val="21"/>
                <w:szCs w:val="21"/>
              </w:rPr>
            </w:pPr>
          </w:p>
        </w:tc>
        <w:tc>
          <w:tcPr>
            <w:tcW w:w="2196" w:type="pct"/>
            <w:vAlign w:val="center"/>
          </w:tcPr>
          <w:p>
            <w:pPr>
              <w:spacing w:line="240" w:lineRule="auto"/>
              <w:ind w:firstLine="0" w:firstLineChars="0"/>
              <w:rPr>
                <w:rFonts w:ascii="宋体" w:hAnsi="宋体"/>
                <w:sz w:val="21"/>
                <w:szCs w:val="21"/>
              </w:rPr>
            </w:pPr>
            <w:r>
              <w:rPr>
                <w:rFonts w:hint="eastAsia" w:ascii="宋体" w:hAnsi="宋体"/>
                <w:sz w:val="21"/>
                <w:szCs w:val="21"/>
                <w:lang w:val="zh-CN"/>
              </w:rPr>
              <w:t>根据《固定式钢梯及平台安全要求</w:t>
            </w:r>
            <w:r>
              <w:rPr>
                <w:rFonts w:hint="eastAsia" w:ascii="宋体" w:hAnsi="宋体"/>
                <w:sz w:val="21"/>
                <w:szCs w:val="21"/>
              </w:rPr>
              <w:t xml:space="preserve"> 第1部分：钢直梯</w:t>
            </w:r>
            <w:r>
              <w:rPr>
                <w:rFonts w:hint="eastAsia" w:ascii="宋体" w:hAnsi="宋体"/>
                <w:sz w:val="21"/>
                <w:szCs w:val="21"/>
                <w:lang w:val="zh-CN"/>
              </w:rPr>
              <w:t>》（GB4053.1-2009）、《固定式钢梯及平台安全要求</w:t>
            </w:r>
            <w:r>
              <w:rPr>
                <w:rFonts w:hint="eastAsia" w:ascii="宋体" w:hAnsi="宋体"/>
                <w:sz w:val="21"/>
                <w:szCs w:val="21"/>
              </w:rPr>
              <w:t xml:space="preserve"> 第2部分：钢斜梯</w:t>
            </w:r>
            <w:r>
              <w:rPr>
                <w:rFonts w:hint="eastAsia" w:ascii="宋体" w:hAnsi="宋体"/>
                <w:sz w:val="21"/>
                <w:szCs w:val="21"/>
                <w:lang w:val="zh-CN"/>
              </w:rPr>
              <w:t>》（GB4053.2-2009）、《</w:t>
            </w:r>
            <w:r>
              <w:rPr>
                <w:rFonts w:hint="eastAsia" w:ascii="宋体" w:hAnsi="宋体" w:cs="宋体"/>
                <w:sz w:val="21"/>
                <w:szCs w:val="21"/>
              </w:rPr>
              <w:t>固定式钢梯及平台安全要求 第3部分：工业防护栏杆及钢平台》</w:t>
            </w:r>
            <w:r>
              <w:rPr>
                <w:rFonts w:hint="eastAsia" w:ascii="宋体" w:hAnsi="宋体"/>
                <w:sz w:val="21"/>
                <w:szCs w:val="21"/>
                <w:lang w:val="zh-CN"/>
              </w:rPr>
              <w:t>（GB4053.3-2009）等规定，作业场所内凡有可能发生坠落危险的操作岗位、通道，按规定设计便于操作、巡检和维修作业的扶梯、平台、围栏等设施，防止机械及坠落等伤害事故的发生。</w:t>
            </w:r>
          </w:p>
        </w:tc>
        <w:tc>
          <w:tcPr>
            <w:tcW w:w="1702" w:type="pct"/>
            <w:vAlign w:val="center"/>
          </w:tcPr>
          <w:p>
            <w:pPr>
              <w:spacing w:line="240" w:lineRule="auto"/>
              <w:ind w:firstLine="0" w:firstLineChars="0"/>
              <w:rPr>
                <w:rFonts w:ascii="宋体" w:hAnsi="宋体"/>
                <w:sz w:val="21"/>
                <w:szCs w:val="21"/>
              </w:rPr>
            </w:pPr>
            <w:r>
              <w:rPr>
                <w:rFonts w:hint="eastAsia" w:ascii="宋体" w:hAnsi="宋体"/>
                <w:sz w:val="21"/>
                <w:szCs w:val="21"/>
              </w:rPr>
              <w:t>企业</w:t>
            </w:r>
            <w:r>
              <w:rPr>
                <w:rFonts w:hint="eastAsia" w:ascii="宋体" w:hAnsi="宋体"/>
                <w:sz w:val="21"/>
                <w:szCs w:val="21"/>
                <w:lang w:val="zh-CN"/>
              </w:rPr>
              <w:t>钢梯及平台</w:t>
            </w:r>
            <w:r>
              <w:rPr>
                <w:rFonts w:hint="eastAsia" w:ascii="宋体" w:hAnsi="宋体"/>
                <w:sz w:val="21"/>
                <w:szCs w:val="21"/>
              </w:rPr>
              <w:t>按规范要求进行设置。</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numPr>
                <w:ilvl w:val="0"/>
                <w:numId w:val="94"/>
              </w:numPr>
              <w:autoSpaceDE w:val="0"/>
              <w:autoSpaceDN w:val="0"/>
              <w:spacing w:line="240" w:lineRule="auto"/>
              <w:ind w:left="0" w:firstLine="0" w:firstLineChars="0"/>
              <w:jc w:val="center"/>
              <w:textAlignment w:val="bottom"/>
              <w:rPr>
                <w:rFonts w:ascii="宋体" w:hAnsi="宋体"/>
                <w:b/>
                <w:bCs/>
                <w:sz w:val="21"/>
                <w:szCs w:val="21"/>
              </w:rPr>
            </w:pPr>
          </w:p>
        </w:tc>
        <w:tc>
          <w:tcPr>
            <w:tcW w:w="2196" w:type="pct"/>
            <w:vAlign w:val="center"/>
          </w:tcPr>
          <w:p>
            <w:pPr>
              <w:spacing w:line="240" w:lineRule="auto"/>
              <w:ind w:firstLine="0" w:firstLineChars="0"/>
              <w:rPr>
                <w:rFonts w:ascii="宋体" w:hAnsi="宋体"/>
                <w:sz w:val="21"/>
                <w:szCs w:val="21"/>
              </w:rPr>
            </w:pPr>
            <w:r>
              <w:rPr>
                <w:rFonts w:hint="eastAsia" w:ascii="宋体" w:hAnsi="宋体"/>
                <w:sz w:val="21"/>
                <w:szCs w:val="21"/>
                <w:lang w:val="zh-CN"/>
              </w:rPr>
              <w:t>按规定配备安全帽、工作服等个体防护用品，另外根据作业特点及防护标准配备急救箱。</w:t>
            </w:r>
          </w:p>
        </w:tc>
        <w:tc>
          <w:tcPr>
            <w:tcW w:w="1702" w:type="pct"/>
            <w:vAlign w:val="center"/>
          </w:tcPr>
          <w:p>
            <w:pPr>
              <w:spacing w:line="240" w:lineRule="auto"/>
              <w:ind w:firstLine="0" w:firstLineChars="0"/>
              <w:rPr>
                <w:rFonts w:ascii="宋体" w:hAnsi="宋体"/>
                <w:sz w:val="21"/>
                <w:szCs w:val="21"/>
              </w:rPr>
            </w:pPr>
            <w:r>
              <w:rPr>
                <w:rFonts w:hint="eastAsia" w:ascii="宋体" w:hAnsi="宋体"/>
                <w:sz w:val="21"/>
                <w:szCs w:val="21"/>
              </w:rPr>
              <w:t>企业按设计要求配备</w:t>
            </w:r>
            <w:r>
              <w:rPr>
                <w:rFonts w:hint="eastAsia" w:ascii="宋体" w:hAnsi="宋体"/>
                <w:sz w:val="21"/>
                <w:szCs w:val="21"/>
                <w:lang w:val="zh-CN"/>
              </w:rPr>
              <w:t>安全帽、工作服等个体防护用品</w:t>
            </w:r>
            <w:r>
              <w:rPr>
                <w:rFonts w:hint="eastAsia" w:ascii="宋体" w:hAnsi="宋体"/>
                <w:sz w:val="21"/>
                <w:szCs w:val="21"/>
              </w:rPr>
              <w:t>和急救箱。</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numPr>
                <w:ilvl w:val="0"/>
                <w:numId w:val="94"/>
              </w:numPr>
              <w:autoSpaceDE w:val="0"/>
              <w:autoSpaceDN w:val="0"/>
              <w:spacing w:line="240" w:lineRule="auto"/>
              <w:ind w:left="0" w:firstLine="0" w:firstLineChars="0"/>
              <w:jc w:val="center"/>
              <w:textAlignment w:val="bottom"/>
              <w:rPr>
                <w:rFonts w:ascii="宋体" w:hAnsi="宋体"/>
                <w:b/>
                <w:bCs/>
                <w:sz w:val="21"/>
                <w:szCs w:val="21"/>
              </w:rPr>
            </w:pPr>
          </w:p>
        </w:tc>
        <w:tc>
          <w:tcPr>
            <w:tcW w:w="2196" w:type="pct"/>
            <w:vAlign w:val="center"/>
          </w:tcPr>
          <w:p>
            <w:pPr>
              <w:spacing w:line="240" w:lineRule="auto"/>
              <w:ind w:firstLine="0" w:firstLineChars="0"/>
              <w:rPr>
                <w:rFonts w:ascii="宋体" w:hAnsi="宋体"/>
                <w:sz w:val="21"/>
                <w:szCs w:val="21"/>
              </w:rPr>
            </w:pPr>
            <w:r>
              <w:rPr>
                <w:rFonts w:hint="eastAsia" w:ascii="宋体" w:hAnsi="宋体"/>
                <w:sz w:val="21"/>
                <w:szCs w:val="21"/>
                <w:lang w:val="zh-CN"/>
              </w:rPr>
              <w:t>在生产场所设计中考虑良好的通风效果，且在生产操作场所设置可靠、便利的通讯联系系统，设计与当地消防部门、医院具有快捷、有效的通讯联系。</w:t>
            </w:r>
          </w:p>
        </w:tc>
        <w:tc>
          <w:tcPr>
            <w:tcW w:w="1702" w:type="pct"/>
            <w:vAlign w:val="center"/>
          </w:tcPr>
          <w:p>
            <w:pPr>
              <w:spacing w:line="240" w:lineRule="auto"/>
              <w:ind w:firstLine="0" w:firstLineChars="0"/>
              <w:rPr>
                <w:rFonts w:ascii="宋体" w:hAnsi="宋体"/>
                <w:sz w:val="21"/>
                <w:szCs w:val="21"/>
              </w:rPr>
            </w:pPr>
            <w:r>
              <w:rPr>
                <w:rFonts w:hint="eastAsia" w:ascii="宋体" w:hAnsi="宋体"/>
                <w:sz w:val="21"/>
                <w:szCs w:val="21"/>
              </w:rPr>
              <w:t>生产场所有</w:t>
            </w:r>
            <w:r>
              <w:rPr>
                <w:rFonts w:hint="eastAsia" w:ascii="宋体" w:hAnsi="宋体"/>
                <w:sz w:val="21"/>
                <w:szCs w:val="21"/>
                <w:lang w:val="zh-CN"/>
              </w:rPr>
              <w:t>良好的通风效果，</w:t>
            </w:r>
            <w:r>
              <w:rPr>
                <w:rFonts w:hint="eastAsia" w:ascii="宋体" w:hAnsi="宋体"/>
                <w:sz w:val="21"/>
                <w:szCs w:val="21"/>
              </w:rPr>
              <w:t>企业有</w:t>
            </w:r>
            <w:r>
              <w:rPr>
                <w:rFonts w:hint="eastAsia" w:ascii="宋体" w:hAnsi="宋体"/>
                <w:sz w:val="21"/>
                <w:szCs w:val="21"/>
                <w:lang w:val="zh-CN"/>
              </w:rPr>
              <w:t>便利的通讯联系系统，</w:t>
            </w:r>
            <w:r>
              <w:rPr>
                <w:rFonts w:hint="eastAsia" w:ascii="宋体" w:hAnsi="宋体"/>
                <w:sz w:val="21"/>
                <w:szCs w:val="21"/>
              </w:rPr>
              <w:t>能与</w:t>
            </w:r>
            <w:r>
              <w:rPr>
                <w:rFonts w:hint="eastAsia" w:ascii="宋体" w:hAnsi="宋体"/>
                <w:sz w:val="21"/>
                <w:szCs w:val="21"/>
                <w:lang w:val="zh-CN"/>
              </w:rPr>
              <w:t>当地消防部门、医院快捷、有效的通讯联系。</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numPr>
                <w:ilvl w:val="0"/>
                <w:numId w:val="94"/>
              </w:numPr>
              <w:autoSpaceDE w:val="0"/>
              <w:autoSpaceDN w:val="0"/>
              <w:spacing w:line="240" w:lineRule="auto"/>
              <w:ind w:left="0" w:firstLine="0" w:firstLineChars="0"/>
              <w:jc w:val="center"/>
              <w:textAlignment w:val="bottom"/>
              <w:rPr>
                <w:rFonts w:ascii="宋体" w:hAnsi="宋体"/>
                <w:b/>
                <w:bCs/>
                <w:sz w:val="21"/>
                <w:szCs w:val="21"/>
              </w:rPr>
            </w:pPr>
          </w:p>
        </w:tc>
        <w:tc>
          <w:tcPr>
            <w:tcW w:w="2196" w:type="pct"/>
            <w:vAlign w:val="center"/>
          </w:tcPr>
          <w:p>
            <w:pPr>
              <w:spacing w:line="240" w:lineRule="auto"/>
              <w:ind w:firstLine="0" w:firstLineChars="0"/>
              <w:rPr>
                <w:rFonts w:ascii="宋体" w:hAnsi="宋体"/>
                <w:sz w:val="21"/>
                <w:szCs w:val="21"/>
              </w:rPr>
            </w:pPr>
            <w:r>
              <w:rPr>
                <w:rFonts w:hint="eastAsia" w:ascii="宋体" w:hAnsi="宋体"/>
                <w:sz w:val="21"/>
                <w:szCs w:val="21"/>
                <w:lang w:val="zh-CN"/>
              </w:rPr>
              <w:t>凡需要迅速发现并引起注意的防止发生事故的地点部位，均涂安全色，安全色的颜色按《安全色》（GB 2893-2008）执行，安全标志的选择按《安全标志及其使用导则》（GB2894-2008）的要求执行。</w:t>
            </w:r>
          </w:p>
        </w:tc>
        <w:tc>
          <w:tcPr>
            <w:tcW w:w="1702" w:type="pct"/>
            <w:vAlign w:val="center"/>
          </w:tcPr>
          <w:p>
            <w:pPr>
              <w:spacing w:line="240" w:lineRule="auto"/>
              <w:ind w:firstLine="0" w:firstLineChars="0"/>
              <w:rPr>
                <w:rFonts w:ascii="宋体" w:hAnsi="宋体"/>
                <w:sz w:val="21"/>
                <w:szCs w:val="21"/>
              </w:rPr>
            </w:pPr>
            <w:r>
              <w:rPr>
                <w:rFonts w:hint="eastAsia" w:ascii="宋体" w:hAnsi="宋体"/>
                <w:sz w:val="21"/>
                <w:szCs w:val="21"/>
                <w:lang w:val="zh-CN"/>
              </w:rPr>
              <w:t>凡需要迅速发现并引起注意的防止发生事故的地点部位，均涂安全色。</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numPr>
                <w:ilvl w:val="0"/>
                <w:numId w:val="94"/>
              </w:numPr>
              <w:autoSpaceDE w:val="0"/>
              <w:autoSpaceDN w:val="0"/>
              <w:spacing w:line="240" w:lineRule="auto"/>
              <w:ind w:left="0" w:firstLine="0" w:firstLineChars="0"/>
              <w:jc w:val="center"/>
              <w:textAlignment w:val="bottom"/>
              <w:rPr>
                <w:rFonts w:ascii="宋体" w:hAnsi="宋体"/>
                <w:b/>
                <w:bCs/>
                <w:sz w:val="21"/>
                <w:szCs w:val="21"/>
              </w:rPr>
            </w:pPr>
          </w:p>
        </w:tc>
        <w:tc>
          <w:tcPr>
            <w:tcW w:w="2196" w:type="pct"/>
            <w:vAlign w:val="center"/>
          </w:tcPr>
          <w:p>
            <w:pPr>
              <w:spacing w:line="240" w:lineRule="auto"/>
              <w:ind w:firstLine="0" w:firstLineChars="0"/>
              <w:rPr>
                <w:rFonts w:ascii="宋体" w:hAnsi="宋体"/>
                <w:sz w:val="21"/>
                <w:szCs w:val="21"/>
                <w:lang w:val="zh-CN"/>
              </w:rPr>
            </w:pPr>
            <w:r>
              <w:rPr>
                <w:rFonts w:hint="eastAsia" w:ascii="宋体" w:hAnsi="宋体"/>
                <w:sz w:val="21"/>
                <w:szCs w:val="21"/>
                <w:lang w:val="zh-CN"/>
              </w:rPr>
              <w:t>本项目消防栓、灭火器、火灾报警器等消防器具以及严禁人员进入的危险作业区的护栏采用红色；车间内安全通道等采用绿色；装置区的管道刷色和符号执行《工业管路的基本识别色和识别符号》（GB7231-200</w:t>
            </w:r>
            <w:r>
              <w:rPr>
                <w:rFonts w:hint="eastAsia" w:ascii="宋体" w:hAnsi="宋体"/>
                <w:sz w:val="21"/>
                <w:szCs w:val="21"/>
              </w:rPr>
              <w:t>3</w:t>
            </w:r>
            <w:r>
              <w:rPr>
                <w:rFonts w:hint="eastAsia" w:ascii="宋体" w:hAnsi="宋体"/>
                <w:sz w:val="21"/>
                <w:szCs w:val="21"/>
                <w:lang w:val="zh-CN"/>
              </w:rPr>
              <w:t>）。</w:t>
            </w:r>
          </w:p>
          <w:p>
            <w:pPr>
              <w:spacing w:line="240" w:lineRule="auto"/>
              <w:ind w:firstLine="0" w:firstLineChars="0"/>
              <w:rPr>
                <w:rFonts w:ascii="宋体" w:hAnsi="宋体"/>
                <w:sz w:val="21"/>
                <w:szCs w:val="21"/>
              </w:rPr>
            </w:pPr>
            <w:r>
              <w:rPr>
                <w:rFonts w:hint="eastAsia" w:ascii="宋体" w:hAnsi="宋体"/>
                <w:sz w:val="21"/>
                <w:szCs w:val="21"/>
                <w:lang w:val="zh-CN"/>
              </w:rPr>
              <w:t>工作场所设置安全警示标志，使人员能够迅速发现或分辨安全警示标志，及时受到提醒，以防止事故、危害的发生。本项目按照规定要求在生产现场设置安全警示标志、安全色、安全告知卡及风向标等。</w:t>
            </w:r>
          </w:p>
        </w:tc>
        <w:tc>
          <w:tcPr>
            <w:tcW w:w="1702" w:type="pct"/>
            <w:vAlign w:val="center"/>
          </w:tcPr>
          <w:p>
            <w:pPr>
              <w:spacing w:line="240" w:lineRule="auto"/>
              <w:ind w:firstLine="0" w:firstLineChars="0"/>
            </w:pPr>
            <w:r>
              <w:rPr>
                <w:rFonts w:hint="eastAsia" w:ascii="宋体" w:hAnsi="宋体"/>
                <w:sz w:val="21"/>
                <w:szCs w:val="21"/>
                <w:lang w:val="zh-CN"/>
              </w:rPr>
              <w:t>本项目按照规定要求在生产现场设置安全警示标志、安全色、安全告知卡。</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numPr>
                <w:ilvl w:val="0"/>
                <w:numId w:val="94"/>
              </w:numPr>
              <w:autoSpaceDE w:val="0"/>
              <w:autoSpaceDN w:val="0"/>
              <w:spacing w:line="240" w:lineRule="auto"/>
              <w:ind w:left="0" w:firstLine="0" w:firstLineChars="0"/>
              <w:jc w:val="center"/>
              <w:textAlignment w:val="bottom"/>
              <w:rPr>
                <w:rFonts w:ascii="宋体" w:hAnsi="宋体"/>
                <w:b/>
                <w:bCs/>
                <w:sz w:val="21"/>
                <w:szCs w:val="21"/>
              </w:rPr>
            </w:pPr>
          </w:p>
        </w:tc>
        <w:tc>
          <w:tcPr>
            <w:tcW w:w="2196" w:type="pct"/>
            <w:vAlign w:val="center"/>
          </w:tcPr>
          <w:p>
            <w:pPr>
              <w:spacing w:line="240" w:lineRule="auto"/>
              <w:ind w:firstLine="0" w:firstLineChars="0"/>
              <w:rPr>
                <w:rFonts w:ascii="宋体" w:hAnsi="宋体"/>
                <w:sz w:val="21"/>
                <w:szCs w:val="21"/>
              </w:rPr>
            </w:pPr>
            <w:r>
              <w:rPr>
                <w:rFonts w:hint="eastAsia" w:ascii="宋体" w:hAnsi="宋体"/>
                <w:sz w:val="21"/>
                <w:szCs w:val="21"/>
                <w:lang w:val="zh-CN"/>
              </w:rPr>
              <w:t>净化装置生产管理、工艺技术员，应经安全技术专门培训，取得安全合格证书，持证上岗。净化装置的作业人员、电气和设备专职维护人员，应进行本工种专门的安全技术培训，经安全技术理论考核合格，取得上岗证后，方可上岗作业；未经培训，或培训考核不合格者，不得上岗作业。</w:t>
            </w:r>
          </w:p>
        </w:tc>
        <w:tc>
          <w:tcPr>
            <w:tcW w:w="1702" w:type="pct"/>
            <w:vAlign w:val="center"/>
          </w:tcPr>
          <w:p>
            <w:pPr>
              <w:spacing w:line="240" w:lineRule="auto"/>
              <w:ind w:firstLine="0" w:firstLineChars="0"/>
              <w:jc w:val="center"/>
              <w:rPr>
                <w:rFonts w:ascii="宋体" w:hAnsi="宋体"/>
                <w:sz w:val="21"/>
                <w:szCs w:val="21"/>
              </w:rPr>
            </w:pPr>
            <w:r>
              <w:rPr>
                <w:rFonts w:hint="eastAsia" w:ascii="宋体" w:hAnsi="宋体"/>
                <w:sz w:val="21"/>
                <w:szCs w:val="21"/>
              </w:rPr>
              <w:t>不涉及</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numPr>
                <w:ilvl w:val="0"/>
                <w:numId w:val="94"/>
              </w:numPr>
              <w:autoSpaceDE w:val="0"/>
              <w:autoSpaceDN w:val="0"/>
              <w:spacing w:line="240" w:lineRule="auto"/>
              <w:ind w:left="0" w:firstLine="0" w:firstLineChars="0"/>
              <w:jc w:val="center"/>
              <w:textAlignment w:val="bottom"/>
              <w:rPr>
                <w:rFonts w:ascii="宋体" w:hAnsi="宋体"/>
                <w:b/>
                <w:bCs/>
                <w:sz w:val="21"/>
                <w:szCs w:val="21"/>
              </w:rPr>
            </w:pPr>
          </w:p>
        </w:tc>
        <w:tc>
          <w:tcPr>
            <w:tcW w:w="2196" w:type="pct"/>
            <w:vAlign w:val="center"/>
          </w:tcPr>
          <w:p>
            <w:pPr>
              <w:spacing w:line="240" w:lineRule="auto"/>
              <w:ind w:firstLine="0" w:firstLineChars="0"/>
              <w:rPr>
                <w:rFonts w:ascii="宋体" w:hAnsi="宋体"/>
                <w:sz w:val="21"/>
                <w:szCs w:val="21"/>
              </w:rPr>
            </w:pPr>
            <w:r>
              <w:rPr>
                <w:rFonts w:hint="eastAsia" w:ascii="宋体" w:hAnsi="宋体"/>
                <w:sz w:val="21"/>
                <w:szCs w:val="21"/>
                <w:lang w:val="zh-CN"/>
              </w:rPr>
              <w:t>厂区内设置车辆限速标志，速度不应大于15km/h。</w:t>
            </w:r>
          </w:p>
        </w:tc>
        <w:tc>
          <w:tcPr>
            <w:tcW w:w="1702" w:type="pct"/>
            <w:vAlign w:val="center"/>
          </w:tcPr>
          <w:p>
            <w:pPr>
              <w:spacing w:line="240" w:lineRule="auto"/>
              <w:ind w:firstLine="0" w:firstLineChars="0"/>
              <w:jc w:val="center"/>
              <w:rPr>
                <w:rFonts w:ascii="宋体" w:hAnsi="宋体"/>
                <w:sz w:val="21"/>
                <w:szCs w:val="21"/>
              </w:rPr>
            </w:pPr>
            <w:r>
              <w:rPr>
                <w:rFonts w:hint="eastAsia" w:ascii="宋体" w:hAnsi="宋体"/>
                <w:sz w:val="21"/>
                <w:szCs w:val="21"/>
                <w:lang w:val="zh-CN"/>
              </w:rPr>
              <w:t>厂区内设置车辆限速标志</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Align w:val="center"/>
          </w:tcPr>
          <w:p>
            <w:pPr>
              <w:numPr>
                <w:ilvl w:val="0"/>
                <w:numId w:val="94"/>
              </w:numPr>
              <w:autoSpaceDE w:val="0"/>
              <w:autoSpaceDN w:val="0"/>
              <w:spacing w:line="240" w:lineRule="auto"/>
              <w:ind w:left="0" w:firstLine="0" w:firstLineChars="0"/>
              <w:jc w:val="center"/>
              <w:textAlignment w:val="bottom"/>
              <w:rPr>
                <w:rFonts w:ascii="宋体" w:hAnsi="宋体"/>
                <w:b/>
                <w:bCs/>
                <w:sz w:val="21"/>
                <w:szCs w:val="21"/>
              </w:rPr>
            </w:pPr>
          </w:p>
        </w:tc>
        <w:tc>
          <w:tcPr>
            <w:tcW w:w="2196" w:type="pct"/>
            <w:vAlign w:val="center"/>
          </w:tcPr>
          <w:p>
            <w:pPr>
              <w:spacing w:line="240" w:lineRule="auto"/>
              <w:ind w:firstLine="0" w:firstLineChars="0"/>
              <w:rPr>
                <w:rFonts w:ascii="宋体" w:hAnsi="宋体"/>
                <w:sz w:val="21"/>
                <w:szCs w:val="21"/>
              </w:rPr>
            </w:pPr>
            <w:r>
              <w:rPr>
                <w:rFonts w:hint="eastAsia" w:ascii="宋体" w:hAnsi="宋体"/>
                <w:sz w:val="21"/>
                <w:szCs w:val="21"/>
                <w:lang w:val="zh-CN"/>
              </w:rPr>
              <w:t xml:space="preserve">根据规范及考虑到现场实际情况，为了保证厂区安全，在厂区内设置24小时视频监控系统。 </w:t>
            </w:r>
          </w:p>
        </w:tc>
        <w:tc>
          <w:tcPr>
            <w:tcW w:w="1702" w:type="pct"/>
            <w:vAlign w:val="center"/>
          </w:tcPr>
          <w:p>
            <w:pPr>
              <w:spacing w:line="240" w:lineRule="auto"/>
              <w:ind w:firstLine="0" w:firstLineChars="0"/>
              <w:rPr>
                <w:rFonts w:ascii="宋体" w:hAnsi="宋体"/>
                <w:sz w:val="21"/>
                <w:szCs w:val="21"/>
              </w:rPr>
            </w:pPr>
            <w:r>
              <w:rPr>
                <w:rFonts w:hint="eastAsia" w:ascii="宋体" w:hAnsi="宋体"/>
                <w:sz w:val="21"/>
                <w:szCs w:val="21"/>
                <w:lang w:val="zh-CN"/>
              </w:rPr>
              <w:t>本项目采用全天候视频监控系统，厂区内共设置5台摄像机。摄像机具备低照度监视功能，不低于130万像素，硬盘录像机录像存储时间不少于90天。</w:t>
            </w:r>
          </w:p>
        </w:tc>
        <w:tc>
          <w:tcPr>
            <w:tcW w:w="444" w:type="pct"/>
            <w:vAlign w:val="center"/>
          </w:tcPr>
          <w:p>
            <w:pPr>
              <w:spacing w:line="240" w:lineRule="auto"/>
              <w:ind w:firstLine="0" w:firstLineChars="0"/>
              <w:jc w:val="center"/>
              <w:rPr>
                <w:sz w:val="21"/>
                <w:szCs w:val="21"/>
              </w:rPr>
            </w:pPr>
            <w:r>
              <w:rPr>
                <w:rFonts w:hint="eastAsia"/>
                <w:sz w:val="21"/>
                <w:szCs w:val="21"/>
              </w:rPr>
              <w:t>符合</w:t>
            </w:r>
          </w:p>
        </w:tc>
      </w:tr>
    </w:tbl>
    <w:p>
      <w:pPr>
        <w:pStyle w:val="2"/>
        <w:ind w:firstLine="560"/>
        <w:rPr>
          <w:rFonts w:ascii="Times New Roman" w:hAnsi="Times New Roman"/>
        </w:rPr>
      </w:pPr>
      <w:r>
        <w:rPr>
          <w:rFonts w:hint="eastAsia"/>
        </w:rPr>
        <w:t>该项目建设过程中充分考虑并采纳了安全生产条件和综合分析报告、安全设施设计中所提到的防范措施和建议，</w:t>
      </w:r>
      <w:r>
        <w:rPr>
          <w:rFonts w:ascii="Times New Roman" w:hAnsi="Times New Roman"/>
        </w:rPr>
        <w:t>建设项目安全设施建设与</w:t>
      </w:r>
      <w:r>
        <w:rPr>
          <w:rFonts w:hint="eastAsia" w:ascii="Times New Roman" w:hAnsi="Times New Roman"/>
        </w:rPr>
        <w:t>安全</w:t>
      </w:r>
      <w:r>
        <w:rPr>
          <w:rFonts w:hint="eastAsia"/>
        </w:rPr>
        <w:t>生产条件和综合分析报告</w:t>
      </w:r>
      <w:r>
        <w:rPr>
          <w:rFonts w:ascii="Times New Roman" w:hAnsi="Times New Roman"/>
        </w:rPr>
        <w:t>、安全设施设计的工程内容、技术方案</w:t>
      </w:r>
      <w:r>
        <w:rPr>
          <w:rFonts w:hint="eastAsia"/>
        </w:rPr>
        <w:t>总体</w:t>
      </w:r>
      <w:r>
        <w:rPr>
          <w:rFonts w:ascii="Times New Roman" w:hAnsi="Times New Roman"/>
        </w:rPr>
        <w:t>一致</w:t>
      </w:r>
      <w:r>
        <w:rPr>
          <w:rFonts w:hint="eastAsia" w:ascii="Times New Roman" w:hAnsi="Times New Roman"/>
        </w:rPr>
        <w:t>。</w:t>
      </w:r>
      <w:bookmarkStart w:id="390" w:name="_Toc498299402"/>
      <w:bookmarkStart w:id="391" w:name="_Toc498519872"/>
      <w:bookmarkStart w:id="392" w:name="_Toc500007207"/>
      <w:r>
        <w:rPr>
          <w:rFonts w:hint="eastAsia" w:ascii="Times New Roman" w:hAnsi="Times New Roman"/>
        </w:rPr>
        <w:t>项目未采纳安全设施对策措施建议共</w:t>
      </w:r>
      <w:r>
        <w:rPr>
          <w:rFonts w:hint="eastAsia"/>
        </w:rPr>
        <w:t>5</w:t>
      </w:r>
      <w:r>
        <w:rPr>
          <w:rFonts w:hint="eastAsia" w:ascii="Times New Roman" w:hAnsi="Times New Roman"/>
        </w:rPr>
        <w:t>项：</w:t>
      </w:r>
    </w:p>
    <w:p>
      <w:pPr>
        <w:pStyle w:val="2"/>
        <w:numPr>
          <w:ilvl w:val="0"/>
          <w:numId w:val="95"/>
        </w:numPr>
        <w:ind w:left="0" w:firstLine="560"/>
      </w:pPr>
      <w:r>
        <w:rPr>
          <w:rFonts w:hint="eastAsia"/>
        </w:rPr>
        <w:t>喷涂间未按设计要求采用密闭负压作业，并设置漆雾净化装置；</w:t>
      </w:r>
    </w:p>
    <w:p>
      <w:pPr>
        <w:numPr>
          <w:ilvl w:val="0"/>
          <w:numId w:val="96"/>
        </w:numPr>
        <w:ind w:firstLine="560"/>
      </w:pPr>
      <w:r>
        <w:rPr>
          <w:rFonts w:hint="eastAsia"/>
        </w:rPr>
        <w:t>喷涂间外未设置洗眼器；</w:t>
      </w:r>
    </w:p>
    <w:p>
      <w:pPr>
        <w:pStyle w:val="2"/>
        <w:numPr>
          <w:ilvl w:val="0"/>
          <w:numId w:val="96"/>
        </w:numPr>
        <w:ind w:firstLine="560"/>
      </w:pPr>
      <w:r>
        <w:rPr>
          <w:rFonts w:hint="eastAsia"/>
        </w:rPr>
        <w:t>油漆存储区域周边设置围堰；</w:t>
      </w:r>
    </w:p>
    <w:p>
      <w:pPr>
        <w:numPr>
          <w:ilvl w:val="0"/>
          <w:numId w:val="96"/>
        </w:numPr>
        <w:ind w:firstLine="560"/>
      </w:pPr>
      <w:r>
        <w:rPr>
          <w:rFonts w:hint="eastAsia"/>
        </w:rPr>
        <w:t>喷涂间的可燃气体探测仪未同事故风机联动。</w:t>
      </w:r>
    </w:p>
    <w:p>
      <w:pPr>
        <w:pStyle w:val="2"/>
        <w:numPr>
          <w:ilvl w:val="0"/>
          <w:numId w:val="96"/>
        </w:numPr>
        <w:ind w:firstLine="560"/>
      </w:pPr>
      <w:r>
        <w:rPr>
          <w:rFonts w:hint="eastAsia"/>
        </w:rPr>
        <w:t>项目未设置循环水高位槽。</w:t>
      </w:r>
    </w:p>
    <w:p>
      <w:pPr>
        <w:spacing w:line="560" w:lineRule="exact"/>
        <w:ind w:firstLine="640"/>
        <w:rPr>
          <w:rFonts w:eastAsia="黑体"/>
          <w:bCs/>
          <w:sz w:val="32"/>
          <w:szCs w:val="32"/>
        </w:rPr>
        <w:sectPr>
          <w:footerReference r:id="rId15" w:type="default"/>
          <w:pgSz w:w="11906" w:h="16838"/>
          <w:pgMar w:top="1440" w:right="1800" w:bottom="1440" w:left="1800" w:header="851" w:footer="992" w:gutter="0"/>
          <w:cols w:space="425" w:num="1"/>
          <w:docGrid w:type="lines" w:linePitch="312" w:charSpace="0"/>
        </w:sectPr>
      </w:pPr>
    </w:p>
    <w:p>
      <w:pPr>
        <w:pStyle w:val="4"/>
        <w:spacing w:before="312" w:after="312"/>
      </w:pPr>
      <w:bookmarkStart w:id="393" w:name="_Toc15147"/>
      <w:r>
        <w:t>安全对策措施建议</w:t>
      </w:r>
      <w:bookmarkEnd w:id="390"/>
      <w:bookmarkEnd w:id="391"/>
      <w:bookmarkEnd w:id="392"/>
      <w:bookmarkEnd w:id="393"/>
    </w:p>
    <w:p>
      <w:pPr>
        <w:pStyle w:val="5"/>
        <w:keepNext w:val="0"/>
        <w:keepLines w:val="0"/>
        <w:tabs>
          <w:tab w:val="left" w:pos="0"/>
        </w:tabs>
        <w:spacing w:before="156" w:after="156"/>
      </w:pPr>
      <w:bookmarkStart w:id="394" w:name="_Toc23395"/>
      <w:bookmarkStart w:id="395" w:name="_Toc529776469"/>
      <w:bookmarkStart w:id="396" w:name="_Toc32560"/>
      <w:bookmarkStart w:id="397" w:name="_Toc28996"/>
      <w:bookmarkStart w:id="398" w:name="_Toc22148"/>
      <w:bookmarkStart w:id="399" w:name="_Toc9713"/>
      <w:bookmarkStart w:id="400" w:name="_Toc516749087"/>
      <w:bookmarkStart w:id="401" w:name="_Toc529776576"/>
      <w:r>
        <w:rPr>
          <w:rFonts w:hint="eastAsia"/>
        </w:rPr>
        <w:t>存在问题</w:t>
      </w:r>
      <w:bookmarkEnd w:id="394"/>
    </w:p>
    <w:p>
      <w:pPr>
        <w:ind w:firstLine="560"/>
      </w:pPr>
      <w:r>
        <w:rPr>
          <w:rFonts w:hint="eastAsia"/>
        </w:rPr>
        <w:t>云南大姚祥华工业制造股份公司为了保证安全生产，采取了相应的安全措施，制定了相应的安全规章制度。根据现场检查情况以及</w:t>
      </w:r>
      <w:bookmarkStart w:id="402" w:name="_Hlk129692076"/>
      <w:r>
        <w:rPr>
          <w:rFonts w:hint="eastAsia"/>
        </w:rPr>
        <w:t>报告编制过程中发现的问题</w:t>
      </w:r>
      <w:bookmarkEnd w:id="402"/>
      <w:r>
        <w:rPr>
          <w:rFonts w:hint="eastAsia"/>
        </w:rPr>
        <w:t>，评价组对云南大姚机械配件厂退城入园整体技改搬迁项目提出以下问题：</w:t>
      </w:r>
    </w:p>
    <w:p>
      <w:pPr>
        <w:numPr>
          <w:ilvl w:val="0"/>
          <w:numId w:val="97"/>
        </w:numPr>
        <w:ind w:firstLine="560"/>
        <w:rPr>
          <w:rFonts w:ascii="宋体" w:hAnsi="宋体" w:cs="宋体"/>
        </w:rPr>
      </w:pPr>
      <w:r>
        <w:rPr>
          <w:rFonts w:hint="eastAsia" w:ascii="宋体" w:hAnsi="宋体" w:cs="宋体"/>
        </w:rPr>
        <w:t>中频炉烟道下方堆放大量杂物，影响叉车行走转向。</w:t>
      </w:r>
    </w:p>
    <w:p>
      <w:pPr>
        <w:numPr>
          <w:ilvl w:val="0"/>
          <w:numId w:val="97"/>
        </w:numPr>
        <w:ind w:firstLine="560"/>
        <w:rPr>
          <w:rFonts w:ascii="宋体" w:hAnsi="宋体" w:cs="宋体"/>
        </w:rPr>
      </w:pPr>
      <w:r>
        <w:rPr>
          <w:rFonts w:hint="eastAsia" w:ascii="宋体" w:hAnsi="宋体" w:cs="宋体"/>
        </w:rPr>
        <w:t>中频炉上方平台安全防护栏杆缺失、上下楼梯无扶手。</w:t>
      </w:r>
    </w:p>
    <w:p>
      <w:pPr>
        <w:numPr>
          <w:ilvl w:val="0"/>
          <w:numId w:val="97"/>
        </w:numPr>
        <w:ind w:firstLine="560"/>
        <w:rPr>
          <w:rFonts w:ascii="宋体" w:hAnsi="宋体" w:cs="宋体"/>
        </w:rPr>
      </w:pPr>
      <w:r>
        <w:rPr>
          <w:rFonts w:hint="eastAsia" w:ascii="宋体" w:hAnsi="宋体" w:cs="宋体"/>
        </w:rPr>
        <w:t>浇包吊运行走区域同周边作业活动区域未进行隔离。</w:t>
      </w:r>
    </w:p>
    <w:p>
      <w:pPr>
        <w:numPr>
          <w:ilvl w:val="0"/>
          <w:numId w:val="97"/>
        </w:numPr>
        <w:ind w:firstLine="560"/>
        <w:rPr>
          <w:rFonts w:ascii="宋体" w:hAnsi="宋体" w:cs="宋体"/>
        </w:rPr>
      </w:pPr>
      <w:r>
        <w:rPr>
          <w:rFonts w:hint="eastAsia" w:ascii="宋体" w:hAnsi="宋体" w:cs="宋体"/>
        </w:rPr>
        <w:t>中频炉作业区域未设置“注意高温”“当心烫伤”“必须佩戴劳保用品”等安全标志。</w:t>
      </w:r>
    </w:p>
    <w:p>
      <w:pPr>
        <w:numPr>
          <w:ilvl w:val="0"/>
          <w:numId w:val="97"/>
        </w:numPr>
        <w:ind w:firstLine="560"/>
        <w:rPr>
          <w:rFonts w:ascii="宋体" w:hAnsi="宋体" w:cs="宋体"/>
        </w:rPr>
      </w:pPr>
      <w:r>
        <w:rPr>
          <w:rFonts w:hint="eastAsia" w:ascii="宋体" w:hAnsi="宋体" w:cs="宋体"/>
        </w:rPr>
        <w:t>中频炉炉顶电气控制柜接线不规范，私拉乱接。厂内多个电控柜未进行防火封堵；电控柜箱门未进行等电位连接。</w:t>
      </w:r>
    </w:p>
    <w:p>
      <w:pPr>
        <w:numPr>
          <w:ilvl w:val="0"/>
          <w:numId w:val="97"/>
        </w:numPr>
        <w:ind w:firstLine="560"/>
        <w:rPr>
          <w:rFonts w:ascii="宋体" w:hAnsi="宋体" w:cs="宋体"/>
        </w:rPr>
      </w:pPr>
      <w:r>
        <w:rPr>
          <w:rFonts w:hint="eastAsia" w:ascii="宋体" w:hAnsi="宋体" w:cs="宋体"/>
        </w:rPr>
        <w:t>现场氧气、乙炔同车使用安全距离不合规范。</w:t>
      </w:r>
    </w:p>
    <w:p>
      <w:pPr>
        <w:numPr>
          <w:ilvl w:val="0"/>
          <w:numId w:val="97"/>
        </w:numPr>
        <w:ind w:firstLine="560"/>
        <w:rPr>
          <w:rFonts w:ascii="宋体" w:hAnsi="宋体" w:cs="宋体"/>
        </w:rPr>
      </w:pPr>
      <w:r>
        <w:rPr>
          <w:rFonts w:hint="eastAsia" w:ascii="宋体" w:hAnsi="宋体" w:cs="宋体"/>
        </w:rPr>
        <w:t>喷涂间不防爆控制柜设置在喷涂机爆炸区域。</w:t>
      </w:r>
    </w:p>
    <w:p>
      <w:pPr>
        <w:numPr>
          <w:ilvl w:val="0"/>
          <w:numId w:val="97"/>
        </w:numPr>
        <w:ind w:firstLine="560"/>
        <w:rPr>
          <w:rFonts w:ascii="宋体" w:hAnsi="宋体" w:cs="宋体"/>
        </w:rPr>
      </w:pPr>
      <w:r>
        <w:rPr>
          <w:rFonts w:hint="eastAsia" w:ascii="宋体" w:hAnsi="宋体" w:cs="宋体"/>
        </w:rPr>
        <w:t>配电室内杂物多，配电室门未装挡鼠板，左侧墙体有较大空隙，不能防止小动物进入。</w:t>
      </w:r>
    </w:p>
    <w:p>
      <w:pPr>
        <w:numPr>
          <w:ilvl w:val="0"/>
          <w:numId w:val="97"/>
        </w:numPr>
        <w:ind w:firstLine="560"/>
        <w:rPr>
          <w:rFonts w:ascii="宋体" w:hAnsi="宋体" w:cs="宋体"/>
        </w:rPr>
      </w:pPr>
      <w:r>
        <w:rPr>
          <w:rFonts w:hint="eastAsia" w:ascii="宋体" w:hAnsi="宋体" w:cs="宋体"/>
        </w:rPr>
        <w:t>未按设计要求设置中频炉高位槽，也未设置备用电源，存在停电烧穿电炉的危险。</w:t>
      </w:r>
    </w:p>
    <w:p>
      <w:pPr>
        <w:pStyle w:val="5"/>
        <w:keepNext w:val="0"/>
        <w:keepLines w:val="0"/>
        <w:tabs>
          <w:tab w:val="left" w:pos="0"/>
        </w:tabs>
        <w:spacing w:before="156" w:after="156"/>
      </w:pPr>
      <w:bookmarkStart w:id="403" w:name="_Toc21447"/>
      <w:r>
        <w:rPr>
          <w:rFonts w:hint="eastAsia"/>
        </w:rPr>
        <w:t>整改情况</w:t>
      </w:r>
      <w:bookmarkEnd w:id="403"/>
    </w:p>
    <w:p>
      <w:pPr>
        <w:ind w:firstLine="560"/>
        <w:rPr>
          <w:rFonts w:ascii="宋体" w:hAnsi="宋体" w:cs="宋体"/>
        </w:rPr>
      </w:pPr>
      <w:r>
        <w:rPr>
          <w:rFonts w:hint="eastAsia" w:ascii="宋体" w:hAnsi="宋体" w:cs="宋体"/>
        </w:rPr>
        <w:t>根据对 项目进行现场检查时提出的隐患整改建议，云南大姚祥华工业制造股份公司根据实际情况及时进行了整改。安全隐患整改完成情况详见报告附件。</w:t>
      </w:r>
    </w:p>
    <w:p>
      <w:pPr>
        <w:ind w:firstLine="560"/>
        <w:rPr>
          <w:rFonts w:ascii="宋体" w:hAnsi="宋体" w:cs="宋体"/>
        </w:rPr>
      </w:pPr>
    </w:p>
    <w:p>
      <w:pPr>
        <w:ind w:firstLine="560"/>
        <w:rPr>
          <w:rFonts w:ascii="宋体" w:hAnsi="宋体" w:cs="宋体"/>
        </w:rPr>
      </w:pPr>
    </w:p>
    <w:p>
      <w:pPr>
        <w:pStyle w:val="14"/>
        <w:spacing w:before="156" w:after="156"/>
      </w:pPr>
      <w:r>
        <w:t xml:space="preserve">表 </w:t>
      </w:r>
      <w:r>
        <w:fldChar w:fldCharType="begin"/>
      </w:r>
      <w:r>
        <w:instrText xml:space="preserve"> STYLEREF 1 \s </w:instrText>
      </w:r>
      <w:r>
        <w:fldChar w:fldCharType="separate"/>
      </w:r>
      <w:r>
        <w:t>6</w:t>
      </w:r>
      <w:r>
        <w:fldChar w:fldCharType="end"/>
      </w:r>
      <w:r>
        <w:rPr>
          <w:rFonts w:hint="eastAsia"/>
        </w:rPr>
        <w:t>-</w:t>
      </w:r>
      <w:r>
        <w:fldChar w:fldCharType="begin"/>
      </w:r>
      <w:r>
        <w:instrText xml:space="preserve"> SEQ 表 \* ARABIC \s 1 </w:instrText>
      </w:r>
      <w:r>
        <w:fldChar w:fldCharType="separate"/>
      </w:r>
      <w:r>
        <w:t>1</w:t>
      </w:r>
      <w:r>
        <w:fldChar w:fldCharType="end"/>
      </w:r>
      <w:r>
        <w:rPr>
          <w:rFonts w:hint="eastAsia"/>
        </w:rPr>
        <w:t>隐患整改完成情况表</w:t>
      </w:r>
    </w:p>
    <w:tbl>
      <w:tblPr>
        <w:tblStyle w:val="30"/>
        <w:tblW w:w="0" w:type="auto"/>
        <w:jc w:val="center"/>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Layout w:type="autofit"/>
        <w:tblCellMar>
          <w:top w:w="0" w:type="dxa"/>
          <w:left w:w="108" w:type="dxa"/>
          <w:bottom w:w="0" w:type="dxa"/>
          <w:right w:w="108" w:type="dxa"/>
        </w:tblCellMar>
      </w:tblPr>
      <w:tblGrid>
        <w:gridCol w:w="760"/>
        <w:gridCol w:w="2953"/>
        <w:gridCol w:w="3241"/>
        <w:gridCol w:w="1568"/>
      </w:tblGrid>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446" w:type="pct"/>
            <w:tcBorders>
              <w:bottom w:val="single" w:color="auto" w:sz="8" w:space="0"/>
              <w:right w:val="single" w:color="auto" w:sz="8" w:space="0"/>
              <w:tl2br w:val="nil"/>
              <w:tr2bl w:val="nil"/>
            </w:tcBorders>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序号</w:t>
            </w:r>
          </w:p>
        </w:tc>
        <w:tc>
          <w:tcPr>
            <w:tcW w:w="1732" w:type="pct"/>
            <w:tcBorders>
              <w:left w:val="single" w:color="auto" w:sz="8" w:space="0"/>
              <w:tl2br w:val="nil"/>
              <w:tr2bl w:val="nil"/>
            </w:tcBorders>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隐患描述</w:t>
            </w:r>
          </w:p>
        </w:tc>
        <w:tc>
          <w:tcPr>
            <w:tcW w:w="1901" w:type="pct"/>
            <w:tcBorders>
              <w:tl2br w:val="nil"/>
              <w:tr2bl w:val="nil"/>
            </w:tcBorders>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整改措施建议</w:t>
            </w:r>
          </w:p>
        </w:tc>
        <w:tc>
          <w:tcPr>
            <w:tcW w:w="919" w:type="pct"/>
            <w:tcBorders>
              <w:tl2br w:val="nil"/>
              <w:tr2bl w:val="nil"/>
            </w:tcBorders>
            <w:vAlign w:val="center"/>
          </w:tcPr>
          <w:p>
            <w:pPr>
              <w:spacing w:line="240" w:lineRule="auto"/>
              <w:ind w:firstLine="0" w:firstLineChars="0"/>
              <w:jc w:val="center"/>
              <w:rPr>
                <w:rFonts w:ascii="宋体" w:hAnsi="宋体" w:cs="宋体"/>
                <w:b/>
                <w:bCs/>
                <w:sz w:val="21"/>
                <w:szCs w:val="21"/>
              </w:rPr>
            </w:pPr>
            <w:r>
              <w:rPr>
                <w:rFonts w:hint="eastAsia" w:ascii="宋体" w:hAnsi="宋体" w:cs="宋体"/>
                <w:b/>
                <w:bCs/>
                <w:sz w:val="21"/>
                <w:szCs w:val="21"/>
              </w:rPr>
              <w:t>整改完成情况</w:t>
            </w: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jc w:val="center"/>
        </w:trPr>
        <w:tc>
          <w:tcPr>
            <w:tcW w:w="446" w:type="pct"/>
            <w:tcBorders>
              <w:top w:val="single" w:color="auto" w:sz="8" w:space="0"/>
              <w:tl2br w:val="nil"/>
              <w:tr2bl w:val="nil"/>
            </w:tcBorders>
            <w:vAlign w:val="center"/>
          </w:tcPr>
          <w:p>
            <w:pPr>
              <w:numPr>
                <w:ilvl w:val="0"/>
                <w:numId w:val="98"/>
              </w:numPr>
              <w:spacing w:line="240" w:lineRule="auto"/>
              <w:ind w:firstLine="0" w:firstLineChars="0"/>
              <w:jc w:val="center"/>
              <w:rPr>
                <w:rFonts w:ascii="宋体" w:hAnsi="宋体" w:cs="宋体"/>
                <w:b/>
                <w:bCs/>
                <w:sz w:val="20"/>
                <w:szCs w:val="20"/>
              </w:rPr>
            </w:pPr>
          </w:p>
        </w:tc>
        <w:tc>
          <w:tcPr>
            <w:tcW w:w="1732" w:type="pct"/>
            <w:tcBorders>
              <w:tl2br w:val="nil"/>
              <w:tr2bl w:val="nil"/>
            </w:tcBorders>
            <w:vAlign w:val="center"/>
          </w:tcPr>
          <w:p>
            <w:pPr>
              <w:widowControl/>
              <w:snapToGrid w:val="0"/>
              <w:spacing w:line="240" w:lineRule="auto"/>
              <w:ind w:firstLine="0" w:firstLineChars="0"/>
              <w:jc w:val="center"/>
              <w:rPr>
                <w:rFonts w:ascii="宋体" w:hAnsi="宋体" w:cs="宋体"/>
                <w:bCs/>
                <w:kern w:val="0"/>
                <w:sz w:val="20"/>
                <w:szCs w:val="20"/>
              </w:rPr>
            </w:pPr>
            <w:r>
              <w:rPr>
                <w:rFonts w:hint="eastAsia" w:ascii="宋体" w:hAnsi="宋体" w:cs="宋体"/>
                <w:bCs/>
                <w:kern w:val="0"/>
                <w:sz w:val="20"/>
                <w:szCs w:val="20"/>
              </w:rPr>
              <w:t>中频炉烟道下方堆放大量杂物，影响叉车行走转向。</w:t>
            </w:r>
          </w:p>
        </w:tc>
        <w:tc>
          <w:tcPr>
            <w:tcW w:w="1901" w:type="pct"/>
            <w:tcBorders>
              <w:tl2br w:val="nil"/>
              <w:tr2bl w:val="nil"/>
            </w:tcBorders>
            <w:vAlign w:val="center"/>
          </w:tcPr>
          <w:p>
            <w:pPr>
              <w:widowControl/>
              <w:snapToGrid w:val="0"/>
              <w:spacing w:line="240" w:lineRule="auto"/>
              <w:ind w:firstLine="0" w:firstLineChars="0"/>
              <w:jc w:val="center"/>
              <w:rPr>
                <w:rFonts w:ascii="宋体" w:hAnsi="宋体" w:cs="宋体"/>
                <w:bCs/>
                <w:kern w:val="0"/>
                <w:sz w:val="20"/>
                <w:szCs w:val="20"/>
              </w:rPr>
            </w:pPr>
            <w:r>
              <w:rPr>
                <w:rFonts w:hint="eastAsia" w:ascii="宋体" w:hAnsi="宋体" w:cs="宋体"/>
                <w:bCs/>
                <w:kern w:val="0"/>
                <w:sz w:val="20"/>
                <w:szCs w:val="20"/>
              </w:rPr>
              <w:t>清理堆放大量杂物，保障叉车行走转向。</w:t>
            </w:r>
          </w:p>
        </w:tc>
        <w:tc>
          <w:tcPr>
            <w:tcW w:w="919" w:type="pct"/>
            <w:tcBorders>
              <w:tl2br w:val="nil"/>
              <w:tr2bl w:val="nil"/>
            </w:tcBorders>
            <w:vAlign w:val="center"/>
          </w:tcPr>
          <w:p>
            <w:pPr>
              <w:widowControl/>
              <w:snapToGrid w:val="0"/>
              <w:spacing w:line="240" w:lineRule="auto"/>
              <w:ind w:firstLine="0" w:firstLineChars="0"/>
              <w:jc w:val="center"/>
              <w:rPr>
                <w:rFonts w:ascii="宋体" w:hAnsi="宋体" w:cs="宋体"/>
                <w:bCs/>
                <w:kern w:val="0"/>
                <w:sz w:val="20"/>
                <w:szCs w:val="20"/>
              </w:rPr>
            </w:pPr>
            <w:r>
              <w:rPr>
                <w:rFonts w:hint="eastAsia" w:ascii="宋体" w:hAnsi="宋体" w:cs="宋体"/>
                <w:bCs/>
                <w:kern w:val="0"/>
                <w:sz w:val="20"/>
                <w:szCs w:val="20"/>
              </w:rPr>
              <w:t>已整改完成</w:t>
            </w: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jc w:val="center"/>
        </w:trPr>
        <w:tc>
          <w:tcPr>
            <w:tcW w:w="446" w:type="pct"/>
            <w:tcBorders>
              <w:tl2br w:val="nil"/>
              <w:tr2bl w:val="nil"/>
            </w:tcBorders>
            <w:vAlign w:val="center"/>
          </w:tcPr>
          <w:p>
            <w:pPr>
              <w:numPr>
                <w:ilvl w:val="0"/>
                <w:numId w:val="98"/>
              </w:numPr>
              <w:spacing w:line="240" w:lineRule="auto"/>
              <w:ind w:firstLine="0" w:firstLineChars="0"/>
              <w:jc w:val="center"/>
              <w:rPr>
                <w:rFonts w:ascii="宋体" w:hAnsi="宋体" w:cs="宋体"/>
                <w:b/>
                <w:bCs/>
                <w:sz w:val="20"/>
                <w:szCs w:val="20"/>
              </w:rPr>
            </w:pPr>
          </w:p>
        </w:tc>
        <w:tc>
          <w:tcPr>
            <w:tcW w:w="1732" w:type="pct"/>
            <w:tcBorders>
              <w:tl2br w:val="nil"/>
              <w:tr2bl w:val="nil"/>
            </w:tcBorders>
            <w:vAlign w:val="center"/>
          </w:tcPr>
          <w:p>
            <w:pPr>
              <w:widowControl/>
              <w:snapToGrid w:val="0"/>
              <w:spacing w:line="240" w:lineRule="auto"/>
              <w:ind w:firstLine="0" w:firstLineChars="0"/>
              <w:jc w:val="center"/>
              <w:rPr>
                <w:rFonts w:ascii="宋体" w:hAnsi="宋体" w:cs="宋体"/>
                <w:bCs/>
                <w:kern w:val="0"/>
                <w:sz w:val="20"/>
                <w:szCs w:val="20"/>
              </w:rPr>
            </w:pPr>
            <w:r>
              <w:rPr>
                <w:rFonts w:hint="eastAsia" w:ascii="宋体" w:hAnsi="宋体" w:cs="宋体"/>
                <w:bCs/>
                <w:kern w:val="0"/>
                <w:sz w:val="20"/>
                <w:szCs w:val="20"/>
              </w:rPr>
              <w:t>中频炉上方平台安全防护栏杆缺失、上下楼梯无扶手。</w:t>
            </w:r>
          </w:p>
        </w:tc>
        <w:tc>
          <w:tcPr>
            <w:tcW w:w="1901" w:type="pct"/>
            <w:tcBorders>
              <w:tl2br w:val="nil"/>
              <w:tr2bl w:val="nil"/>
            </w:tcBorders>
            <w:vAlign w:val="center"/>
          </w:tcPr>
          <w:p>
            <w:pPr>
              <w:widowControl/>
              <w:snapToGrid w:val="0"/>
              <w:spacing w:line="240" w:lineRule="auto"/>
              <w:ind w:firstLine="0" w:firstLineChars="0"/>
              <w:jc w:val="center"/>
              <w:rPr>
                <w:rFonts w:ascii="宋体" w:hAnsi="宋体" w:cs="宋体"/>
                <w:bCs/>
                <w:kern w:val="0"/>
                <w:sz w:val="20"/>
                <w:szCs w:val="20"/>
              </w:rPr>
            </w:pPr>
            <w:r>
              <w:rPr>
                <w:rFonts w:ascii="宋体" w:hAnsi="宋体" w:cs="宋体"/>
                <w:bCs/>
                <w:kern w:val="0"/>
                <w:sz w:val="20"/>
                <w:szCs w:val="20"/>
              </w:rPr>
              <w:t>已装设缺失的安全防护栏杆。</w:t>
            </w:r>
          </w:p>
        </w:tc>
        <w:tc>
          <w:tcPr>
            <w:tcW w:w="919" w:type="pct"/>
            <w:tcBorders>
              <w:tl2br w:val="nil"/>
              <w:tr2bl w:val="nil"/>
            </w:tcBorders>
            <w:vAlign w:val="center"/>
          </w:tcPr>
          <w:p>
            <w:pPr>
              <w:widowControl/>
              <w:snapToGrid w:val="0"/>
              <w:spacing w:line="240" w:lineRule="auto"/>
              <w:ind w:firstLine="0" w:firstLineChars="0"/>
              <w:jc w:val="center"/>
              <w:rPr>
                <w:rFonts w:ascii="宋体" w:hAnsi="宋体" w:cs="宋体"/>
                <w:bCs/>
                <w:kern w:val="0"/>
                <w:sz w:val="20"/>
                <w:szCs w:val="20"/>
              </w:rPr>
            </w:pPr>
            <w:r>
              <w:rPr>
                <w:rFonts w:hint="eastAsia" w:ascii="宋体" w:hAnsi="宋体" w:cs="宋体"/>
                <w:bCs/>
                <w:kern w:val="0"/>
                <w:sz w:val="20"/>
                <w:szCs w:val="20"/>
              </w:rPr>
              <w:t>已整改完成</w:t>
            </w: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jc w:val="center"/>
        </w:trPr>
        <w:tc>
          <w:tcPr>
            <w:tcW w:w="446" w:type="pct"/>
            <w:tcBorders>
              <w:tl2br w:val="nil"/>
              <w:tr2bl w:val="nil"/>
            </w:tcBorders>
            <w:vAlign w:val="center"/>
          </w:tcPr>
          <w:p>
            <w:pPr>
              <w:numPr>
                <w:ilvl w:val="0"/>
                <w:numId w:val="98"/>
              </w:numPr>
              <w:spacing w:line="240" w:lineRule="auto"/>
              <w:ind w:firstLine="0" w:firstLineChars="0"/>
              <w:jc w:val="center"/>
              <w:rPr>
                <w:rFonts w:ascii="宋体" w:hAnsi="宋体" w:cs="宋体"/>
                <w:b/>
                <w:bCs/>
                <w:sz w:val="20"/>
                <w:szCs w:val="20"/>
              </w:rPr>
            </w:pPr>
          </w:p>
        </w:tc>
        <w:tc>
          <w:tcPr>
            <w:tcW w:w="1732" w:type="pct"/>
            <w:tcBorders>
              <w:tl2br w:val="nil"/>
              <w:tr2bl w:val="nil"/>
            </w:tcBorders>
            <w:vAlign w:val="center"/>
          </w:tcPr>
          <w:p>
            <w:pPr>
              <w:widowControl/>
              <w:snapToGrid w:val="0"/>
              <w:spacing w:line="240" w:lineRule="auto"/>
              <w:ind w:firstLine="0" w:firstLineChars="0"/>
              <w:jc w:val="center"/>
              <w:rPr>
                <w:rFonts w:ascii="宋体" w:hAnsi="宋体" w:cs="宋体"/>
                <w:bCs/>
                <w:kern w:val="0"/>
                <w:sz w:val="20"/>
                <w:szCs w:val="20"/>
              </w:rPr>
            </w:pPr>
            <w:r>
              <w:rPr>
                <w:rFonts w:hint="eastAsia" w:ascii="宋体" w:hAnsi="宋体" w:cs="宋体"/>
                <w:bCs/>
                <w:kern w:val="0"/>
                <w:sz w:val="20"/>
                <w:szCs w:val="20"/>
              </w:rPr>
              <w:t>浇包吊运行走区域同周边作业活动区域未进行隔离。</w:t>
            </w:r>
          </w:p>
        </w:tc>
        <w:tc>
          <w:tcPr>
            <w:tcW w:w="1901" w:type="pct"/>
            <w:tcBorders>
              <w:tl2br w:val="nil"/>
              <w:tr2bl w:val="nil"/>
            </w:tcBorders>
            <w:vAlign w:val="center"/>
          </w:tcPr>
          <w:p>
            <w:pPr>
              <w:widowControl/>
              <w:snapToGrid w:val="0"/>
              <w:spacing w:line="240" w:lineRule="auto"/>
              <w:ind w:firstLine="0" w:firstLineChars="0"/>
              <w:jc w:val="center"/>
              <w:rPr>
                <w:rFonts w:ascii="宋体" w:hAnsi="宋体" w:cs="宋体"/>
                <w:bCs/>
                <w:kern w:val="0"/>
                <w:sz w:val="20"/>
                <w:szCs w:val="20"/>
              </w:rPr>
            </w:pPr>
            <w:r>
              <w:rPr>
                <w:rFonts w:hint="eastAsia" w:ascii="宋体" w:hAnsi="宋体" w:cs="宋体"/>
                <w:bCs/>
                <w:kern w:val="0"/>
                <w:sz w:val="20"/>
                <w:szCs w:val="20"/>
              </w:rPr>
              <w:t>浇包吊运行走区域同周边作业活动区域进行隔离，加装防护栏杆。</w:t>
            </w:r>
          </w:p>
        </w:tc>
        <w:tc>
          <w:tcPr>
            <w:tcW w:w="919" w:type="pct"/>
            <w:tcBorders>
              <w:tl2br w:val="nil"/>
              <w:tr2bl w:val="nil"/>
            </w:tcBorders>
            <w:vAlign w:val="center"/>
          </w:tcPr>
          <w:p>
            <w:pPr>
              <w:widowControl/>
              <w:snapToGrid w:val="0"/>
              <w:spacing w:line="240" w:lineRule="auto"/>
              <w:ind w:firstLine="0" w:firstLineChars="0"/>
              <w:jc w:val="center"/>
              <w:rPr>
                <w:rFonts w:ascii="宋体" w:hAnsi="宋体" w:cs="宋体"/>
                <w:bCs/>
                <w:kern w:val="0"/>
                <w:sz w:val="20"/>
                <w:szCs w:val="20"/>
              </w:rPr>
            </w:pPr>
            <w:r>
              <w:rPr>
                <w:rFonts w:hint="eastAsia" w:ascii="宋体" w:hAnsi="宋体" w:cs="宋体"/>
                <w:bCs/>
                <w:kern w:val="0"/>
                <w:sz w:val="20"/>
                <w:szCs w:val="20"/>
              </w:rPr>
              <w:t>已整改完成</w:t>
            </w: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jc w:val="center"/>
        </w:trPr>
        <w:tc>
          <w:tcPr>
            <w:tcW w:w="446" w:type="pct"/>
            <w:tcBorders>
              <w:tl2br w:val="nil"/>
              <w:tr2bl w:val="nil"/>
            </w:tcBorders>
            <w:vAlign w:val="center"/>
          </w:tcPr>
          <w:p>
            <w:pPr>
              <w:numPr>
                <w:ilvl w:val="0"/>
                <w:numId w:val="98"/>
              </w:numPr>
              <w:spacing w:line="240" w:lineRule="auto"/>
              <w:ind w:firstLine="0" w:firstLineChars="0"/>
              <w:jc w:val="center"/>
              <w:rPr>
                <w:rFonts w:ascii="宋体" w:hAnsi="宋体" w:cs="宋体"/>
                <w:b/>
                <w:bCs/>
                <w:sz w:val="20"/>
                <w:szCs w:val="20"/>
              </w:rPr>
            </w:pPr>
          </w:p>
        </w:tc>
        <w:tc>
          <w:tcPr>
            <w:tcW w:w="1732" w:type="pct"/>
            <w:tcBorders>
              <w:tl2br w:val="nil"/>
              <w:tr2bl w:val="nil"/>
            </w:tcBorders>
            <w:vAlign w:val="center"/>
          </w:tcPr>
          <w:p>
            <w:pPr>
              <w:widowControl/>
              <w:snapToGrid w:val="0"/>
              <w:spacing w:line="240" w:lineRule="auto"/>
              <w:ind w:firstLine="0" w:firstLineChars="0"/>
              <w:jc w:val="center"/>
              <w:rPr>
                <w:rFonts w:ascii="宋体" w:hAnsi="宋体" w:cs="宋体"/>
                <w:bCs/>
                <w:kern w:val="0"/>
                <w:sz w:val="20"/>
                <w:szCs w:val="20"/>
              </w:rPr>
            </w:pPr>
            <w:r>
              <w:rPr>
                <w:rFonts w:hint="eastAsia" w:ascii="宋体" w:hAnsi="宋体" w:cs="宋体"/>
                <w:bCs/>
                <w:kern w:val="0"/>
                <w:sz w:val="20"/>
                <w:szCs w:val="20"/>
              </w:rPr>
              <w:t>中频炉作业区域</w:t>
            </w:r>
            <w:r>
              <w:rPr>
                <w:rFonts w:ascii="宋体" w:hAnsi="宋体" w:cs="宋体"/>
                <w:bCs/>
                <w:kern w:val="0"/>
                <w:sz w:val="20"/>
                <w:szCs w:val="20"/>
              </w:rPr>
              <w:t>未设置</w:t>
            </w:r>
            <w:r>
              <w:rPr>
                <w:rFonts w:hint="eastAsia" w:ascii="宋体" w:hAnsi="宋体" w:cs="宋体"/>
                <w:bCs/>
                <w:kern w:val="0"/>
                <w:sz w:val="20"/>
                <w:szCs w:val="20"/>
              </w:rPr>
              <w:t>“注意高温”</w:t>
            </w:r>
            <w:r>
              <w:rPr>
                <w:rFonts w:ascii="宋体" w:hAnsi="宋体" w:cs="宋体"/>
                <w:bCs/>
                <w:kern w:val="0"/>
                <w:sz w:val="20"/>
                <w:szCs w:val="20"/>
              </w:rPr>
              <w:t>“当心</w:t>
            </w:r>
            <w:r>
              <w:rPr>
                <w:rFonts w:hint="eastAsia" w:ascii="宋体" w:hAnsi="宋体" w:cs="宋体"/>
                <w:bCs/>
                <w:kern w:val="0"/>
                <w:sz w:val="20"/>
                <w:szCs w:val="20"/>
              </w:rPr>
              <w:t>烫伤</w:t>
            </w:r>
            <w:r>
              <w:rPr>
                <w:rFonts w:ascii="宋体" w:hAnsi="宋体" w:cs="宋体"/>
                <w:bCs/>
                <w:kern w:val="0"/>
                <w:sz w:val="20"/>
                <w:szCs w:val="20"/>
              </w:rPr>
              <w:t>”“必须佩戴劳保用品”等安全标志。</w:t>
            </w:r>
          </w:p>
        </w:tc>
        <w:tc>
          <w:tcPr>
            <w:tcW w:w="1901" w:type="pct"/>
            <w:tcBorders>
              <w:tl2br w:val="nil"/>
              <w:tr2bl w:val="nil"/>
            </w:tcBorders>
            <w:vAlign w:val="center"/>
          </w:tcPr>
          <w:p>
            <w:pPr>
              <w:widowControl/>
              <w:snapToGrid w:val="0"/>
              <w:spacing w:line="240" w:lineRule="auto"/>
              <w:ind w:firstLine="0" w:firstLineChars="0"/>
              <w:jc w:val="center"/>
              <w:rPr>
                <w:rFonts w:ascii="宋体" w:hAnsi="宋体" w:cs="宋体"/>
                <w:bCs/>
                <w:kern w:val="0"/>
                <w:sz w:val="20"/>
                <w:szCs w:val="20"/>
              </w:rPr>
            </w:pPr>
            <w:r>
              <w:rPr>
                <w:rFonts w:hint="eastAsia" w:ascii="宋体" w:hAnsi="宋体" w:cs="宋体"/>
                <w:bCs/>
                <w:kern w:val="0"/>
                <w:sz w:val="20"/>
                <w:szCs w:val="20"/>
              </w:rPr>
              <w:t>中频炉作业区域</w:t>
            </w:r>
            <w:r>
              <w:rPr>
                <w:rFonts w:ascii="宋体" w:hAnsi="宋体" w:cs="宋体"/>
                <w:bCs/>
                <w:kern w:val="0"/>
                <w:sz w:val="20"/>
                <w:szCs w:val="20"/>
              </w:rPr>
              <w:t>未设置</w:t>
            </w:r>
            <w:r>
              <w:rPr>
                <w:rFonts w:hint="eastAsia" w:ascii="宋体" w:hAnsi="宋体" w:cs="宋体"/>
                <w:bCs/>
                <w:kern w:val="0"/>
                <w:sz w:val="20"/>
                <w:szCs w:val="20"/>
              </w:rPr>
              <w:t>“注意高温”</w:t>
            </w:r>
            <w:r>
              <w:rPr>
                <w:rFonts w:ascii="宋体" w:hAnsi="宋体" w:cs="宋体"/>
                <w:bCs/>
                <w:kern w:val="0"/>
                <w:sz w:val="20"/>
                <w:szCs w:val="20"/>
              </w:rPr>
              <w:t>“当心</w:t>
            </w:r>
            <w:r>
              <w:rPr>
                <w:rFonts w:hint="eastAsia" w:ascii="宋体" w:hAnsi="宋体" w:cs="宋体"/>
                <w:bCs/>
                <w:kern w:val="0"/>
                <w:sz w:val="20"/>
                <w:szCs w:val="20"/>
              </w:rPr>
              <w:t>烫伤</w:t>
            </w:r>
            <w:r>
              <w:rPr>
                <w:rFonts w:ascii="宋体" w:hAnsi="宋体" w:cs="宋体"/>
                <w:bCs/>
                <w:kern w:val="0"/>
                <w:sz w:val="20"/>
                <w:szCs w:val="20"/>
              </w:rPr>
              <w:t>”“必须佩戴劳保用品”等安全标志。</w:t>
            </w:r>
          </w:p>
        </w:tc>
        <w:tc>
          <w:tcPr>
            <w:tcW w:w="919" w:type="pct"/>
            <w:tcBorders>
              <w:tl2br w:val="nil"/>
              <w:tr2bl w:val="nil"/>
            </w:tcBorders>
            <w:vAlign w:val="center"/>
          </w:tcPr>
          <w:p>
            <w:pPr>
              <w:widowControl/>
              <w:snapToGrid w:val="0"/>
              <w:spacing w:line="240" w:lineRule="auto"/>
              <w:ind w:firstLine="0" w:firstLineChars="0"/>
              <w:jc w:val="center"/>
              <w:rPr>
                <w:rFonts w:ascii="宋体" w:hAnsi="宋体" w:cs="宋体"/>
                <w:bCs/>
                <w:kern w:val="0"/>
                <w:sz w:val="20"/>
                <w:szCs w:val="20"/>
              </w:rPr>
            </w:pPr>
            <w:r>
              <w:rPr>
                <w:rFonts w:hint="eastAsia" w:ascii="宋体" w:hAnsi="宋体" w:cs="宋体"/>
                <w:bCs/>
                <w:kern w:val="0"/>
                <w:sz w:val="20"/>
                <w:szCs w:val="20"/>
              </w:rPr>
              <w:t>已整改完成</w:t>
            </w: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jc w:val="center"/>
        </w:trPr>
        <w:tc>
          <w:tcPr>
            <w:tcW w:w="446" w:type="pct"/>
            <w:tcBorders>
              <w:tl2br w:val="nil"/>
              <w:tr2bl w:val="nil"/>
            </w:tcBorders>
            <w:vAlign w:val="center"/>
          </w:tcPr>
          <w:p>
            <w:pPr>
              <w:numPr>
                <w:ilvl w:val="0"/>
                <w:numId w:val="98"/>
              </w:numPr>
              <w:spacing w:line="240" w:lineRule="auto"/>
              <w:ind w:firstLine="0" w:firstLineChars="0"/>
              <w:jc w:val="center"/>
              <w:rPr>
                <w:rFonts w:ascii="宋体" w:hAnsi="宋体" w:cs="宋体"/>
                <w:b/>
                <w:bCs/>
                <w:sz w:val="20"/>
                <w:szCs w:val="20"/>
              </w:rPr>
            </w:pPr>
          </w:p>
        </w:tc>
        <w:tc>
          <w:tcPr>
            <w:tcW w:w="1732" w:type="pct"/>
            <w:tcBorders>
              <w:tl2br w:val="nil"/>
              <w:tr2bl w:val="nil"/>
            </w:tcBorders>
            <w:vAlign w:val="center"/>
          </w:tcPr>
          <w:p>
            <w:pPr>
              <w:widowControl/>
              <w:snapToGrid w:val="0"/>
              <w:spacing w:line="240" w:lineRule="auto"/>
              <w:ind w:firstLine="0" w:firstLineChars="0"/>
              <w:jc w:val="center"/>
              <w:rPr>
                <w:rFonts w:ascii="宋体" w:hAnsi="宋体" w:cs="宋体"/>
                <w:bCs/>
                <w:kern w:val="0"/>
                <w:sz w:val="20"/>
                <w:szCs w:val="20"/>
              </w:rPr>
            </w:pPr>
            <w:r>
              <w:rPr>
                <w:rFonts w:hint="eastAsia" w:ascii="宋体" w:hAnsi="宋体" w:cs="宋体"/>
                <w:bCs/>
                <w:kern w:val="0"/>
                <w:sz w:val="20"/>
                <w:szCs w:val="20"/>
              </w:rPr>
              <w:t>中频炉炉顶电气控制柜接线不规范，私拉乱接。厂内多个电控柜未进行防火封堵；电控柜箱门未进行等电位连接。</w:t>
            </w:r>
          </w:p>
        </w:tc>
        <w:tc>
          <w:tcPr>
            <w:tcW w:w="1901" w:type="pct"/>
            <w:tcBorders>
              <w:tl2br w:val="nil"/>
              <w:tr2bl w:val="nil"/>
            </w:tcBorders>
            <w:vAlign w:val="center"/>
          </w:tcPr>
          <w:p>
            <w:pPr>
              <w:widowControl/>
              <w:snapToGrid w:val="0"/>
              <w:spacing w:line="240" w:lineRule="auto"/>
              <w:ind w:firstLine="0" w:firstLineChars="0"/>
              <w:jc w:val="center"/>
              <w:rPr>
                <w:rFonts w:ascii="宋体" w:hAnsi="宋体" w:cs="宋体"/>
                <w:bCs/>
                <w:kern w:val="0"/>
                <w:sz w:val="20"/>
                <w:szCs w:val="20"/>
              </w:rPr>
            </w:pPr>
            <w:r>
              <w:rPr>
                <w:rFonts w:hint="eastAsia" w:ascii="宋体" w:hAnsi="宋体" w:cs="宋体"/>
                <w:bCs/>
                <w:kern w:val="0"/>
                <w:sz w:val="20"/>
                <w:szCs w:val="20"/>
              </w:rPr>
              <w:t>中频</w:t>
            </w:r>
            <w:r>
              <w:rPr>
                <w:rFonts w:hint="eastAsia" w:ascii="宋体" w:hAnsi="宋体" w:cs="宋体"/>
                <w:bCs/>
                <w:kern w:val="0"/>
                <w:sz w:val="20"/>
                <w:szCs w:val="20"/>
                <w:lang w:eastAsia="zh-CN"/>
              </w:rPr>
              <w:t>炉</w:t>
            </w:r>
            <w:r>
              <w:rPr>
                <w:rFonts w:hint="eastAsia" w:ascii="宋体" w:hAnsi="宋体" w:cs="宋体"/>
                <w:bCs/>
                <w:kern w:val="0"/>
                <w:sz w:val="20"/>
                <w:szCs w:val="20"/>
              </w:rPr>
              <w:t>电气控制柜顶接线规范，禁止私拉乱接。电控柜进行防火封堵；箱门进行等电位连接。</w:t>
            </w:r>
          </w:p>
        </w:tc>
        <w:tc>
          <w:tcPr>
            <w:tcW w:w="919" w:type="pct"/>
            <w:tcBorders>
              <w:tl2br w:val="nil"/>
              <w:tr2bl w:val="nil"/>
            </w:tcBorders>
            <w:vAlign w:val="center"/>
          </w:tcPr>
          <w:p>
            <w:pPr>
              <w:widowControl/>
              <w:snapToGrid w:val="0"/>
              <w:spacing w:line="240" w:lineRule="auto"/>
              <w:ind w:firstLine="0" w:firstLineChars="0"/>
              <w:jc w:val="center"/>
              <w:rPr>
                <w:rFonts w:ascii="宋体" w:hAnsi="宋体" w:cs="宋体"/>
                <w:bCs/>
                <w:kern w:val="0"/>
                <w:sz w:val="20"/>
                <w:szCs w:val="20"/>
              </w:rPr>
            </w:pPr>
            <w:r>
              <w:rPr>
                <w:rFonts w:hint="eastAsia" w:ascii="宋体" w:hAnsi="宋体" w:cs="宋体"/>
                <w:bCs/>
                <w:kern w:val="0"/>
                <w:sz w:val="20"/>
                <w:szCs w:val="20"/>
              </w:rPr>
              <w:t>已整改完成</w:t>
            </w: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jc w:val="center"/>
        </w:trPr>
        <w:tc>
          <w:tcPr>
            <w:tcW w:w="446" w:type="pct"/>
            <w:tcBorders>
              <w:tl2br w:val="nil"/>
              <w:tr2bl w:val="nil"/>
            </w:tcBorders>
            <w:vAlign w:val="center"/>
          </w:tcPr>
          <w:p>
            <w:pPr>
              <w:numPr>
                <w:ilvl w:val="0"/>
                <w:numId w:val="98"/>
              </w:numPr>
              <w:spacing w:line="240" w:lineRule="auto"/>
              <w:ind w:firstLine="0" w:firstLineChars="0"/>
              <w:jc w:val="center"/>
              <w:rPr>
                <w:rFonts w:ascii="宋体" w:hAnsi="宋体" w:cs="宋体"/>
                <w:b/>
                <w:bCs/>
                <w:sz w:val="20"/>
                <w:szCs w:val="20"/>
              </w:rPr>
            </w:pPr>
          </w:p>
        </w:tc>
        <w:tc>
          <w:tcPr>
            <w:tcW w:w="1732" w:type="pct"/>
            <w:tcBorders>
              <w:tl2br w:val="nil"/>
              <w:tr2bl w:val="nil"/>
            </w:tcBorders>
            <w:vAlign w:val="center"/>
          </w:tcPr>
          <w:p>
            <w:pPr>
              <w:widowControl/>
              <w:snapToGrid w:val="0"/>
              <w:spacing w:line="240" w:lineRule="auto"/>
              <w:ind w:firstLine="0" w:firstLineChars="0"/>
              <w:jc w:val="center"/>
              <w:rPr>
                <w:rFonts w:ascii="宋体" w:hAnsi="宋体" w:cs="宋体"/>
                <w:bCs/>
                <w:kern w:val="0"/>
                <w:sz w:val="20"/>
                <w:szCs w:val="20"/>
              </w:rPr>
            </w:pPr>
            <w:r>
              <w:rPr>
                <w:rFonts w:hint="eastAsia" w:ascii="宋体" w:hAnsi="宋体" w:cs="宋体"/>
                <w:bCs/>
                <w:kern w:val="0"/>
                <w:sz w:val="20"/>
                <w:szCs w:val="20"/>
              </w:rPr>
              <w:t>现场氧气、乙炔同车使用安全距离不合规范。</w:t>
            </w:r>
          </w:p>
        </w:tc>
        <w:tc>
          <w:tcPr>
            <w:tcW w:w="1901" w:type="pct"/>
            <w:tcBorders>
              <w:tl2br w:val="nil"/>
              <w:tr2bl w:val="nil"/>
            </w:tcBorders>
            <w:vAlign w:val="center"/>
          </w:tcPr>
          <w:p>
            <w:pPr>
              <w:widowControl/>
              <w:snapToGrid w:val="0"/>
              <w:spacing w:line="240" w:lineRule="auto"/>
              <w:ind w:firstLine="0" w:firstLineChars="0"/>
              <w:jc w:val="center"/>
              <w:rPr>
                <w:rFonts w:ascii="宋体" w:hAnsi="宋体" w:cs="宋体"/>
                <w:bCs/>
                <w:kern w:val="0"/>
                <w:sz w:val="20"/>
                <w:szCs w:val="20"/>
              </w:rPr>
            </w:pPr>
            <w:r>
              <w:rPr>
                <w:rFonts w:hint="eastAsia" w:ascii="宋体" w:hAnsi="宋体" w:cs="宋体"/>
                <w:bCs/>
                <w:kern w:val="0"/>
                <w:sz w:val="20"/>
                <w:szCs w:val="20"/>
              </w:rPr>
              <w:t>严格按照“气瓶间距不得小于5m；两者与明火的距离不得小于10m”的规范来使用。</w:t>
            </w:r>
          </w:p>
        </w:tc>
        <w:tc>
          <w:tcPr>
            <w:tcW w:w="919" w:type="pct"/>
            <w:tcBorders>
              <w:tl2br w:val="nil"/>
              <w:tr2bl w:val="nil"/>
            </w:tcBorders>
            <w:vAlign w:val="center"/>
          </w:tcPr>
          <w:p>
            <w:pPr>
              <w:widowControl/>
              <w:snapToGrid w:val="0"/>
              <w:spacing w:line="240" w:lineRule="auto"/>
              <w:ind w:firstLine="0" w:firstLineChars="0"/>
              <w:jc w:val="center"/>
              <w:rPr>
                <w:rFonts w:ascii="宋体" w:hAnsi="宋体" w:cs="宋体"/>
                <w:bCs/>
                <w:kern w:val="0"/>
                <w:sz w:val="20"/>
                <w:szCs w:val="20"/>
              </w:rPr>
            </w:pPr>
            <w:r>
              <w:rPr>
                <w:rFonts w:hint="eastAsia" w:ascii="宋体" w:hAnsi="宋体" w:cs="宋体"/>
                <w:bCs/>
                <w:kern w:val="0"/>
                <w:sz w:val="20"/>
                <w:szCs w:val="20"/>
              </w:rPr>
              <w:t>已整改完成</w:t>
            </w: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jc w:val="center"/>
        </w:trPr>
        <w:tc>
          <w:tcPr>
            <w:tcW w:w="446" w:type="pct"/>
            <w:tcBorders>
              <w:tl2br w:val="nil"/>
              <w:tr2bl w:val="nil"/>
            </w:tcBorders>
            <w:vAlign w:val="center"/>
          </w:tcPr>
          <w:p>
            <w:pPr>
              <w:numPr>
                <w:ilvl w:val="0"/>
                <w:numId w:val="98"/>
              </w:numPr>
              <w:spacing w:line="240" w:lineRule="auto"/>
              <w:ind w:firstLine="0" w:firstLineChars="0"/>
              <w:jc w:val="center"/>
              <w:rPr>
                <w:rFonts w:ascii="宋体" w:hAnsi="宋体" w:cs="宋体"/>
                <w:b/>
                <w:bCs/>
                <w:sz w:val="20"/>
                <w:szCs w:val="20"/>
              </w:rPr>
            </w:pPr>
          </w:p>
        </w:tc>
        <w:tc>
          <w:tcPr>
            <w:tcW w:w="1732" w:type="pct"/>
            <w:tcBorders>
              <w:tl2br w:val="nil"/>
              <w:tr2bl w:val="nil"/>
            </w:tcBorders>
            <w:vAlign w:val="center"/>
          </w:tcPr>
          <w:p>
            <w:pPr>
              <w:widowControl/>
              <w:snapToGrid w:val="0"/>
              <w:spacing w:line="240" w:lineRule="auto"/>
              <w:ind w:firstLine="0" w:firstLineChars="0"/>
              <w:jc w:val="center"/>
              <w:rPr>
                <w:rFonts w:ascii="宋体" w:hAnsi="宋体" w:cs="宋体"/>
                <w:bCs/>
                <w:kern w:val="0"/>
                <w:sz w:val="20"/>
                <w:szCs w:val="20"/>
              </w:rPr>
            </w:pPr>
            <w:r>
              <w:rPr>
                <w:rFonts w:hint="eastAsia" w:ascii="宋体" w:hAnsi="宋体" w:cs="宋体"/>
                <w:bCs/>
                <w:kern w:val="0"/>
                <w:sz w:val="20"/>
                <w:szCs w:val="20"/>
              </w:rPr>
              <w:t>喷涂间不防爆控制柜设置在喷涂机爆炸区域。</w:t>
            </w:r>
          </w:p>
        </w:tc>
        <w:tc>
          <w:tcPr>
            <w:tcW w:w="1901" w:type="pct"/>
            <w:tcBorders>
              <w:tl2br w:val="nil"/>
              <w:tr2bl w:val="nil"/>
            </w:tcBorders>
            <w:vAlign w:val="center"/>
          </w:tcPr>
          <w:p>
            <w:pPr>
              <w:widowControl/>
              <w:snapToGrid w:val="0"/>
              <w:spacing w:line="240" w:lineRule="auto"/>
              <w:ind w:firstLine="0" w:firstLineChars="0"/>
              <w:jc w:val="center"/>
              <w:rPr>
                <w:rFonts w:ascii="宋体" w:hAnsi="宋体" w:cs="宋体"/>
                <w:bCs/>
                <w:kern w:val="0"/>
                <w:sz w:val="20"/>
                <w:szCs w:val="20"/>
              </w:rPr>
            </w:pPr>
            <w:r>
              <w:rPr>
                <w:rFonts w:hint="eastAsia" w:ascii="宋体" w:hAnsi="宋体" w:cs="宋体"/>
                <w:bCs/>
                <w:kern w:val="0"/>
                <w:sz w:val="20"/>
                <w:szCs w:val="20"/>
              </w:rPr>
              <w:t>喷涂间控制柜移至爆炸区域外。</w:t>
            </w:r>
          </w:p>
        </w:tc>
        <w:tc>
          <w:tcPr>
            <w:tcW w:w="919" w:type="pct"/>
            <w:tcBorders>
              <w:tl2br w:val="nil"/>
              <w:tr2bl w:val="nil"/>
            </w:tcBorders>
            <w:vAlign w:val="center"/>
          </w:tcPr>
          <w:p>
            <w:pPr>
              <w:widowControl/>
              <w:snapToGrid w:val="0"/>
              <w:spacing w:line="240" w:lineRule="auto"/>
              <w:ind w:firstLine="0" w:firstLineChars="0"/>
              <w:jc w:val="center"/>
              <w:rPr>
                <w:rFonts w:ascii="宋体" w:hAnsi="宋体" w:cs="宋体"/>
                <w:bCs/>
                <w:kern w:val="0"/>
                <w:sz w:val="20"/>
                <w:szCs w:val="20"/>
              </w:rPr>
            </w:pPr>
            <w:r>
              <w:rPr>
                <w:rFonts w:hint="eastAsia" w:ascii="宋体" w:hAnsi="宋体" w:cs="宋体"/>
                <w:bCs/>
                <w:kern w:val="0"/>
                <w:sz w:val="20"/>
                <w:szCs w:val="20"/>
              </w:rPr>
              <w:t>已整改完成</w:t>
            </w: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jc w:val="center"/>
        </w:trPr>
        <w:tc>
          <w:tcPr>
            <w:tcW w:w="446" w:type="pct"/>
            <w:tcBorders>
              <w:tl2br w:val="nil"/>
              <w:tr2bl w:val="nil"/>
            </w:tcBorders>
            <w:vAlign w:val="center"/>
          </w:tcPr>
          <w:p>
            <w:pPr>
              <w:numPr>
                <w:ilvl w:val="0"/>
                <w:numId w:val="98"/>
              </w:numPr>
              <w:spacing w:line="240" w:lineRule="auto"/>
              <w:ind w:firstLine="0" w:firstLineChars="0"/>
              <w:jc w:val="center"/>
              <w:rPr>
                <w:rFonts w:ascii="宋体" w:hAnsi="宋体" w:cs="宋体"/>
                <w:b/>
                <w:bCs/>
                <w:sz w:val="20"/>
                <w:szCs w:val="20"/>
              </w:rPr>
            </w:pPr>
          </w:p>
        </w:tc>
        <w:tc>
          <w:tcPr>
            <w:tcW w:w="1732" w:type="pct"/>
            <w:tcBorders>
              <w:tl2br w:val="nil"/>
              <w:tr2bl w:val="nil"/>
            </w:tcBorders>
            <w:vAlign w:val="center"/>
          </w:tcPr>
          <w:p>
            <w:pPr>
              <w:widowControl/>
              <w:snapToGrid w:val="0"/>
              <w:spacing w:line="240" w:lineRule="auto"/>
              <w:ind w:firstLine="0" w:firstLineChars="0"/>
              <w:jc w:val="center"/>
              <w:rPr>
                <w:rFonts w:ascii="宋体" w:hAnsi="宋体" w:cs="宋体"/>
                <w:bCs/>
                <w:kern w:val="0"/>
                <w:sz w:val="20"/>
                <w:szCs w:val="20"/>
              </w:rPr>
            </w:pPr>
            <w:r>
              <w:rPr>
                <w:rFonts w:hint="eastAsia" w:ascii="宋体" w:hAnsi="宋体" w:cs="宋体"/>
                <w:bCs/>
                <w:kern w:val="0"/>
                <w:sz w:val="20"/>
                <w:szCs w:val="20"/>
              </w:rPr>
              <w:t>配电室内杂物多；配电室门未装挡鼠板；左侧墙体有较大空隙，不能防止小动物进入。</w:t>
            </w:r>
          </w:p>
        </w:tc>
        <w:tc>
          <w:tcPr>
            <w:tcW w:w="1901" w:type="pct"/>
            <w:tcBorders>
              <w:tl2br w:val="nil"/>
              <w:tr2bl w:val="nil"/>
            </w:tcBorders>
            <w:vAlign w:val="center"/>
          </w:tcPr>
          <w:p>
            <w:pPr>
              <w:widowControl/>
              <w:snapToGrid w:val="0"/>
              <w:spacing w:line="240" w:lineRule="auto"/>
              <w:ind w:firstLine="0" w:firstLineChars="0"/>
              <w:jc w:val="center"/>
              <w:rPr>
                <w:rFonts w:ascii="宋体" w:hAnsi="宋体" w:cs="宋体"/>
                <w:bCs/>
                <w:kern w:val="0"/>
                <w:sz w:val="20"/>
                <w:szCs w:val="20"/>
              </w:rPr>
            </w:pPr>
            <w:r>
              <w:rPr>
                <w:rFonts w:hint="eastAsia" w:ascii="宋体" w:hAnsi="宋体" w:cs="宋体"/>
                <w:bCs/>
                <w:kern w:val="0"/>
                <w:sz w:val="20"/>
                <w:szCs w:val="20"/>
              </w:rPr>
              <w:t>清除配电室杂物，配电室门装挡鼠板；左侧墙体空隙进行封堵。</w:t>
            </w:r>
          </w:p>
        </w:tc>
        <w:tc>
          <w:tcPr>
            <w:tcW w:w="919" w:type="pct"/>
            <w:tcBorders>
              <w:tl2br w:val="nil"/>
              <w:tr2bl w:val="nil"/>
            </w:tcBorders>
            <w:vAlign w:val="center"/>
          </w:tcPr>
          <w:p>
            <w:pPr>
              <w:widowControl/>
              <w:snapToGrid w:val="0"/>
              <w:spacing w:line="240" w:lineRule="auto"/>
              <w:ind w:firstLine="0" w:firstLineChars="0"/>
              <w:jc w:val="center"/>
              <w:rPr>
                <w:rFonts w:ascii="宋体" w:hAnsi="宋体" w:cs="宋体"/>
                <w:bCs/>
                <w:kern w:val="0"/>
                <w:sz w:val="20"/>
                <w:szCs w:val="20"/>
              </w:rPr>
            </w:pPr>
            <w:r>
              <w:rPr>
                <w:rFonts w:hint="eastAsia" w:ascii="宋体" w:hAnsi="宋体" w:cs="宋体"/>
                <w:bCs/>
                <w:kern w:val="0"/>
                <w:sz w:val="20"/>
                <w:szCs w:val="20"/>
              </w:rPr>
              <w:t>已整改完成</w:t>
            </w:r>
          </w:p>
        </w:tc>
      </w:tr>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108" w:type="dxa"/>
            <w:bottom w:w="0" w:type="dxa"/>
            <w:right w:w="108" w:type="dxa"/>
          </w:tblCellMar>
        </w:tblPrEx>
        <w:trPr>
          <w:jc w:val="center"/>
        </w:trPr>
        <w:tc>
          <w:tcPr>
            <w:tcW w:w="446" w:type="pct"/>
            <w:tcBorders>
              <w:tl2br w:val="nil"/>
              <w:tr2bl w:val="nil"/>
            </w:tcBorders>
            <w:vAlign w:val="center"/>
          </w:tcPr>
          <w:p>
            <w:pPr>
              <w:numPr>
                <w:ilvl w:val="0"/>
                <w:numId w:val="98"/>
              </w:numPr>
              <w:spacing w:line="240" w:lineRule="auto"/>
              <w:ind w:firstLine="0" w:firstLineChars="0"/>
              <w:jc w:val="center"/>
              <w:rPr>
                <w:rFonts w:ascii="宋体" w:hAnsi="宋体" w:cs="宋体"/>
                <w:b/>
                <w:bCs/>
                <w:sz w:val="20"/>
                <w:szCs w:val="20"/>
              </w:rPr>
            </w:pPr>
          </w:p>
        </w:tc>
        <w:tc>
          <w:tcPr>
            <w:tcW w:w="1732" w:type="pct"/>
            <w:tcBorders>
              <w:tl2br w:val="nil"/>
              <w:tr2bl w:val="nil"/>
            </w:tcBorders>
            <w:vAlign w:val="center"/>
          </w:tcPr>
          <w:p>
            <w:pPr>
              <w:widowControl/>
              <w:snapToGrid w:val="0"/>
              <w:spacing w:line="240" w:lineRule="auto"/>
              <w:ind w:firstLine="0" w:firstLineChars="0"/>
              <w:jc w:val="both"/>
              <w:rPr>
                <w:rFonts w:ascii="宋体" w:hAnsi="宋体" w:cs="宋体"/>
                <w:bCs/>
                <w:kern w:val="0"/>
                <w:sz w:val="20"/>
                <w:szCs w:val="20"/>
              </w:rPr>
            </w:pPr>
            <w:r>
              <w:rPr>
                <w:rFonts w:hint="eastAsia" w:ascii="宋体" w:hAnsi="宋体" w:cs="宋体"/>
                <w:bCs/>
                <w:kern w:val="0"/>
                <w:sz w:val="20"/>
                <w:szCs w:val="20"/>
              </w:rPr>
              <w:t>未按设计要求设置中频炉高位槽，也未设置备用电源，存在停电烧穿电炉的危险。</w:t>
            </w:r>
          </w:p>
        </w:tc>
        <w:tc>
          <w:tcPr>
            <w:tcW w:w="1901" w:type="pct"/>
            <w:tcBorders>
              <w:tl2br w:val="nil"/>
              <w:tr2bl w:val="nil"/>
            </w:tcBorders>
            <w:vAlign w:val="center"/>
          </w:tcPr>
          <w:p>
            <w:pPr>
              <w:widowControl/>
              <w:snapToGrid w:val="0"/>
              <w:spacing w:line="240" w:lineRule="auto"/>
              <w:ind w:firstLine="0" w:firstLineChars="0"/>
              <w:jc w:val="center"/>
              <w:rPr>
                <w:rFonts w:ascii="宋体" w:hAnsi="宋体" w:cs="宋体"/>
                <w:bCs/>
                <w:kern w:val="0"/>
                <w:sz w:val="20"/>
                <w:szCs w:val="20"/>
              </w:rPr>
            </w:pPr>
            <w:r>
              <w:rPr>
                <w:rFonts w:hint="eastAsia" w:ascii="宋体" w:hAnsi="宋体" w:cs="宋体"/>
                <w:bCs/>
                <w:kern w:val="0"/>
                <w:sz w:val="20"/>
                <w:szCs w:val="20"/>
              </w:rPr>
              <w:t>设置高位槽和补充设置备用电源。</w:t>
            </w:r>
          </w:p>
        </w:tc>
        <w:tc>
          <w:tcPr>
            <w:tcW w:w="919" w:type="pct"/>
            <w:tcBorders>
              <w:tl2br w:val="nil"/>
              <w:tr2bl w:val="nil"/>
            </w:tcBorders>
            <w:vAlign w:val="center"/>
          </w:tcPr>
          <w:p>
            <w:pPr>
              <w:widowControl/>
              <w:snapToGrid w:val="0"/>
              <w:spacing w:line="240" w:lineRule="auto"/>
              <w:ind w:firstLine="0" w:firstLineChars="0"/>
              <w:jc w:val="center"/>
              <w:rPr>
                <w:rFonts w:ascii="宋体" w:hAnsi="宋体" w:cs="宋体"/>
                <w:bCs/>
                <w:kern w:val="0"/>
                <w:sz w:val="20"/>
                <w:szCs w:val="20"/>
              </w:rPr>
            </w:pPr>
            <w:r>
              <w:rPr>
                <w:rFonts w:hint="eastAsia" w:ascii="宋体" w:hAnsi="宋体" w:cs="宋体"/>
                <w:bCs/>
                <w:kern w:val="0"/>
                <w:sz w:val="20"/>
                <w:szCs w:val="20"/>
              </w:rPr>
              <w:t>已整改完成</w:t>
            </w:r>
          </w:p>
        </w:tc>
      </w:tr>
    </w:tbl>
    <w:p>
      <w:pPr>
        <w:pStyle w:val="5"/>
        <w:keepNext w:val="0"/>
        <w:keepLines w:val="0"/>
        <w:tabs>
          <w:tab w:val="left" w:pos="0"/>
        </w:tabs>
        <w:spacing w:before="156" w:after="156"/>
      </w:pPr>
      <w:bookmarkStart w:id="404" w:name="_Toc21349"/>
      <w:r>
        <w:rPr>
          <w:rFonts w:hint="eastAsia"/>
        </w:rPr>
        <w:t>对策措施及建议</w:t>
      </w:r>
      <w:bookmarkEnd w:id="395"/>
      <w:bookmarkEnd w:id="396"/>
      <w:bookmarkEnd w:id="397"/>
      <w:bookmarkEnd w:id="398"/>
      <w:bookmarkEnd w:id="399"/>
      <w:bookmarkEnd w:id="400"/>
      <w:bookmarkEnd w:id="401"/>
      <w:bookmarkEnd w:id="404"/>
    </w:p>
    <w:p>
      <w:pPr>
        <w:numPr>
          <w:ilvl w:val="0"/>
          <w:numId w:val="99"/>
        </w:numPr>
        <w:adjustRightInd w:val="0"/>
        <w:snapToGrid w:val="0"/>
        <w:ind w:firstLine="560"/>
        <w:rPr>
          <w:rFonts w:hint="eastAsia" w:asciiTheme="minorEastAsia" w:hAnsiTheme="minorEastAsia" w:eastAsiaTheme="minorEastAsia"/>
          <w:szCs w:val="28"/>
        </w:rPr>
      </w:pPr>
      <w:r>
        <w:rPr>
          <w:rFonts w:hint="eastAsia" w:asciiTheme="minorEastAsia" w:hAnsiTheme="minorEastAsia" w:eastAsiaTheme="minorEastAsia"/>
          <w:szCs w:val="28"/>
        </w:rPr>
        <w:t>只有经过培训并考核合格的持证操作人员才允许操作叉车。</w:t>
      </w:r>
      <w:r>
        <w:rPr>
          <w:rFonts w:hint="eastAsia" w:asciiTheme="minorEastAsia" w:hAnsiTheme="minorEastAsia" w:eastAsiaTheme="minorEastAsia"/>
          <w:szCs w:val="28"/>
          <w:lang w:val="en-US" w:eastAsia="zh-CN"/>
        </w:rPr>
        <w:t>叉车转运</w:t>
      </w:r>
      <w:r>
        <w:rPr>
          <w:rFonts w:hint="eastAsia" w:asciiTheme="minorEastAsia" w:hAnsiTheme="minorEastAsia" w:eastAsiaTheme="minorEastAsia"/>
          <w:szCs w:val="28"/>
        </w:rPr>
        <w:t>铁水时必须使用专用叉车，操作人员穿戴好劳保用品。叉车禁止搭乘其他人员。</w:t>
      </w:r>
    </w:p>
    <w:p>
      <w:pPr>
        <w:numPr>
          <w:ilvl w:val="0"/>
          <w:numId w:val="99"/>
        </w:numPr>
        <w:adjustRightInd w:val="0"/>
        <w:snapToGrid w:val="0"/>
        <w:ind w:firstLine="560"/>
        <w:rPr>
          <w:rFonts w:hint="eastAsia" w:asciiTheme="minorEastAsia" w:hAnsiTheme="minorEastAsia" w:eastAsiaTheme="minorEastAsia"/>
          <w:szCs w:val="28"/>
        </w:rPr>
      </w:pPr>
      <w:r>
        <w:rPr>
          <w:rFonts w:hint="eastAsia" w:asciiTheme="minorEastAsia" w:hAnsiTheme="minorEastAsia" w:eastAsiaTheme="minorEastAsia"/>
          <w:szCs w:val="28"/>
        </w:rPr>
        <w:t>铁水转运时避免急刹车，紧急制动危险。避免急停、急开或急转向，以免铁水包落下或翻车。叉运铁水时密切前方状况，对可能突然出现人员的区域要提前减速，鸣笛提示，行驶车速不得大于3公里/小时。</w:t>
      </w:r>
    </w:p>
    <w:p>
      <w:pPr>
        <w:numPr>
          <w:ilvl w:val="0"/>
          <w:numId w:val="99"/>
        </w:numPr>
        <w:adjustRightInd w:val="0"/>
        <w:snapToGrid w:val="0"/>
        <w:ind w:firstLine="560"/>
        <w:rPr>
          <w:rFonts w:hint="eastAsia" w:asciiTheme="minorEastAsia" w:hAnsiTheme="minorEastAsia" w:eastAsiaTheme="minorEastAsia"/>
          <w:szCs w:val="28"/>
        </w:rPr>
      </w:pPr>
      <w:r>
        <w:rPr>
          <w:rFonts w:hint="eastAsia" w:asciiTheme="minorEastAsia" w:hAnsiTheme="minorEastAsia" w:eastAsiaTheme="minorEastAsia"/>
          <w:szCs w:val="28"/>
        </w:rPr>
        <w:t>叉运时要听从熔炼人员的安全指挥。叉运时等</w:t>
      </w:r>
      <w:r>
        <w:rPr>
          <w:rFonts w:hint="eastAsia" w:asciiTheme="minorEastAsia" w:hAnsiTheme="minorEastAsia" w:eastAsiaTheme="minorEastAsia"/>
          <w:szCs w:val="28"/>
          <w:lang w:val="en-US" w:eastAsia="zh-CN"/>
        </w:rPr>
        <w:t>周边人</w:t>
      </w:r>
      <w:r>
        <w:rPr>
          <w:rFonts w:hint="eastAsia" w:asciiTheme="minorEastAsia" w:hAnsiTheme="minorEastAsia" w:eastAsiaTheme="minorEastAsia"/>
          <w:szCs w:val="28"/>
        </w:rPr>
        <w:t>员退至安全区域后方可开始叉运</w:t>
      </w:r>
      <w:r>
        <w:rPr>
          <w:rFonts w:hint="eastAsia" w:asciiTheme="minorEastAsia" w:hAnsiTheme="minorEastAsia" w:eastAsiaTheme="minorEastAsia"/>
          <w:szCs w:val="28"/>
          <w:lang w:eastAsia="zh-CN"/>
        </w:rPr>
        <w:t>。</w:t>
      </w:r>
    </w:p>
    <w:p>
      <w:pPr>
        <w:numPr>
          <w:ilvl w:val="0"/>
          <w:numId w:val="99"/>
        </w:numPr>
        <w:adjustRightInd w:val="0"/>
        <w:snapToGrid w:val="0"/>
        <w:ind w:firstLine="560"/>
        <w:rPr>
          <w:rFonts w:hint="eastAsia" w:asciiTheme="minorEastAsia" w:hAnsiTheme="minorEastAsia" w:eastAsiaTheme="minorEastAsia"/>
          <w:szCs w:val="28"/>
        </w:rPr>
      </w:pPr>
      <w:r>
        <w:rPr>
          <w:rFonts w:hint="eastAsia" w:asciiTheme="minorEastAsia" w:hAnsiTheme="minorEastAsia" w:eastAsiaTheme="minorEastAsia"/>
          <w:szCs w:val="28"/>
        </w:rPr>
        <w:t>柴油发电机组的金属底座、框架及外壳、传动装置和储油间的油箱应保证不少于两点可靠接地</w:t>
      </w:r>
      <w:r>
        <w:rPr>
          <w:rFonts w:hint="eastAsia" w:asciiTheme="minorEastAsia" w:hAnsiTheme="minorEastAsia" w:eastAsiaTheme="minorEastAsia"/>
          <w:szCs w:val="28"/>
          <w:lang w:eastAsia="zh-CN"/>
        </w:rPr>
        <w:t>。</w:t>
      </w:r>
      <w:r>
        <w:rPr>
          <w:rFonts w:hint="eastAsia" w:asciiTheme="minorEastAsia" w:hAnsiTheme="minorEastAsia" w:eastAsiaTheme="minorEastAsia"/>
          <w:szCs w:val="28"/>
        </w:rPr>
        <w:t>机房内设置储油间时，其总储存量不应大于1m³，储油间应采用耐火极限不低于3.00h的防火隔墙与发电机间分隔；确需在防火隔墙上开门时，应设置甲级防火门。</w:t>
      </w:r>
    </w:p>
    <w:p>
      <w:pPr>
        <w:numPr>
          <w:ilvl w:val="0"/>
          <w:numId w:val="99"/>
        </w:numPr>
        <w:adjustRightInd w:val="0"/>
        <w:snapToGrid w:val="0"/>
        <w:ind w:firstLine="560"/>
        <w:rPr>
          <w:rFonts w:hint="eastAsia" w:asciiTheme="minorEastAsia" w:hAnsiTheme="minorEastAsia" w:eastAsiaTheme="minorEastAsia"/>
          <w:szCs w:val="28"/>
        </w:rPr>
      </w:pPr>
      <w:r>
        <w:rPr>
          <w:rFonts w:hint="eastAsia" w:asciiTheme="minorEastAsia" w:hAnsiTheme="minorEastAsia" w:eastAsiaTheme="minorEastAsia"/>
          <w:szCs w:val="28"/>
        </w:rPr>
        <w:t>柴油发电机周围禁止堆放杂物和易燃、易爆物品且应按E类火灾的规定配置灭火器，采取机组消声及机房隔声综合治理措施。</w:t>
      </w:r>
    </w:p>
    <w:p>
      <w:pPr>
        <w:numPr>
          <w:ilvl w:val="0"/>
          <w:numId w:val="99"/>
        </w:numPr>
        <w:adjustRightInd w:val="0"/>
        <w:snapToGrid w:val="0"/>
        <w:ind w:firstLine="560"/>
        <w:rPr>
          <w:rFonts w:hint="eastAsia" w:asciiTheme="minorEastAsia" w:hAnsiTheme="minorEastAsia" w:eastAsiaTheme="minorEastAsia"/>
          <w:szCs w:val="28"/>
        </w:rPr>
        <w:sectPr>
          <w:headerReference r:id="rId16" w:type="default"/>
          <w:footerReference r:id="rId17" w:type="default"/>
          <w:pgSz w:w="11906" w:h="16838"/>
          <w:pgMar w:top="1440" w:right="1800" w:bottom="1440" w:left="1800" w:header="851" w:footer="992" w:gutter="0"/>
          <w:cols w:space="425" w:num="1"/>
          <w:docGrid w:type="lines" w:linePitch="312" w:charSpace="0"/>
        </w:sectPr>
      </w:pPr>
      <w:r>
        <w:rPr>
          <w:rFonts w:hint="eastAsia" w:asciiTheme="minorEastAsia" w:hAnsiTheme="minorEastAsia" w:eastAsiaTheme="minorEastAsia"/>
          <w:szCs w:val="28"/>
          <w:lang w:val="en-US" w:eastAsia="zh-CN"/>
        </w:rPr>
        <w:t>静电喷涂</w:t>
      </w:r>
      <w:r>
        <w:rPr>
          <w:rFonts w:hint="eastAsia" w:asciiTheme="minorEastAsia" w:hAnsiTheme="minorEastAsia" w:eastAsiaTheme="minorEastAsia"/>
          <w:szCs w:val="28"/>
        </w:rPr>
        <w:t>操作人员必须熟悉设备系统，包括</w:t>
      </w:r>
      <w:r>
        <w:rPr>
          <w:rFonts w:hint="eastAsia" w:asciiTheme="minorEastAsia" w:hAnsiTheme="minorEastAsia" w:eastAsiaTheme="minorEastAsia"/>
          <w:szCs w:val="28"/>
          <w:lang w:val="en-US" w:eastAsia="zh-CN"/>
        </w:rPr>
        <w:t>岗位存在的风险、</w:t>
      </w:r>
      <w:r>
        <w:rPr>
          <w:rFonts w:hint="eastAsia" w:asciiTheme="minorEastAsia" w:hAnsiTheme="minorEastAsia" w:eastAsiaTheme="minorEastAsia"/>
          <w:szCs w:val="28"/>
        </w:rPr>
        <w:t>应急救灾设施、消防设施和报警装置</w:t>
      </w:r>
      <w:r>
        <w:rPr>
          <w:rFonts w:hint="eastAsia" w:asciiTheme="minorEastAsia" w:hAnsiTheme="minorEastAsia" w:eastAsiaTheme="minorEastAsia"/>
          <w:szCs w:val="28"/>
          <w:lang w:eastAsia="zh-CN"/>
        </w:rPr>
        <w:t>，</w:t>
      </w:r>
      <w:r>
        <w:rPr>
          <w:rFonts w:hint="eastAsia" w:asciiTheme="minorEastAsia" w:hAnsiTheme="minorEastAsia" w:eastAsiaTheme="minorEastAsia"/>
          <w:szCs w:val="28"/>
        </w:rPr>
        <w:t>并能熟练操作。作业人员上岗前要接受培训</w:t>
      </w:r>
      <w:r>
        <w:rPr>
          <w:rFonts w:hint="eastAsia" w:asciiTheme="minorEastAsia" w:hAnsiTheme="minorEastAsia" w:eastAsiaTheme="minorEastAsia"/>
          <w:szCs w:val="28"/>
          <w:lang w:eastAsia="zh-CN"/>
        </w:rPr>
        <w:t>，</w:t>
      </w:r>
      <w:r>
        <w:rPr>
          <w:rFonts w:hint="eastAsia" w:asciiTheme="minorEastAsia" w:hAnsiTheme="minorEastAsia" w:eastAsiaTheme="minorEastAsia"/>
          <w:szCs w:val="28"/>
        </w:rPr>
        <w:t>了解设备安全性能，自觉遵守安全作业规程</w:t>
      </w:r>
      <w:r>
        <w:rPr>
          <w:rFonts w:hint="eastAsia" w:asciiTheme="minorEastAsia" w:hAnsiTheme="minorEastAsia" w:eastAsiaTheme="minorEastAsia"/>
          <w:szCs w:val="28"/>
          <w:lang w:eastAsia="zh-CN"/>
        </w:rPr>
        <w:t>。</w:t>
      </w:r>
      <w:r>
        <w:rPr>
          <w:rFonts w:hint="eastAsia" w:asciiTheme="minorEastAsia" w:hAnsiTheme="minorEastAsia" w:eastAsiaTheme="minorEastAsia"/>
          <w:szCs w:val="28"/>
          <w:lang w:val="en-US" w:eastAsia="zh-CN"/>
        </w:rPr>
        <w:t>要严格落实粉尘清扫制度，及时清理喷涂间粉尘。</w:t>
      </w:r>
      <w:r>
        <w:rPr>
          <w:rFonts w:hint="eastAsia" w:asciiTheme="minorEastAsia" w:hAnsiTheme="minorEastAsia" w:eastAsiaTheme="minorEastAsia"/>
          <w:szCs w:val="28"/>
        </w:rPr>
        <w:t>企业还应定期检修校正</w:t>
      </w:r>
      <w:r>
        <w:rPr>
          <w:rFonts w:hint="eastAsia" w:asciiTheme="minorEastAsia" w:hAnsiTheme="minorEastAsia" w:eastAsiaTheme="minorEastAsia"/>
          <w:szCs w:val="28"/>
          <w:lang w:eastAsia="zh-CN"/>
        </w:rPr>
        <w:t>挂钩，</w:t>
      </w:r>
      <w:r>
        <w:rPr>
          <w:rFonts w:hint="eastAsia" w:asciiTheme="minorEastAsia" w:hAnsiTheme="minorEastAsia" w:eastAsiaTheme="minorEastAsia"/>
          <w:szCs w:val="28"/>
        </w:rPr>
        <w:t>以防因挂钩松动、歪斜等故障而引发传输链勾挂事故</w:t>
      </w:r>
      <w:r>
        <w:rPr>
          <w:rFonts w:hint="eastAsia" w:asciiTheme="minorEastAsia" w:hAnsiTheme="minorEastAsia" w:eastAsiaTheme="minorEastAsia"/>
          <w:szCs w:val="28"/>
          <w:lang w:eastAsia="zh-CN"/>
        </w:rPr>
        <w:t>，</w:t>
      </w:r>
      <w:r>
        <w:rPr>
          <w:rFonts w:hint="eastAsia" w:asciiTheme="minorEastAsia" w:hAnsiTheme="minorEastAsia" w:eastAsiaTheme="minorEastAsia"/>
          <w:szCs w:val="28"/>
        </w:rPr>
        <w:t>也要防止吊挂架摆动、脱落引发碰撞火花。专职安全员必须对</w:t>
      </w:r>
      <w:r>
        <w:rPr>
          <w:rFonts w:hint="eastAsia" w:asciiTheme="minorEastAsia" w:hAnsiTheme="minorEastAsia" w:eastAsiaTheme="minorEastAsia"/>
          <w:szCs w:val="28"/>
          <w:lang w:val="en-US" w:eastAsia="zh-CN"/>
        </w:rPr>
        <w:t>静电喷涂</w:t>
      </w:r>
      <w:r>
        <w:rPr>
          <w:rFonts w:hint="eastAsia" w:asciiTheme="minorEastAsia" w:hAnsiTheme="minorEastAsia" w:eastAsiaTheme="minorEastAsia"/>
          <w:szCs w:val="28"/>
        </w:rPr>
        <w:t>生产现场进行巡查和定期检测</w:t>
      </w:r>
      <w:r>
        <w:rPr>
          <w:rFonts w:hint="eastAsia" w:asciiTheme="minorEastAsia" w:hAnsiTheme="minorEastAsia" w:eastAsiaTheme="minorEastAsia"/>
          <w:szCs w:val="28"/>
          <w:lang w:eastAsia="zh-CN"/>
        </w:rPr>
        <w:t>，</w:t>
      </w:r>
      <w:r>
        <w:rPr>
          <w:rFonts w:hint="eastAsia" w:asciiTheme="minorEastAsia" w:hAnsiTheme="minorEastAsia" w:eastAsiaTheme="minorEastAsia"/>
          <w:szCs w:val="28"/>
          <w:lang w:val="en-US" w:eastAsia="zh-CN"/>
        </w:rPr>
        <w:t>确保安全。</w:t>
      </w:r>
    </w:p>
    <w:p>
      <w:pPr>
        <w:pStyle w:val="4"/>
        <w:spacing w:before="312" w:after="312"/>
      </w:pPr>
      <w:bookmarkStart w:id="405" w:name="_Toc498299403"/>
      <w:bookmarkStart w:id="406" w:name="_Toc498519873"/>
      <w:bookmarkStart w:id="407" w:name="_Toc500007208"/>
      <w:bookmarkStart w:id="408" w:name="_Toc32344"/>
      <w:r>
        <w:t>总体评价结论</w:t>
      </w:r>
      <w:bookmarkEnd w:id="405"/>
      <w:bookmarkEnd w:id="406"/>
      <w:bookmarkEnd w:id="407"/>
      <w:bookmarkEnd w:id="408"/>
    </w:p>
    <w:p>
      <w:pPr>
        <w:pStyle w:val="5"/>
        <w:tabs>
          <w:tab w:val="left" w:pos="0"/>
        </w:tabs>
        <w:spacing w:before="156" w:after="156"/>
      </w:pPr>
      <w:bookmarkStart w:id="409" w:name="_Toc11120"/>
      <w:bookmarkStart w:id="410" w:name="_Toc9202"/>
      <w:bookmarkStart w:id="411" w:name="_Toc32400"/>
      <w:bookmarkStart w:id="412" w:name="_Toc4998"/>
      <w:bookmarkStart w:id="413" w:name="_Toc16714"/>
      <w:bookmarkStart w:id="414" w:name="_Toc6889"/>
      <w:bookmarkStart w:id="415" w:name="_Toc22273"/>
      <w:bookmarkStart w:id="416" w:name="_Toc381025879"/>
      <w:bookmarkStart w:id="417" w:name="_Toc321414931"/>
      <w:r>
        <w:rPr>
          <w:rFonts w:hint="eastAsia"/>
        </w:rPr>
        <w:t>主要危险、有害因素及相关作业场所分布</w:t>
      </w:r>
      <w:bookmarkEnd w:id="409"/>
      <w:bookmarkEnd w:id="410"/>
      <w:bookmarkEnd w:id="411"/>
      <w:bookmarkEnd w:id="412"/>
    </w:p>
    <w:p>
      <w:pPr>
        <w:ind w:firstLine="560"/>
      </w:pPr>
      <w:r>
        <w:t>通过分析，</w:t>
      </w:r>
      <w:r>
        <w:rPr>
          <w:rFonts w:hint="eastAsia"/>
        </w:rPr>
        <w:t>云南大姚祥华工业制造股份公司云南大姚机械配件厂退城入园整体技改搬迁项目存在的主要危险、</w:t>
      </w:r>
      <w:r>
        <w:t>有害因素有：</w:t>
      </w:r>
      <w:r>
        <w:rPr>
          <w:rFonts w:hint="eastAsia"/>
        </w:rPr>
        <w:t>灼烫、其他爆炸、机械伤害、火灾、起重伤害、车辆伤害、中毒窒息、触电；次要的危险、有害因素为：物体打击、高处坠落及其他危害（振动危害、粉尘危害、高温危害、噪声危害）等</w:t>
      </w:r>
      <w:r>
        <w:t>等。其中以</w:t>
      </w:r>
      <w:r>
        <w:rPr>
          <w:rFonts w:hint="eastAsia"/>
        </w:rPr>
        <w:t>灼烫、其他爆炸、机械伤害、火灾、起重伤害、车辆伤害、触电、中毒窒息、有限空间</w:t>
      </w:r>
      <w:r>
        <w:t>的危害性为最大。</w:t>
      </w:r>
      <w:r>
        <w:rPr>
          <w:rFonts w:hint="eastAsia"/>
        </w:rPr>
        <w:t>项目主要危险、有害因素识别见表7.1-1。</w:t>
      </w:r>
    </w:p>
    <w:p>
      <w:pPr>
        <w:pStyle w:val="14"/>
        <w:spacing w:before="156" w:after="156"/>
      </w:pPr>
      <w:r>
        <w:t xml:space="preserve">表 </w:t>
      </w:r>
      <w:r>
        <w:fldChar w:fldCharType="begin"/>
      </w:r>
      <w:r>
        <w:instrText xml:space="preserve"> STYLEREF 2 \s </w:instrText>
      </w:r>
      <w:r>
        <w:fldChar w:fldCharType="separate"/>
      </w:r>
      <w:r>
        <w:t>7.1</w:t>
      </w:r>
      <w:r>
        <w:fldChar w:fldCharType="end"/>
      </w:r>
      <w:r>
        <w:rPr>
          <w:rFonts w:hint="eastAsia"/>
        </w:rPr>
        <w:t>-</w:t>
      </w:r>
      <w:r>
        <w:fldChar w:fldCharType="begin"/>
      </w:r>
      <w:r>
        <w:instrText xml:space="preserve"> SEQ 表 \* ARABIC \s 2 </w:instrText>
      </w:r>
      <w:r>
        <w:fldChar w:fldCharType="separate"/>
      </w:r>
      <w:r>
        <w:t>1</w:t>
      </w:r>
      <w:r>
        <w:fldChar w:fldCharType="end"/>
      </w:r>
      <w:r>
        <w:rPr>
          <w:rFonts w:hint="eastAsia"/>
        </w:rPr>
        <w:t>主要危险、有害因素及分布表</w:t>
      </w:r>
    </w:p>
    <w:tbl>
      <w:tblPr>
        <w:tblStyle w:val="29"/>
        <w:tblW w:w="4998"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658"/>
        <w:gridCol w:w="1650"/>
        <w:gridCol w:w="2557"/>
        <w:gridCol w:w="2577"/>
        <w:gridCol w:w="107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386" w:type="pct"/>
            <w:vAlign w:val="center"/>
          </w:tcPr>
          <w:p>
            <w:pPr>
              <w:snapToGrid w:val="0"/>
              <w:spacing w:line="240" w:lineRule="auto"/>
              <w:ind w:firstLine="0" w:firstLineChars="0"/>
              <w:jc w:val="center"/>
              <w:rPr>
                <w:rFonts w:ascii="宋体" w:hAnsi="宋体" w:cs="宋体"/>
                <w:b/>
                <w:sz w:val="21"/>
                <w:szCs w:val="21"/>
              </w:rPr>
            </w:pPr>
            <w:r>
              <w:rPr>
                <w:rFonts w:hint="eastAsia" w:ascii="宋体" w:hAnsi="宋体" w:cs="宋体"/>
                <w:b/>
                <w:sz w:val="21"/>
                <w:szCs w:val="21"/>
              </w:rPr>
              <w:t>序号</w:t>
            </w:r>
          </w:p>
        </w:tc>
        <w:tc>
          <w:tcPr>
            <w:tcW w:w="968" w:type="pct"/>
            <w:vAlign w:val="center"/>
          </w:tcPr>
          <w:p>
            <w:pPr>
              <w:snapToGrid w:val="0"/>
              <w:spacing w:line="240" w:lineRule="auto"/>
              <w:ind w:firstLine="0" w:firstLineChars="0"/>
              <w:jc w:val="center"/>
              <w:rPr>
                <w:rFonts w:ascii="宋体" w:hAnsi="宋体" w:cs="宋体"/>
                <w:b/>
                <w:sz w:val="21"/>
                <w:szCs w:val="21"/>
              </w:rPr>
            </w:pPr>
            <w:r>
              <w:rPr>
                <w:rFonts w:hint="eastAsia" w:ascii="宋体" w:hAnsi="宋体" w:cs="宋体"/>
                <w:b/>
                <w:sz w:val="21"/>
                <w:szCs w:val="21"/>
              </w:rPr>
              <w:t>危险、有害因素</w:t>
            </w:r>
          </w:p>
        </w:tc>
        <w:tc>
          <w:tcPr>
            <w:tcW w:w="1500" w:type="pct"/>
            <w:vAlign w:val="center"/>
          </w:tcPr>
          <w:p>
            <w:pPr>
              <w:snapToGrid w:val="0"/>
              <w:spacing w:line="240" w:lineRule="auto"/>
              <w:ind w:firstLine="0" w:firstLineChars="0"/>
              <w:jc w:val="center"/>
              <w:rPr>
                <w:rFonts w:ascii="宋体" w:hAnsi="宋体" w:cs="宋体"/>
                <w:b/>
                <w:sz w:val="21"/>
                <w:szCs w:val="21"/>
              </w:rPr>
            </w:pPr>
            <w:r>
              <w:rPr>
                <w:rFonts w:hint="eastAsia" w:ascii="宋体" w:hAnsi="宋体" w:cs="宋体"/>
                <w:b/>
                <w:sz w:val="21"/>
                <w:szCs w:val="21"/>
              </w:rPr>
              <w:t>造成后果</w:t>
            </w:r>
          </w:p>
        </w:tc>
        <w:tc>
          <w:tcPr>
            <w:tcW w:w="1512" w:type="pct"/>
            <w:vAlign w:val="center"/>
          </w:tcPr>
          <w:p>
            <w:pPr>
              <w:snapToGrid w:val="0"/>
              <w:spacing w:line="240" w:lineRule="auto"/>
              <w:ind w:firstLine="0" w:firstLineChars="0"/>
              <w:jc w:val="center"/>
              <w:rPr>
                <w:rFonts w:ascii="宋体" w:hAnsi="宋体" w:cs="宋体"/>
                <w:b/>
                <w:sz w:val="21"/>
                <w:szCs w:val="21"/>
              </w:rPr>
            </w:pPr>
            <w:r>
              <w:rPr>
                <w:rFonts w:hint="eastAsia" w:ascii="宋体" w:hAnsi="宋体" w:cs="宋体"/>
                <w:b/>
                <w:sz w:val="21"/>
                <w:szCs w:val="21"/>
              </w:rPr>
              <w:t>主要作业场所</w:t>
            </w:r>
          </w:p>
        </w:tc>
        <w:tc>
          <w:tcPr>
            <w:tcW w:w="632" w:type="pct"/>
            <w:vAlign w:val="center"/>
          </w:tcPr>
          <w:p>
            <w:pPr>
              <w:widowControl/>
              <w:snapToGrid w:val="0"/>
              <w:spacing w:line="240" w:lineRule="auto"/>
              <w:ind w:firstLine="0" w:firstLineChars="0"/>
              <w:jc w:val="center"/>
              <w:rPr>
                <w:rFonts w:ascii="宋体" w:hAnsi="宋体" w:cs="宋体"/>
                <w:b/>
                <w:sz w:val="21"/>
                <w:szCs w:val="21"/>
              </w:rPr>
            </w:pPr>
            <w:r>
              <w:rPr>
                <w:rFonts w:hint="eastAsia" w:ascii="宋体" w:hAnsi="宋体" w:cs="宋体"/>
                <w:b/>
                <w:sz w:val="21"/>
                <w:szCs w:val="21"/>
              </w:rPr>
              <w:t>危险程度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6" w:type="pct"/>
            <w:vAlign w:val="center"/>
          </w:tcPr>
          <w:p>
            <w:pPr>
              <w:numPr>
                <w:ilvl w:val="0"/>
                <w:numId w:val="100"/>
              </w:numPr>
              <w:spacing w:line="240" w:lineRule="auto"/>
              <w:ind w:firstLineChars="0"/>
              <w:jc w:val="center"/>
              <w:rPr>
                <w:rFonts w:ascii="宋体" w:hAnsi="宋体" w:cs="宋体"/>
                <w:sz w:val="21"/>
                <w:szCs w:val="21"/>
              </w:rPr>
            </w:pPr>
          </w:p>
        </w:tc>
        <w:tc>
          <w:tcPr>
            <w:tcW w:w="968" w:type="pct"/>
            <w:vAlign w:val="center"/>
          </w:tcPr>
          <w:p>
            <w:pPr>
              <w:widowControl/>
              <w:spacing w:line="240" w:lineRule="auto"/>
              <w:ind w:firstLine="0" w:firstLineChars="0"/>
              <w:jc w:val="center"/>
              <w:rPr>
                <w:rFonts w:ascii="宋体" w:hAnsi="宋体" w:cs="宋体"/>
                <w:sz w:val="21"/>
                <w:szCs w:val="21"/>
              </w:rPr>
            </w:pPr>
            <w:r>
              <w:rPr>
                <w:rFonts w:hint="eastAsia" w:ascii="宋体" w:hAnsi="宋体" w:cs="宋体"/>
                <w:sz w:val="21"/>
                <w:szCs w:val="21"/>
              </w:rPr>
              <w:t>灼烫伤害</w:t>
            </w:r>
          </w:p>
        </w:tc>
        <w:tc>
          <w:tcPr>
            <w:tcW w:w="1500"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人员伤亡</w:t>
            </w:r>
          </w:p>
        </w:tc>
        <w:tc>
          <w:tcPr>
            <w:tcW w:w="1512" w:type="pct"/>
            <w:vAlign w:val="center"/>
          </w:tcPr>
          <w:p>
            <w:pPr>
              <w:widowControl/>
              <w:spacing w:line="240" w:lineRule="auto"/>
              <w:ind w:firstLine="0" w:firstLineChars="0"/>
              <w:jc w:val="center"/>
              <w:rPr>
                <w:rFonts w:ascii="宋体" w:hAnsi="宋体" w:cs="宋体"/>
                <w:sz w:val="21"/>
                <w:szCs w:val="21"/>
              </w:rPr>
            </w:pPr>
            <w:r>
              <w:rPr>
                <w:rFonts w:hint="eastAsia" w:ascii="宋体" w:hAnsi="宋体" w:cs="宋体"/>
                <w:sz w:val="21"/>
                <w:szCs w:val="21"/>
              </w:rPr>
              <w:t>铸造区域、熔炼区域</w:t>
            </w:r>
          </w:p>
        </w:tc>
        <w:tc>
          <w:tcPr>
            <w:tcW w:w="632" w:type="pct"/>
            <w:vMerge w:val="restart"/>
            <w:vAlign w:val="center"/>
          </w:tcPr>
          <w:p>
            <w:pPr>
              <w:widowControl/>
              <w:snapToGrid w:val="0"/>
              <w:spacing w:line="240" w:lineRule="auto"/>
              <w:ind w:firstLine="0" w:firstLineChars="0"/>
              <w:jc w:val="center"/>
              <w:rPr>
                <w:rFonts w:ascii="宋体" w:hAnsi="宋体" w:cs="宋体"/>
                <w:sz w:val="21"/>
                <w:szCs w:val="21"/>
              </w:rPr>
            </w:pPr>
            <w:r>
              <w:rPr>
                <w:rFonts w:hint="eastAsia" w:ascii="宋体" w:hAnsi="宋体" w:cs="宋体"/>
                <w:sz w:val="21"/>
                <w:szCs w:val="21"/>
              </w:rPr>
              <w:t>主要危险有害因素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6" w:type="pct"/>
            <w:vAlign w:val="center"/>
          </w:tcPr>
          <w:p>
            <w:pPr>
              <w:numPr>
                <w:ilvl w:val="0"/>
                <w:numId w:val="100"/>
              </w:numPr>
              <w:spacing w:line="240" w:lineRule="auto"/>
              <w:ind w:firstLineChars="0"/>
              <w:jc w:val="center"/>
              <w:rPr>
                <w:rFonts w:ascii="宋体" w:hAnsi="宋体" w:cs="宋体"/>
                <w:sz w:val="21"/>
                <w:szCs w:val="21"/>
              </w:rPr>
            </w:pPr>
          </w:p>
        </w:tc>
        <w:tc>
          <w:tcPr>
            <w:tcW w:w="968" w:type="pct"/>
            <w:vAlign w:val="center"/>
          </w:tcPr>
          <w:p>
            <w:pPr>
              <w:widowControl/>
              <w:spacing w:line="240" w:lineRule="auto"/>
              <w:ind w:firstLine="0" w:firstLineChars="0"/>
              <w:jc w:val="center"/>
              <w:rPr>
                <w:rFonts w:ascii="宋体" w:hAnsi="宋体" w:cs="宋体"/>
                <w:sz w:val="21"/>
                <w:szCs w:val="21"/>
              </w:rPr>
            </w:pPr>
            <w:r>
              <w:rPr>
                <w:rFonts w:hint="eastAsia" w:ascii="宋体" w:hAnsi="宋体" w:cs="宋体"/>
                <w:sz w:val="21"/>
                <w:szCs w:val="21"/>
              </w:rPr>
              <w:t>其他爆炸</w:t>
            </w:r>
          </w:p>
        </w:tc>
        <w:tc>
          <w:tcPr>
            <w:tcW w:w="1500"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人员伤亡、设备管道损坏、财产损失</w:t>
            </w:r>
          </w:p>
        </w:tc>
        <w:tc>
          <w:tcPr>
            <w:tcW w:w="1512" w:type="pct"/>
            <w:vAlign w:val="center"/>
          </w:tcPr>
          <w:p>
            <w:pPr>
              <w:widowControl/>
              <w:snapToGrid w:val="0"/>
              <w:spacing w:line="240" w:lineRule="auto"/>
              <w:ind w:firstLine="0" w:firstLineChars="0"/>
              <w:jc w:val="center"/>
              <w:rPr>
                <w:rFonts w:ascii="宋体" w:hAnsi="宋体" w:cs="宋体"/>
                <w:sz w:val="21"/>
                <w:szCs w:val="21"/>
              </w:rPr>
            </w:pPr>
            <w:r>
              <w:rPr>
                <w:rFonts w:hint="eastAsia" w:ascii="宋体" w:hAnsi="宋体" w:cs="宋体"/>
                <w:sz w:val="21"/>
                <w:szCs w:val="21"/>
              </w:rPr>
              <w:t>铸造区、喷涂作业区、空压机</w:t>
            </w:r>
          </w:p>
        </w:tc>
        <w:tc>
          <w:tcPr>
            <w:tcW w:w="632" w:type="pct"/>
            <w:vMerge w:val="continue"/>
            <w:vAlign w:val="center"/>
          </w:tcPr>
          <w:p>
            <w:pPr>
              <w:widowControl/>
              <w:snapToGrid w:val="0"/>
              <w:spacing w:line="240" w:lineRule="auto"/>
              <w:ind w:firstLine="0" w:firstLineChars="0"/>
              <w:jc w:val="center"/>
              <w:rPr>
                <w:rFonts w:ascii="宋体" w:hAnsi="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6" w:type="pct"/>
            <w:vAlign w:val="center"/>
          </w:tcPr>
          <w:p>
            <w:pPr>
              <w:numPr>
                <w:ilvl w:val="0"/>
                <w:numId w:val="100"/>
              </w:numPr>
              <w:spacing w:line="240" w:lineRule="auto"/>
              <w:ind w:firstLineChars="0"/>
              <w:jc w:val="center"/>
              <w:rPr>
                <w:rFonts w:ascii="宋体" w:hAnsi="宋体" w:cs="宋体"/>
                <w:sz w:val="21"/>
                <w:szCs w:val="21"/>
              </w:rPr>
            </w:pPr>
          </w:p>
        </w:tc>
        <w:tc>
          <w:tcPr>
            <w:tcW w:w="968" w:type="pct"/>
            <w:vAlign w:val="center"/>
          </w:tcPr>
          <w:p>
            <w:pPr>
              <w:widowControl/>
              <w:spacing w:line="240" w:lineRule="auto"/>
              <w:ind w:firstLine="0" w:firstLineChars="0"/>
              <w:jc w:val="center"/>
              <w:rPr>
                <w:rFonts w:ascii="宋体" w:hAnsi="宋体" w:cs="宋体"/>
                <w:sz w:val="21"/>
                <w:szCs w:val="21"/>
              </w:rPr>
            </w:pPr>
            <w:r>
              <w:rPr>
                <w:rFonts w:hint="eastAsia" w:ascii="宋体" w:hAnsi="宋体" w:cs="宋体"/>
                <w:sz w:val="21"/>
                <w:szCs w:val="21"/>
              </w:rPr>
              <w:t>机械伤害</w:t>
            </w:r>
          </w:p>
        </w:tc>
        <w:tc>
          <w:tcPr>
            <w:tcW w:w="1500" w:type="pct"/>
            <w:vAlign w:val="center"/>
          </w:tcPr>
          <w:p>
            <w:pPr>
              <w:snapToGrid w:val="0"/>
              <w:spacing w:line="240" w:lineRule="auto"/>
              <w:ind w:firstLine="0" w:firstLineChars="0"/>
              <w:jc w:val="center"/>
              <w:rPr>
                <w:rFonts w:ascii="宋体" w:hAnsi="宋体" w:cs="宋体"/>
                <w:sz w:val="21"/>
                <w:szCs w:val="21"/>
              </w:rPr>
            </w:pPr>
            <w:r>
              <w:rPr>
                <w:rFonts w:hint="eastAsia" w:ascii="宋体" w:hAnsi="宋体" w:cs="宋体"/>
                <w:sz w:val="21"/>
                <w:szCs w:val="21"/>
              </w:rPr>
              <w:t>人员伤亡</w:t>
            </w:r>
          </w:p>
        </w:tc>
        <w:tc>
          <w:tcPr>
            <w:tcW w:w="1512" w:type="pct"/>
            <w:vAlign w:val="center"/>
          </w:tcPr>
          <w:p>
            <w:pPr>
              <w:snapToGrid w:val="0"/>
              <w:spacing w:line="240" w:lineRule="auto"/>
              <w:ind w:firstLine="0" w:firstLineChars="0"/>
              <w:jc w:val="center"/>
              <w:rPr>
                <w:rFonts w:ascii="宋体" w:hAnsi="宋体" w:cs="宋体"/>
                <w:sz w:val="21"/>
                <w:szCs w:val="21"/>
              </w:rPr>
            </w:pPr>
            <w:r>
              <w:rPr>
                <w:rFonts w:hint="eastAsia" w:ascii="宋体" w:hAnsi="宋体" w:cs="宋体"/>
                <w:sz w:val="21"/>
                <w:szCs w:val="21"/>
              </w:rPr>
              <w:t>各类机床、风机、水泵等转动、传动设备所在场所</w:t>
            </w:r>
          </w:p>
        </w:tc>
        <w:tc>
          <w:tcPr>
            <w:tcW w:w="632" w:type="pct"/>
            <w:vMerge w:val="continue"/>
            <w:vAlign w:val="center"/>
          </w:tcPr>
          <w:p>
            <w:pPr>
              <w:widowControl/>
              <w:snapToGrid w:val="0"/>
              <w:spacing w:line="240" w:lineRule="auto"/>
              <w:ind w:firstLine="0" w:firstLineChars="0"/>
              <w:jc w:val="center"/>
              <w:rPr>
                <w:rFonts w:ascii="宋体" w:hAnsi="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6" w:type="pct"/>
            <w:vAlign w:val="center"/>
          </w:tcPr>
          <w:p>
            <w:pPr>
              <w:numPr>
                <w:ilvl w:val="0"/>
                <w:numId w:val="100"/>
              </w:numPr>
              <w:spacing w:line="240" w:lineRule="auto"/>
              <w:ind w:firstLineChars="0"/>
              <w:jc w:val="center"/>
              <w:rPr>
                <w:rFonts w:ascii="宋体" w:hAnsi="宋体" w:cs="宋体"/>
                <w:sz w:val="21"/>
                <w:szCs w:val="21"/>
              </w:rPr>
            </w:pPr>
          </w:p>
        </w:tc>
        <w:tc>
          <w:tcPr>
            <w:tcW w:w="968" w:type="pct"/>
            <w:vAlign w:val="center"/>
          </w:tcPr>
          <w:p>
            <w:pPr>
              <w:widowControl/>
              <w:spacing w:line="240" w:lineRule="auto"/>
              <w:ind w:firstLine="0" w:firstLineChars="0"/>
              <w:jc w:val="center"/>
              <w:rPr>
                <w:rFonts w:ascii="宋体" w:hAnsi="宋体" w:cs="宋体"/>
                <w:sz w:val="21"/>
                <w:szCs w:val="21"/>
              </w:rPr>
            </w:pPr>
            <w:r>
              <w:rPr>
                <w:rFonts w:hint="eastAsia" w:ascii="宋体" w:hAnsi="宋体" w:cs="宋体"/>
                <w:sz w:val="21"/>
                <w:szCs w:val="21"/>
              </w:rPr>
              <w:t>火灾</w:t>
            </w:r>
          </w:p>
        </w:tc>
        <w:tc>
          <w:tcPr>
            <w:tcW w:w="1500"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人员伤亡、设备损坏、财产损失</w:t>
            </w:r>
          </w:p>
        </w:tc>
        <w:tc>
          <w:tcPr>
            <w:tcW w:w="1512" w:type="pct"/>
            <w:vAlign w:val="center"/>
          </w:tcPr>
          <w:p>
            <w:pPr>
              <w:widowControl/>
              <w:snapToGrid w:val="0"/>
              <w:spacing w:line="240" w:lineRule="auto"/>
              <w:ind w:firstLine="0" w:firstLineChars="0"/>
              <w:jc w:val="center"/>
              <w:rPr>
                <w:rFonts w:ascii="宋体" w:hAnsi="宋体" w:cs="宋体"/>
                <w:sz w:val="21"/>
                <w:szCs w:val="21"/>
              </w:rPr>
            </w:pPr>
            <w:r>
              <w:rPr>
                <w:rFonts w:hint="eastAsia" w:ascii="宋体" w:hAnsi="宋体" w:cs="宋体"/>
                <w:sz w:val="21"/>
                <w:szCs w:val="21"/>
              </w:rPr>
              <w:t>生产厂房、仓库</w:t>
            </w:r>
          </w:p>
        </w:tc>
        <w:tc>
          <w:tcPr>
            <w:tcW w:w="632" w:type="pct"/>
            <w:vMerge w:val="continue"/>
            <w:vAlign w:val="center"/>
          </w:tcPr>
          <w:p>
            <w:pPr>
              <w:widowControl/>
              <w:snapToGrid w:val="0"/>
              <w:spacing w:line="240" w:lineRule="auto"/>
              <w:ind w:firstLine="0" w:firstLineChars="0"/>
              <w:jc w:val="center"/>
              <w:rPr>
                <w:rFonts w:ascii="宋体" w:hAnsi="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6" w:type="pct"/>
            <w:vAlign w:val="center"/>
          </w:tcPr>
          <w:p>
            <w:pPr>
              <w:numPr>
                <w:ilvl w:val="0"/>
                <w:numId w:val="100"/>
              </w:numPr>
              <w:spacing w:line="240" w:lineRule="auto"/>
              <w:ind w:firstLineChars="0"/>
              <w:jc w:val="center"/>
              <w:rPr>
                <w:rFonts w:ascii="宋体" w:hAnsi="宋体" w:cs="宋体"/>
                <w:sz w:val="21"/>
                <w:szCs w:val="21"/>
              </w:rPr>
            </w:pPr>
          </w:p>
        </w:tc>
        <w:tc>
          <w:tcPr>
            <w:tcW w:w="968" w:type="pct"/>
            <w:vAlign w:val="center"/>
          </w:tcPr>
          <w:p>
            <w:pPr>
              <w:widowControl/>
              <w:spacing w:line="240" w:lineRule="auto"/>
              <w:ind w:firstLine="0" w:firstLineChars="0"/>
              <w:jc w:val="center"/>
              <w:rPr>
                <w:rFonts w:ascii="宋体" w:hAnsi="宋体" w:cs="宋体"/>
                <w:sz w:val="21"/>
                <w:szCs w:val="21"/>
              </w:rPr>
            </w:pPr>
            <w:r>
              <w:rPr>
                <w:rFonts w:hint="eastAsia" w:ascii="宋体" w:hAnsi="宋体" w:cs="宋体"/>
                <w:sz w:val="21"/>
                <w:szCs w:val="21"/>
              </w:rPr>
              <w:t>起重伤害</w:t>
            </w:r>
          </w:p>
        </w:tc>
        <w:tc>
          <w:tcPr>
            <w:tcW w:w="1500" w:type="pct"/>
            <w:vAlign w:val="center"/>
          </w:tcPr>
          <w:p>
            <w:pPr>
              <w:snapToGrid w:val="0"/>
              <w:spacing w:line="240" w:lineRule="auto"/>
              <w:ind w:firstLine="0" w:firstLineChars="0"/>
              <w:jc w:val="center"/>
              <w:rPr>
                <w:rFonts w:ascii="宋体" w:hAnsi="宋体" w:cs="宋体"/>
                <w:sz w:val="21"/>
                <w:szCs w:val="21"/>
              </w:rPr>
            </w:pPr>
            <w:r>
              <w:rPr>
                <w:rFonts w:hint="eastAsia" w:ascii="宋体" w:hAnsi="宋体" w:cs="宋体"/>
                <w:sz w:val="21"/>
                <w:szCs w:val="21"/>
              </w:rPr>
              <w:t>人员伤亡、</w:t>
            </w:r>
          </w:p>
        </w:tc>
        <w:tc>
          <w:tcPr>
            <w:tcW w:w="1512" w:type="pct"/>
            <w:vAlign w:val="center"/>
          </w:tcPr>
          <w:p>
            <w:pPr>
              <w:widowControl/>
              <w:spacing w:line="240" w:lineRule="auto"/>
              <w:ind w:firstLine="0" w:firstLineChars="0"/>
              <w:jc w:val="center"/>
              <w:rPr>
                <w:rFonts w:ascii="宋体" w:hAnsi="宋体" w:cs="宋体"/>
                <w:sz w:val="21"/>
                <w:szCs w:val="21"/>
              </w:rPr>
            </w:pPr>
            <w:r>
              <w:rPr>
                <w:rFonts w:hint="eastAsia" w:ascii="宋体" w:hAnsi="宋体" w:cs="宋体"/>
                <w:sz w:val="21"/>
                <w:szCs w:val="21"/>
              </w:rPr>
              <w:t>铸造车间</w:t>
            </w:r>
          </w:p>
        </w:tc>
        <w:tc>
          <w:tcPr>
            <w:tcW w:w="632" w:type="pct"/>
            <w:vMerge w:val="continue"/>
            <w:vAlign w:val="center"/>
          </w:tcPr>
          <w:p>
            <w:pPr>
              <w:widowControl/>
              <w:snapToGrid w:val="0"/>
              <w:spacing w:line="240" w:lineRule="auto"/>
              <w:ind w:firstLine="0" w:firstLineChars="0"/>
              <w:jc w:val="center"/>
              <w:rPr>
                <w:rFonts w:ascii="宋体" w:hAnsi="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6" w:type="pct"/>
            <w:vAlign w:val="center"/>
          </w:tcPr>
          <w:p>
            <w:pPr>
              <w:numPr>
                <w:ilvl w:val="0"/>
                <w:numId w:val="100"/>
              </w:numPr>
              <w:snapToGrid w:val="0"/>
              <w:spacing w:line="240" w:lineRule="auto"/>
              <w:ind w:firstLineChars="0"/>
              <w:jc w:val="center"/>
              <w:rPr>
                <w:rFonts w:ascii="宋体" w:hAnsi="宋体" w:cs="宋体"/>
                <w:sz w:val="21"/>
                <w:szCs w:val="21"/>
              </w:rPr>
            </w:pPr>
          </w:p>
        </w:tc>
        <w:tc>
          <w:tcPr>
            <w:tcW w:w="968" w:type="pct"/>
            <w:vAlign w:val="center"/>
          </w:tcPr>
          <w:p>
            <w:pPr>
              <w:widowControl/>
              <w:spacing w:line="240" w:lineRule="auto"/>
              <w:ind w:firstLine="0" w:firstLineChars="0"/>
              <w:jc w:val="center"/>
              <w:rPr>
                <w:rFonts w:ascii="宋体" w:hAnsi="宋体" w:cs="宋体"/>
                <w:sz w:val="21"/>
                <w:szCs w:val="21"/>
              </w:rPr>
            </w:pPr>
            <w:r>
              <w:rPr>
                <w:rFonts w:hint="eastAsia" w:ascii="宋体" w:hAnsi="宋体" w:cs="宋体"/>
                <w:sz w:val="21"/>
                <w:szCs w:val="21"/>
              </w:rPr>
              <w:t>车辆伤害</w:t>
            </w:r>
          </w:p>
        </w:tc>
        <w:tc>
          <w:tcPr>
            <w:tcW w:w="1500" w:type="pct"/>
            <w:vAlign w:val="center"/>
          </w:tcPr>
          <w:p>
            <w:pPr>
              <w:snapToGrid w:val="0"/>
              <w:spacing w:line="240" w:lineRule="auto"/>
              <w:ind w:firstLine="0" w:firstLineChars="0"/>
              <w:jc w:val="center"/>
              <w:rPr>
                <w:rFonts w:ascii="宋体" w:hAnsi="宋体" w:cs="宋体"/>
                <w:sz w:val="21"/>
                <w:szCs w:val="21"/>
              </w:rPr>
            </w:pPr>
            <w:r>
              <w:rPr>
                <w:rFonts w:hint="eastAsia" w:ascii="宋体" w:hAnsi="宋体" w:cs="宋体"/>
                <w:sz w:val="21"/>
                <w:szCs w:val="21"/>
              </w:rPr>
              <w:t>人员伤亡、设备损坏</w:t>
            </w:r>
          </w:p>
        </w:tc>
        <w:tc>
          <w:tcPr>
            <w:tcW w:w="1512" w:type="pct"/>
            <w:vAlign w:val="center"/>
          </w:tcPr>
          <w:p>
            <w:pPr>
              <w:snapToGrid w:val="0"/>
              <w:spacing w:line="240" w:lineRule="auto"/>
              <w:ind w:firstLine="0" w:firstLineChars="0"/>
              <w:jc w:val="center"/>
              <w:rPr>
                <w:rFonts w:ascii="宋体" w:hAnsi="宋体" w:cs="宋体"/>
                <w:sz w:val="21"/>
                <w:szCs w:val="21"/>
              </w:rPr>
            </w:pPr>
            <w:r>
              <w:rPr>
                <w:rFonts w:hint="eastAsia" w:ascii="宋体" w:hAnsi="宋体" w:cs="宋体"/>
                <w:sz w:val="21"/>
                <w:szCs w:val="21"/>
              </w:rPr>
              <w:t>铸造车间</w:t>
            </w:r>
          </w:p>
        </w:tc>
        <w:tc>
          <w:tcPr>
            <w:tcW w:w="632" w:type="pct"/>
            <w:vMerge w:val="continue"/>
            <w:vAlign w:val="center"/>
          </w:tcPr>
          <w:p>
            <w:pPr>
              <w:widowControl/>
              <w:snapToGrid w:val="0"/>
              <w:spacing w:line="240" w:lineRule="auto"/>
              <w:ind w:firstLine="0" w:firstLineChars="0"/>
              <w:jc w:val="center"/>
              <w:rPr>
                <w:rFonts w:ascii="宋体" w:hAnsi="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6" w:type="pct"/>
            <w:vAlign w:val="center"/>
          </w:tcPr>
          <w:p>
            <w:pPr>
              <w:numPr>
                <w:ilvl w:val="0"/>
                <w:numId w:val="100"/>
              </w:numPr>
              <w:snapToGrid w:val="0"/>
              <w:spacing w:line="240" w:lineRule="auto"/>
              <w:ind w:firstLineChars="0"/>
              <w:jc w:val="center"/>
              <w:rPr>
                <w:rFonts w:ascii="宋体" w:hAnsi="宋体" w:cs="宋体"/>
                <w:sz w:val="21"/>
                <w:szCs w:val="21"/>
              </w:rPr>
            </w:pPr>
          </w:p>
        </w:tc>
        <w:tc>
          <w:tcPr>
            <w:tcW w:w="968" w:type="pct"/>
            <w:vAlign w:val="center"/>
          </w:tcPr>
          <w:p>
            <w:pPr>
              <w:widowControl/>
              <w:spacing w:line="240" w:lineRule="auto"/>
              <w:ind w:firstLine="0" w:firstLineChars="0"/>
              <w:jc w:val="center"/>
              <w:rPr>
                <w:rFonts w:ascii="宋体" w:hAnsi="宋体" w:cs="宋体"/>
                <w:sz w:val="21"/>
                <w:szCs w:val="21"/>
              </w:rPr>
            </w:pPr>
            <w:r>
              <w:rPr>
                <w:rFonts w:hint="eastAsia" w:ascii="宋体" w:hAnsi="宋体" w:cs="宋体"/>
                <w:sz w:val="21"/>
                <w:szCs w:val="21"/>
              </w:rPr>
              <w:t>触电</w:t>
            </w:r>
          </w:p>
        </w:tc>
        <w:tc>
          <w:tcPr>
            <w:tcW w:w="1500" w:type="pct"/>
            <w:vAlign w:val="center"/>
          </w:tcPr>
          <w:p>
            <w:pPr>
              <w:snapToGrid w:val="0"/>
              <w:spacing w:line="240" w:lineRule="auto"/>
              <w:ind w:firstLine="0" w:firstLineChars="0"/>
              <w:jc w:val="center"/>
              <w:rPr>
                <w:rFonts w:ascii="宋体" w:hAnsi="宋体" w:cs="宋体"/>
                <w:sz w:val="21"/>
                <w:szCs w:val="21"/>
              </w:rPr>
            </w:pPr>
            <w:r>
              <w:rPr>
                <w:rFonts w:hint="eastAsia" w:ascii="宋体" w:hAnsi="宋体" w:cs="宋体"/>
                <w:sz w:val="21"/>
                <w:szCs w:val="21"/>
              </w:rPr>
              <w:t>人员伤亡</w:t>
            </w:r>
          </w:p>
        </w:tc>
        <w:tc>
          <w:tcPr>
            <w:tcW w:w="1512" w:type="pct"/>
            <w:vAlign w:val="center"/>
          </w:tcPr>
          <w:p>
            <w:pPr>
              <w:snapToGrid w:val="0"/>
              <w:spacing w:line="240" w:lineRule="auto"/>
              <w:ind w:firstLine="0" w:firstLineChars="0"/>
              <w:jc w:val="center"/>
              <w:rPr>
                <w:rFonts w:ascii="宋体" w:hAnsi="宋体" w:cs="宋体"/>
                <w:sz w:val="21"/>
                <w:szCs w:val="21"/>
              </w:rPr>
            </w:pPr>
            <w:r>
              <w:rPr>
                <w:rFonts w:hint="eastAsia" w:ascii="宋体" w:hAnsi="宋体" w:cs="宋体"/>
                <w:sz w:val="21"/>
                <w:szCs w:val="21"/>
              </w:rPr>
              <w:t>厂区</w:t>
            </w:r>
          </w:p>
        </w:tc>
        <w:tc>
          <w:tcPr>
            <w:tcW w:w="632" w:type="pct"/>
            <w:vMerge w:val="continue"/>
            <w:vAlign w:val="center"/>
          </w:tcPr>
          <w:p>
            <w:pPr>
              <w:widowControl/>
              <w:snapToGrid w:val="0"/>
              <w:spacing w:line="240" w:lineRule="auto"/>
              <w:ind w:firstLine="0" w:firstLineChars="0"/>
              <w:jc w:val="center"/>
              <w:rPr>
                <w:rFonts w:ascii="宋体" w:hAnsi="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6" w:type="pct"/>
            <w:vAlign w:val="center"/>
          </w:tcPr>
          <w:p>
            <w:pPr>
              <w:numPr>
                <w:ilvl w:val="0"/>
                <w:numId w:val="100"/>
              </w:numPr>
              <w:snapToGrid w:val="0"/>
              <w:spacing w:line="240" w:lineRule="auto"/>
              <w:ind w:firstLineChars="0"/>
              <w:jc w:val="center"/>
              <w:rPr>
                <w:rFonts w:ascii="宋体" w:hAnsi="宋体" w:cs="宋体"/>
                <w:sz w:val="21"/>
                <w:szCs w:val="21"/>
              </w:rPr>
            </w:pPr>
          </w:p>
        </w:tc>
        <w:tc>
          <w:tcPr>
            <w:tcW w:w="968" w:type="pct"/>
            <w:vAlign w:val="center"/>
          </w:tcPr>
          <w:p>
            <w:pPr>
              <w:widowControl/>
              <w:spacing w:line="240" w:lineRule="auto"/>
              <w:ind w:firstLine="0" w:firstLineChars="0"/>
              <w:jc w:val="center"/>
              <w:rPr>
                <w:rFonts w:ascii="宋体" w:hAnsi="宋体" w:cs="宋体"/>
                <w:sz w:val="21"/>
                <w:szCs w:val="21"/>
              </w:rPr>
            </w:pPr>
            <w:r>
              <w:rPr>
                <w:rFonts w:hint="eastAsia" w:ascii="宋体" w:hAnsi="宋体" w:cs="宋体"/>
                <w:sz w:val="21"/>
                <w:szCs w:val="21"/>
              </w:rPr>
              <w:t>中毒窒息</w:t>
            </w:r>
          </w:p>
        </w:tc>
        <w:tc>
          <w:tcPr>
            <w:tcW w:w="1500"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lang w:eastAsia="zh-CN"/>
              </w:rPr>
              <w:t>人员伤亡</w:t>
            </w:r>
          </w:p>
        </w:tc>
        <w:tc>
          <w:tcPr>
            <w:tcW w:w="1512" w:type="pct"/>
            <w:vAlign w:val="center"/>
          </w:tcPr>
          <w:p>
            <w:pPr>
              <w:widowControl/>
              <w:spacing w:line="240" w:lineRule="auto"/>
              <w:ind w:firstLine="0" w:firstLineChars="0"/>
              <w:jc w:val="center"/>
              <w:rPr>
                <w:rFonts w:ascii="宋体" w:hAnsi="宋体" w:cs="宋体"/>
                <w:sz w:val="21"/>
                <w:szCs w:val="21"/>
              </w:rPr>
            </w:pPr>
            <w:r>
              <w:rPr>
                <w:rFonts w:hint="eastAsia" w:ascii="宋体" w:hAnsi="宋体" w:cs="宋体"/>
                <w:sz w:val="21"/>
                <w:szCs w:val="21"/>
              </w:rPr>
              <w:t>喷涂作业区、熔炼区域</w:t>
            </w:r>
          </w:p>
        </w:tc>
        <w:tc>
          <w:tcPr>
            <w:tcW w:w="632" w:type="pct"/>
            <w:vMerge w:val="continue"/>
            <w:vAlign w:val="center"/>
          </w:tcPr>
          <w:p>
            <w:pPr>
              <w:widowControl/>
              <w:snapToGrid w:val="0"/>
              <w:spacing w:line="240" w:lineRule="auto"/>
              <w:ind w:firstLine="0" w:firstLineChars="0"/>
              <w:jc w:val="center"/>
              <w:rPr>
                <w:rFonts w:ascii="宋体" w:hAnsi="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6" w:type="pct"/>
            <w:vAlign w:val="center"/>
          </w:tcPr>
          <w:p>
            <w:pPr>
              <w:numPr>
                <w:ilvl w:val="0"/>
                <w:numId w:val="100"/>
              </w:numPr>
              <w:snapToGrid w:val="0"/>
              <w:spacing w:line="240" w:lineRule="auto"/>
              <w:ind w:firstLineChars="0"/>
              <w:jc w:val="center"/>
              <w:rPr>
                <w:rFonts w:ascii="宋体" w:hAnsi="宋体" w:cs="宋体"/>
                <w:sz w:val="21"/>
                <w:szCs w:val="21"/>
              </w:rPr>
            </w:pPr>
          </w:p>
        </w:tc>
        <w:tc>
          <w:tcPr>
            <w:tcW w:w="968" w:type="pct"/>
            <w:vAlign w:val="center"/>
          </w:tcPr>
          <w:p>
            <w:pPr>
              <w:widowControl/>
              <w:spacing w:line="240" w:lineRule="auto"/>
              <w:ind w:firstLine="0" w:firstLineChars="0"/>
              <w:jc w:val="center"/>
              <w:rPr>
                <w:rFonts w:ascii="宋体" w:hAnsi="宋体" w:cs="宋体"/>
                <w:sz w:val="21"/>
                <w:szCs w:val="21"/>
              </w:rPr>
            </w:pPr>
            <w:r>
              <w:rPr>
                <w:rFonts w:hint="eastAsia" w:ascii="宋体" w:hAnsi="宋体" w:cs="宋体"/>
                <w:sz w:val="21"/>
                <w:szCs w:val="21"/>
              </w:rPr>
              <w:t>有限空间</w:t>
            </w:r>
          </w:p>
        </w:tc>
        <w:tc>
          <w:tcPr>
            <w:tcW w:w="1500" w:type="pct"/>
            <w:vAlign w:val="center"/>
          </w:tcPr>
          <w:p>
            <w:pPr>
              <w:snapToGrid w:val="0"/>
              <w:spacing w:line="240" w:lineRule="auto"/>
              <w:ind w:firstLine="0" w:firstLineChars="0"/>
              <w:jc w:val="center"/>
              <w:rPr>
                <w:rFonts w:ascii="宋体" w:hAnsi="宋体" w:cs="宋体"/>
                <w:sz w:val="21"/>
                <w:szCs w:val="21"/>
              </w:rPr>
            </w:pPr>
            <w:r>
              <w:rPr>
                <w:rFonts w:hint="eastAsia" w:ascii="宋体" w:hAnsi="宋体" w:cs="宋体"/>
                <w:sz w:val="21"/>
                <w:szCs w:val="21"/>
              </w:rPr>
              <w:t>人员伤亡</w:t>
            </w:r>
          </w:p>
        </w:tc>
        <w:tc>
          <w:tcPr>
            <w:tcW w:w="1512" w:type="pct"/>
            <w:vAlign w:val="center"/>
          </w:tcPr>
          <w:p>
            <w:pPr>
              <w:snapToGrid w:val="0"/>
              <w:spacing w:line="240" w:lineRule="auto"/>
              <w:ind w:firstLine="0" w:firstLineChars="0"/>
              <w:jc w:val="center"/>
              <w:rPr>
                <w:rFonts w:ascii="宋体" w:hAnsi="宋体" w:cs="宋体"/>
                <w:sz w:val="21"/>
                <w:szCs w:val="21"/>
              </w:rPr>
            </w:pPr>
            <w:r>
              <w:rPr>
                <w:rFonts w:hint="eastAsia" w:ascii="宋体" w:hAnsi="宋体" w:cs="宋体"/>
                <w:sz w:val="21"/>
                <w:szCs w:val="21"/>
              </w:rPr>
              <w:t>抛丸机、除尘器</w:t>
            </w:r>
          </w:p>
        </w:tc>
        <w:tc>
          <w:tcPr>
            <w:tcW w:w="632" w:type="pct"/>
            <w:vMerge w:val="continue"/>
            <w:vAlign w:val="center"/>
          </w:tcPr>
          <w:p>
            <w:pPr>
              <w:widowControl/>
              <w:snapToGrid w:val="0"/>
              <w:spacing w:line="240" w:lineRule="auto"/>
              <w:ind w:firstLine="0" w:firstLineChars="0"/>
              <w:jc w:val="center"/>
              <w:rPr>
                <w:rFonts w:ascii="宋体" w:hAnsi="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6" w:type="pct"/>
            <w:vAlign w:val="center"/>
          </w:tcPr>
          <w:p>
            <w:pPr>
              <w:numPr>
                <w:ilvl w:val="0"/>
                <w:numId w:val="100"/>
              </w:numPr>
              <w:spacing w:line="240" w:lineRule="auto"/>
              <w:ind w:firstLineChars="0"/>
              <w:jc w:val="center"/>
              <w:rPr>
                <w:rFonts w:ascii="宋体" w:hAnsi="宋体" w:cs="宋体"/>
                <w:sz w:val="21"/>
                <w:szCs w:val="21"/>
              </w:rPr>
            </w:pPr>
          </w:p>
        </w:tc>
        <w:tc>
          <w:tcPr>
            <w:tcW w:w="968" w:type="pct"/>
            <w:vAlign w:val="center"/>
          </w:tcPr>
          <w:p>
            <w:pPr>
              <w:widowControl/>
              <w:spacing w:line="240" w:lineRule="auto"/>
              <w:ind w:firstLine="0" w:firstLineChars="0"/>
              <w:jc w:val="center"/>
              <w:rPr>
                <w:rFonts w:ascii="宋体" w:hAnsi="宋体" w:cs="宋体"/>
                <w:sz w:val="21"/>
                <w:szCs w:val="21"/>
              </w:rPr>
            </w:pPr>
            <w:r>
              <w:rPr>
                <w:rFonts w:hint="eastAsia" w:ascii="宋体" w:hAnsi="宋体" w:cs="宋体"/>
                <w:sz w:val="21"/>
                <w:szCs w:val="21"/>
              </w:rPr>
              <w:t>容器爆炸</w:t>
            </w:r>
          </w:p>
        </w:tc>
        <w:tc>
          <w:tcPr>
            <w:tcW w:w="1500"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人员伤亡、设备损坏、财产损失</w:t>
            </w:r>
          </w:p>
        </w:tc>
        <w:tc>
          <w:tcPr>
            <w:tcW w:w="1512"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铸造车间、空压机房</w:t>
            </w:r>
          </w:p>
        </w:tc>
        <w:tc>
          <w:tcPr>
            <w:tcW w:w="632" w:type="pct"/>
            <w:vMerge w:val="restart"/>
            <w:vAlign w:val="center"/>
          </w:tcPr>
          <w:p>
            <w:pPr>
              <w:snapToGrid w:val="0"/>
              <w:spacing w:line="240" w:lineRule="auto"/>
              <w:ind w:firstLine="0" w:firstLineChars="0"/>
              <w:jc w:val="center"/>
              <w:rPr>
                <w:rFonts w:ascii="宋体" w:hAnsi="宋体" w:cs="宋体"/>
                <w:sz w:val="21"/>
                <w:szCs w:val="21"/>
              </w:rPr>
            </w:pPr>
            <w:r>
              <w:rPr>
                <w:rFonts w:hint="eastAsia" w:ascii="宋体" w:hAnsi="宋体" w:cs="宋体"/>
                <w:sz w:val="21"/>
                <w:szCs w:val="21"/>
              </w:rPr>
              <w:t>次要危险有害因素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6" w:type="pct"/>
            <w:vAlign w:val="center"/>
          </w:tcPr>
          <w:p>
            <w:pPr>
              <w:numPr>
                <w:ilvl w:val="0"/>
                <w:numId w:val="100"/>
              </w:numPr>
              <w:spacing w:line="240" w:lineRule="auto"/>
              <w:ind w:firstLineChars="0"/>
              <w:jc w:val="center"/>
              <w:rPr>
                <w:rFonts w:ascii="宋体" w:hAnsi="宋体" w:cs="宋体"/>
                <w:sz w:val="21"/>
                <w:szCs w:val="21"/>
              </w:rPr>
            </w:pPr>
          </w:p>
        </w:tc>
        <w:tc>
          <w:tcPr>
            <w:tcW w:w="968" w:type="pct"/>
            <w:vAlign w:val="center"/>
          </w:tcPr>
          <w:p>
            <w:pPr>
              <w:widowControl/>
              <w:spacing w:line="240" w:lineRule="auto"/>
              <w:ind w:firstLine="0" w:firstLineChars="0"/>
              <w:jc w:val="center"/>
              <w:rPr>
                <w:rFonts w:ascii="宋体" w:hAnsi="宋体" w:cs="宋体"/>
                <w:sz w:val="21"/>
                <w:szCs w:val="21"/>
              </w:rPr>
            </w:pPr>
            <w:r>
              <w:rPr>
                <w:rFonts w:hint="eastAsia" w:ascii="宋体" w:hAnsi="宋体" w:cs="宋体"/>
                <w:sz w:val="21"/>
                <w:szCs w:val="21"/>
              </w:rPr>
              <w:t>物体打击</w:t>
            </w:r>
          </w:p>
        </w:tc>
        <w:tc>
          <w:tcPr>
            <w:tcW w:w="1500" w:type="pct"/>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人员伤亡</w:t>
            </w:r>
          </w:p>
        </w:tc>
        <w:tc>
          <w:tcPr>
            <w:tcW w:w="1512" w:type="pct"/>
            <w:vAlign w:val="center"/>
          </w:tcPr>
          <w:p>
            <w:pPr>
              <w:widowControl/>
              <w:spacing w:line="240" w:lineRule="auto"/>
              <w:ind w:firstLine="0" w:firstLineChars="0"/>
              <w:jc w:val="center"/>
              <w:rPr>
                <w:rFonts w:ascii="宋体" w:hAnsi="宋体" w:cs="宋体"/>
                <w:sz w:val="21"/>
                <w:szCs w:val="21"/>
              </w:rPr>
            </w:pPr>
            <w:r>
              <w:rPr>
                <w:rFonts w:hint="eastAsia" w:ascii="宋体" w:hAnsi="宋体" w:cs="宋体"/>
                <w:sz w:val="21"/>
                <w:szCs w:val="21"/>
              </w:rPr>
              <w:t>机加工车间</w:t>
            </w:r>
          </w:p>
        </w:tc>
        <w:tc>
          <w:tcPr>
            <w:tcW w:w="632" w:type="pct"/>
            <w:vMerge w:val="continue"/>
            <w:vAlign w:val="center"/>
          </w:tcPr>
          <w:p>
            <w:pPr>
              <w:snapToGrid w:val="0"/>
              <w:spacing w:line="240" w:lineRule="auto"/>
              <w:ind w:firstLine="0" w:firstLineChars="0"/>
              <w:jc w:val="center"/>
              <w:rPr>
                <w:rFonts w:ascii="宋体" w:hAnsi="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6" w:type="pct"/>
            <w:vAlign w:val="center"/>
          </w:tcPr>
          <w:p>
            <w:pPr>
              <w:numPr>
                <w:ilvl w:val="0"/>
                <w:numId w:val="100"/>
              </w:numPr>
              <w:snapToGrid w:val="0"/>
              <w:spacing w:line="240" w:lineRule="auto"/>
              <w:ind w:firstLineChars="0"/>
              <w:jc w:val="center"/>
              <w:rPr>
                <w:rFonts w:ascii="宋体" w:hAnsi="宋体" w:cs="宋体"/>
                <w:sz w:val="21"/>
                <w:szCs w:val="21"/>
              </w:rPr>
            </w:pPr>
          </w:p>
        </w:tc>
        <w:tc>
          <w:tcPr>
            <w:tcW w:w="968" w:type="pct"/>
            <w:vAlign w:val="center"/>
          </w:tcPr>
          <w:p>
            <w:pPr>
              <w:widowControl/>
              <w:spacing w:line="240" w:lineRule="auto"/>
              <w:ind w:firstLine="0" w:firstLineChars="0"/>
              <w:jc w:val="center"/>
              <w:rPr>
                <w:rFonts w:ascii="宋体" w:hAnsi="宋体" w:cs="宋体"/>
                <w:sz w:val="21"/>
                <w:szCs w:val="21"/>
              </w:rPr>
            </w:pPr>
            <w:r>
              <w:rPr>
                <w:rFonts w:hint="eastAsia" w:ascii="宋体" w:hAnsi="宋体" w:cs="宋体"/>
                <w:sz w:val="21"/>
                <w:szCs w:val="21"/>
              </w:rPr>
              <w:t>高处坠落</w:t>
            </w:r>
          </w:p>
        </w:tc>
        <w:tc>
          <w:tcPr>
            <w:tcW w:w="1500" w:type="pct"/>
            <w:vAlign w:val="center"/>
          </w:tcPr>
          <w:p>
            <w:pPr>
              <w:snapToGrid w:val="0"/>
              <w:spacing w:line="240" w:lineRule="auto"/>
              <w:ind w:firstLine="0" w:firstLineChars="0"/>
              <w:jc w:val="center"/>
              <w:rPr>
                <w:rFonts w:ascii="宋体" w:hAnsi="宋体" w:cs="宋体"/>
                <w:sz w:val="21"/>
                <w:szCs w:val="21"/>
              </w:rPr>
            </w:pPr>
            <w:r>
              <w:rPr>
                <w:rFonts w:hint="eastAsia" w:ascii="宋体" w:hAnsi="宋体" w:cs="宋体"/>
                <w:sz w:val="21"/>
                <w:szCs w:val="21"/>
              </w:rPr>
              <w:t>人员伤亡</w:t>
            </w:r>
          </w:p>
        </w:tc>
        <w:tc>
          <w:tcPr>
            <w:tcW w:w="1512" w:type="pct"/>
            <w:vAlign w:val="center"/>
          </w:tcPr>
          <w:p>
            <w:pPr>
              <w:snapToGrid w:val="0"/>
              <w:spacing w:line="240" w:lineRule="auto"/>
              <w:ind w:firstLine="0" w:firstLineChars="0"/>
              <w:jc w:val="center"/>
              <w:rPr>
                <w:rFonts w:ascii="宋体" w:hAnsi="宋体" w:cs="宋体"/>
                <w:sz w:val="21"/>
                <w:szCs w:val="21"/>
              </w:rPr>
            </w:pPr>
            <w:r>
              <w:rPr>
                <w:rFonts w:hint="eastAsia" w:ascii="宋体" w:hAnsi="宋体" w:cs="宋体"/>
                <w:sz w:val="21"/>
                <w:szCs w:val="21"/>
              </w:rPr>
              <w:t>机加工车间</w:t>
            </w:r>
          </w:p>
        </w:tc>
        <w:tc>
          <w:tcPr>
            <w:tcW w:w="632" w:type="pct"/>
            <w:vMerge w:val="continue"/>
            <w:vAlign w:val="center"/>
          </w:tcPr>
          <w:p>
            <w:pPr>
              <w:widowControl/>
              <w:snapToGrid w:val="0"/>
              <w:spacing w:line="240" w:lineRule="auto"/>
              <w:ind w:firstLine="0" w:firstLineChars="0"/>
              <w:jc w:val="center"/>
              <w:rPr>
                <w:rFonts w:ascii="宋体" w:hAnsi="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6" w:type="pct"/>
            <w:vAlign w:val="center"/>
          </w:tcPr>
          <w:p>
            <w:pPr>
              <w:numPr>
                <w:ilvl w:val="0"/>
                <w:numId w:val="100"/>
              </w:numPr>
              <w:snapToGrid w:val="0"/>
              <w:spacing w:line="240" w:lineRule="auto"/>
              <w:ind w:firstLineChars="0"/>
              <w:jc w:val="center"/>
              <w:rPr>
                <w:rFonts w:ascii="宋体" w:hAnsi="宋体" w:cs="宋体"/>
                <w:sz w:val="21"/>
                <w:szCs w:val="21"/>
              </w:rPr>
            </w:pPr>
          </w:p>
        </w:tc>
        <w:tc>
          <w:tcPr>
            <w:tcW w:w="968" w:type="pct"/>
            <w:vAlign w:val="center"/>
          </w:tcPr>
          <w:p>
            <w:pPr>
              <w:widowControl/>
              <w:spacing w:line="240" w:lineRule="auto"/>
              <w:ind w:firstLine="0" w:firstLineChars="0"/>
              <w:jc w:val="center"/>
              <w:rPr>
                <w:rFonts w:ascii="宋体" w:hAnsi="宋体" w:cs="宋体"/>
                <w:sz w:val="21"/>
                <w:szCs w:val="21"/>
              </w:rPr>
            </w:pPr>
            <w:r>
              <w:rPr>
                <w:rFonts w:hint="eastAsia" w:ascii="宋体" w:hAnsi="宋体" w:cs="宋体"/>
                <w:sz w:val="21"/>
                <w:szCs w:val="21"/>
              </w:rPr>
              <w:t>其他伤害</w:t>
            </w:r>
          </w:p>
        </w:tc>
        <w:tc>
          <w:tcPr>
            <w:tcW w:w="1500" w:type="pct"/>
            <w:vAlign w:val="center"/>
          </w:tcPr>
          <w:p>
            <w:pPr>
              <w:snapToGrid w:val="0"/>
              <w:spacing w:line="240" w:lineRule="auto"/>
              <w:ind w:firstLine="0" w:firstLineChars="0"/>
              <w:jc w:val="center"/>
              <w:rPr>
                <w:rFonts w:ascii="宋体" w:hAnsi="宋体" w:cs="宋体"/>
                <w:sz w:val="21"/>
                <w:szCs w:val="21"/>
              </w:rPr>
            </w:pPr>
            <w:r>
              <w:rPr>
                <w:rFonts w:hint="eastAsia" w:ascii="宋体" w:hAnsi="宋体" w:cs="宋体"/>
                <w:sz w:val="21"/>
                <w:szCs w:val="21"/>
              </w:rPr>
              <w:t>人员伤亡</w:t>
            </w:r>
          </w:p>
        </w:tc>
        <w:tc>
          <w:tcPr>
            <w:tcW w:w="1512" w:type="pct"/>
            <w:vAlign w:val="center"/>
          </w:tcPr>
          <w:p>
            <w:pPr>
              <w:snapToGrid w:val="0"/>
              <w:spacing w:line="240" w:lineRule="auto"/>
              <w:ind w:firstLine="0" w:firstLineChars="0"/>
              <w:jc w:val="center"/>
              <w:rPr>
                <w:rFonts w:ascii="宋体" w:hAnsi="宋体" w:cs="宋体"/>
                <w:sz w:val="21"/>
                <w:szCs w:val="21"/>
              </w:rPr>
            </w:pPr>
            <w:r>
              <w:rPr>
                <w:rFonts w:hint="eastAsia" w:ascii="宋体" w:hAnsi="宋体" w:cs="宋体"/>
                <w:sz w:val="21"/>
                <w:szCs w:val="21"/>
              </w:rPr>
              <w:t>铸造车间</w:t>
            </w:r>
          </w:p>
        </w:tc>
        <w:tc>
          <w:tcPr>
            <w:tcW w:w="632" w:type="pct"/>
            <w:vMerge w:val="continue"/>
            <w:vAlign w:val="center"/>
          </w:tcPr>
          <w:p>
            <w:pPr>
              <w:widowControl/>
              <w:snapToGrid w:val="0"/>
              <w:spacing w:line="240" w:lineRule="auto"/>
              <w:ind w:firstLine="0" w:firstLineChars="0"/>
              <w:jc w:val="center"/>
              <w:rPr>
                <w:rFonts w:ascii="宋体" w:hAnsi="宋体" w:cs="宋体"/>
                <w:sz w:val="21"/>
                <w:szCs w:val="21"/>
              </w:rPr>
            </w:pPr>
          </w:p>
        </w:tc>
      </w:tr>
    </w:tbl>
    <w:p>
      <w:pPr>
        <w:ind w:firstLine="560"/>
      </w:pPr>
      <w:r>
        <w:rPr>
          <w:rFonts w:hint="eastAsia"/>
        </w:rPr>
        <w:t>通过对本项目的厂址环境、工艺过程等客观因素的分析，项目铸造车间处属于高风险部位，易发生其他爆炸、灼烫、起重伤害等事故，事故的影响范围大、危害后果严重。</w:t>
      </w:r>
    </w:p>
    <w:p>
      <w:pPr>
        <w:spacing w:line="360" w:lineRule="auto"/>
        <w:ind w:firstLine="0" w:firstLineChars="0"/>
        <w:jc w:val="center"/>
        <w:rPr>
          <w:rFonts w:ascii="宋体" w:hAnsi="宋体" w:cs="宋体"/>
          <w:szCs w:val="28"/>
        </w:rPr>
      </w:pPr>
      <w:r>
        <w:rPr>
          <w:rFonts w:hint="eastAsia" w:ascii="宋体" w:hAnsi="宋体" w:cs="宋体"/>
          <w:b/>
          <w:sz w:val="24"/>
          <w:szCs w:val="28"/>
        </w:rPr>
        <w:t xml:space="preserve">表 </w:t>
      </w:r>
      <w:r>
        <w:rPr>
          <w:rFonts w:hint="eastAsia" w:ascii="宋体" w:hAnsi="宋体" w:cs="宋体"/>
          <w:b/>
          <w:sz w:val="24"/>
          <w:szCs w:val="28"/>
        </w:rPr>
        <w:fldChar w:fldCharType="begin"/>
      </w:r>
      <w:r>
        <w:rPr>
          <w:rFonts w:hint="eastAsia" w:ascii="宋体" w:hAnsi="宋体" w:cs="宋体"/>
          <w:b/>
          <w:sz w:val="24"/>
          <w:szCs w:val="28"/>
        </w:rPr>
        <w:instrText xml:space="preserve"> STYLEREF 2 \s </w:instrText>
      </w:r>
      <w:r>
        <w:rPr>
          <w:rFonts w:hint="eastAsia" w:ascii="宋体" w:hAnsi="宋体" w:cs="宋体"/>
          <w:b/>
          <w:sz w:val="24"/>
          <w:szCs w:val="28"/>
        </w:rPr>
        <w:fldChar w:fldCharType="separate"/>
      </w:r>
      <w:r>
        <w:rPr>
          <w:rFonts w:hint="eastAsia" w:ascii="宋体" w:hAnsi="宋体" w:cs="宋体"/>
          <w:b/>
          <w:sz w:val="24"/>
          <w:szCs w:val="28"/>
        </w:rPr>
        <w:t>7.1</w:t>
      </w:r>
      <w:r>
        <w:rPr>
          <w:rFonts w:hint="eastAsia" w:ascii="宋体" w:hAnsi="宋体" w:cs="宋体"/>
          <w:b/>
          <w:sz w:val="24"/>
          <w:szCs w:val="28"/>
        </w:rPr>
        <w:fldChar w:fldCharType="end"/>
      </w:r>
      <w:r>
        <w:rPr>
          <w:rFonts w:hint="eastAsia" w:ascii="宋体" w:hAnsi="宋体" w:cs="宋体"/>
          <w:b/>
          <w:sz w:val="24"/>
          <w:szCs w:val="28"/>
        </w:rPr>
        <w:t>-</w:t>
      </w:r>
      <w:r>
        <w:rPr>
          <w:rFonts w:hint="eastAsia" w:ascii="宋体" w:hAnsi="宋体" w:cs="宋体"/>
          <w:b/>
          <w:sz w:val="24"/>
          <w:szCs w:val="28"/>
        </w:rPr>
        <w:fldChar w:fldCharType="begin"/>
      </w:r>
      <w:r>
        <w:rPr>
          <w:rFonts w:hint="eastAsia" w:ascii="宋体" w:hAnsi="宋体" w:cs="宋体"/>
          <w:b/>
          <w:sz w:val="24"/>
          <w:szCs w:val="28"/>
        </w:rPr>
        <w:instrText xml:space="preserve"> SEQ 表 \* ARABIC \s 2 </w:instrText>
      </w:r>
      <w:r>
        <w:rPr>
          <w:rFonts w:hint="eastAsia" w:ascii="宋体" w:hAnsi="宋体" w:cs="宋体"/>
          <w:b/>
          <w:sz w:val="24"/>
          <w:szCs w:val="28"/>
        </w:rPr>
        <w:fldChar w:fldCharType="separate"/>
      </w:r>
      <w:r>
        <w:rPr>
          <w:rFonts w:hint="eastAsia" w:ascii="宋体" w:hAnsi="宋体" w:cs="宋体"/>
          <w:b/>
          <w:sz w:val="24"/>
          <w:szCs w:val="28"/>
        </w:rPr>
        <w:t>2</w:t>
      </w:r>
      <w:r>
        <w:rPr>
          <w:rFonts w:hint="eastAsia" w:ascii="宋体" w:hAnsi="宋体" w:cs="宋体"/>
          <w:b/>
          <w:sz w:val="24"/>
          <w:szCs w:val="28"/>
        </w:rPr>
        <w:fldChar w:fldCharType="end"/>
      </w:r>
      <w:r>
        <w:rPr>
          <w:rFonts w:hint="eastAsia" w:ascii="宋体" w:hAnsi="宋体" w:cs="宋体"/>
          <w:b/>
          <w:sz w:val="24"/>
          <w:szCs w:val="28"/>
        </w:rPr>
        <w:t>高风险部位事故风险分析一览表</w:t>
      </w:r>
    </w:p>
    <w:tbl>
      <w:tblPr>
        <w:tblStyle w:val="29"/>
        <w:tblW w:w="840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28" w:type="dxa"/>
          <w:bottom w:w="0" w:type="dxa"/>
          <w:right w:w="28" w:type="dxa"/>
        </w:tblCellMar>
      </w:tblPr>
      <w:tblGrid>
        <w:gridCol w:w="883"/>
        <w:gridCol w:w="969"/>
        <w:gridCol w:w="1140"/>
        <w:gridCol w:w="2160"/>
        <w:gridCol w:w="1060"/>
        <w:gridCol w:w="2193"/>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tblHeader/>
          <w:jc w:val="center"/>
        </w:trPr>
        <w:tc>
          <w:tcPr>
            <w:tcW w:w="883" w:type="dxa"/>
            <w:vAlign w:val="center"/>
          </w:tcPr>
          <w:p>
            <w:pPr>
              <w:spacing w:line="240" w:lineRule="auto"/>
              <w:ind w:firstLine="0" w:firstLineChars="0"/>
              <w:jc w:val="center"/>
              <w:rPr>
                <w:rFonts w:ascii="宋体" w:hAnsi="宋体" w:cs="宋体"/>
                <w:b/>
                <w:sz w:val="21"/>
                <w:szCs w:val="21"/>
              </w:rPr>
            </w:pPr>
            <w:r>
              <w:rPr>
                <w:rFonts w:hint="eastAsia" w:ascii="宋体" w:hAnsi="宋体" w:cs="宋体"/>
                <w:b/>
                <w:sz w:val="21"/>
                <w:szCs w:val="21"/>
              </w:rPr>
              <w:t>高风险部位</w:t>
            </w:r>
          </w:p>
        </w:tc>
        <w:tc>
          <w:tcPr>
            <w:tcW w:w="969" w:type="dxa"/>
            <w:vAlign w:val="center"/>
          </w:tcPr>
          <w:p>
            <w:pPr>
              <w:spacing w:line="240" w:lineRule="auto"/>
              <w:ind w:firstLine="0" w:firstLineChars="0"/>
              <w:jc w:val="center"/>
              <w:rPr>
                <w:rFonts w:ascii="宋体" w:hAnsi="宋体" w:cs="宋体"/>
                <w:b/>
                <w:sz w:val="21"/>
                <w:szCs w:val="21"/>
              </w:rPr>
            </w:pPr>
            <w:r>
              <w:rPr>
                <w:rFonts w:hint="eastAsia" w:ascii="宋体" w:hAnsi="宋体" w:cs="宋体"/>
                <w:b/>
                <w:sz w:val="21"/>
                <w:szCs w:val="21"/>
              </w:rPr>
              <w:t>事故类型</w:t>
            </w:r>
          </w:p>
        </w:tc>
        <w:tc>
          <w:tcPr>
            <w:tcW w:w="1140" w:type="dxa"/>
            <w:vAlign w:val="center"/>
          </w:tcPr>
          <w:p>
            <w:pPr>
              <w:spacing w:line="240" w:lineRule="auto"/>
              <w:ind w:firstLine="0" w:firstLineChars="0"/>
              <w:jc w:val="center"/>
              <w:rPr>
                <w:rFonts w:ascii="宋体" w:hAnsi="宋体" w:cs="宋体"/>
                <w:b/>
                <w:sz w:val="21"/>
                <w:szCs w:val="21"/>
              </w:rPr>
            </w:pPr>
            <w:r>
              <w:rPr>
                <w:rFonts w:hint="eastAsia" w:ascii="宋体" w:hAnsi="宋体" w:cs="宋体"/>
                <w:b/>
                <w:sz w:val="21"/>
                <w:szCs w:val="21"/>
              </w:rPr>
              <w:t>发生可能性</w:t>
            </w:r>
          </w:p>
        </w:tc>
        <w:tc>
          <w:tcPr>
            <w:tcW w:w="2160" w:type="dxa"/>
            <w:vAlign w:val="center"/>
          </w:tcPr>
          <w:p>
            <w:pPr>
              <w:spacing w:line="240" w:lineRule="auto"/>
              <w:ind w:firstLine="0" w:firstLineChars="0"/>
              <w:jc w:val="center"/>
              <w:rPr>
                <w:rFonts w:ascii="宋体" w:hAnsi="宋体" w:cs="宋体"/>
                <w:b/>
                <w:sz w:val="21"/>
                <w:szCs w:val="21"/>
              </w:rPr>
            </w:pPr>
            <w:r>
              <w:rPr>
                <w:rFonts w:hint="eastAsia" w:ascii="宋体" w:hAnsi="宋体" w:cs="宋体"/>
                <w:b/>
                <w:sz w:val="21"/>
                <w:szCs w:val="21"/>
              </w:rPr>
              <w:t>预计事故场景</w:t>
            </w:r>
          </w:p>
        </w:tc>
        <w:tc>
          <w:tcPr>
            <w:tcW w:w="1060" w:type="dxa"/>
            <w:vAlign w:val="center"/>
          </w:tcPr>
          <w:p>
            <w:pPr>
              <w:spacing w:line="240" w:lineRule="auto"/>
              <w:ind w:firstLine="0" w:firstLineChars="0"/>
              <w:jc w:val="center"/>
              <w:rPr>
                <w:rFonts w:ascii="宋体" w:hAnsi="宋体" w:cs="宋体"/>
                <w:b/>
                <w:sz w:val="21"/>
                <w:szCs w:val="21"/>
              </w:rPr>
            </w:pPr>
            <w:r>
              <w:rPr>
                <w:rFonts w:hint="eastAsia" w:ascii="宋体" w:hAnsi="宋体" w:cs="宋体"/>
                <w:b/>
                <w:sz w:val="21"/>
                <w:szCs w:val="21"/>
              </w:rPr>
              <w:t>影响范围</w:t>
            </w:r>
          </w:p>
        </w:tc>
        <w:tc>
          <w:tcPr>
            <w:tcW w:w="2193" w:type="dxa"/>
            <w:vAlign w:val="center"/>
          </w:tcPr>
          <w:p>
            <w:pPr>
              <w:spacing w:line="240" w:lineRule="auto"/>
              <w:ind w:firstLine="0" w:firstLineChars="0"/>
              <w:jc w:val="center"/>
              <w:rPr>
                <w:rFonts w:ascii="宋体" w:hAnsi="宋体" w:cs="宋体"/>
                <w:b/>
                <w:sz w:val="21"/>
                <w:szCs w:val="21"/>
              </w:rPr>
            </w:pPr>
            <w:r>
              <w:rPr>
                <w:rFonts w:hint="eastAsia" w:ascii="宋体" w:hAnsi="宋体" w:cs="宋体"/>
                <w:b/>
                <w:sz w:val="21"/>
                <w:szCs w:val="21"/>
              </w:rPr>
              <w:t>危害后果</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883" w:type="dxa"/>
            <w:vAlign w:val="center"/>
          </w:tcPr>
          <w:p>
            <w:pPr>
              <w:spacing w:line="0" w:lineRule="atLeast"/>
              <w:ind w:firstLine="0" w:firstLineChars="0"/>
              <w:jc w:val="center"/>
              <w:rPr>
                <w:rFonts w:ascii="宋体" w:hAnsi="宋体" w:cs="宋体"/>
                <w:sz w:val="21"/>
                <w:szCs w:val="21"/>
              </w:rPr>
            </w:pPr>
            <w:r>
              <w:rPr>
                <w:rFonts w:hint="eastAsia" w:ascii="宋体" w:hAnsi="宋体" w:cs="宋体"/>
                <w:sz w:val="21"/>
                <w:szCs w:val="21"/>
              </w:rPr>
              <w:t>铸造车间</w:t>
            </w:r>
          </w:p>
        </w:tc>
        <w:tc>
          <w:tcPr>
            <w:tcW w:w="969" w:type="dxa"/>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灼烫、其他爆炸、火灾、触电</w:t>
            </w:r>
          </w:p>
        </w:tc>
        <w:tc>
          <w:tcPr>
            <w:tcW w:w="1140" w:type="dxa"/>
            <w:vAlign w:val="center"/>
          </w:tcPr>
          <w:p>
            <w:pPr>
              <w:spacing w:line="0" w:lineRule="atLeast"/>
              <w:ind w:firstLine="0" w:firstLineChars="0"/>
              <w:jc w:val="center"/>
              <w:rPr>
                <w:rFonts w:ascii="宋体" w:hAnsi="宋体" w:cs="宋体"/>
                <w:sz w:val="21"/>
                <w:szCs w:val="21"/>
              </w:rPr>
            </w:pPr>
            <w:r>
              <w:rPr>
                <w:rFonts w:hint="eastAsia" w:ascii="宋体" w:hAnsi="宋体" w:cs="宋体"/>
                <w:sz w:val="21"/>
                <w:szCs w:val="21"/>
              </w:rPr>
              <w:t>容易发生</w:t>
            </w:r>
          </w:p>
        </w:tc>
        <w:tc>
          <w:tcPr>
            <w:tcW w:w="2160" w:type="dxa"/>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人员肢体接触高温部位发生灼烫，熔融铁水遇潮湿工具、炉料发生爆炸。</w:t>
            </w:r>
          </w:p>
        </w:tc>
        <w:tc>
          <w:tcPr>
            <w:tcW w:w="1060" w:type="dxa"/>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熔炼炉以及周边</w:t>
            </w:r>
          </w:p>
        </w:tc>
        <w:tc>
          <w:tcPr>
            <w:tcW w:w="2193" w:type="dxa"/>
            <w:vAlign w:val="center"/>
          </w:tcPr>
          <w:p>
            <w:pPr>
              <w:spacing w:line="240" w:lineRule="auto"/>
              <w:ind w:firstLine="0" w:firstLineChars="0"/>
              <w:jc w:val="center"/>
              <w:rPr>
                <w:rFonts w:ascii="宋体" w:hAnsi="宋体" w:cs="宋体"/>
                <w:sz w:val="21"/>
                <w:szCs w:val="21"/>
              </w:rPr>
            </w:pPr>
            <w:r>
              <w:rPr>
                <w:rFonts w:hint="eastAsia" w:ascii="宋体" w:hAnsi="宋体" w:cs="宋体"/>
                <w:sz w:val="21"/>
                <w:szCs w:val="21"/>
              </w:rPr>
              <w:t>生产厂房设备、管道及自身厂房损坏；周边人员伤亡，周边建（构）筑物、设备等损坏；人员伤亡。</w:t>
            </w:r>
          </w:p>
        </w:tc>
      </w:tr>
    </w:tbl>
    <w:p>
      <w:pPr>
        <w:pStyle w:val="5"/>
        <w:tabs>
          <w:tab w:val="left" w:pos="0"/>
        </w:tabs>
        <w:spacing w:before="156" w:after="156"/>
      </w:pPr>
      <w:bookmarkStart w:id="418" w:name="_Toc7609"/>
      <w:bookmarkStart w:id="419" w:name="_Toc6043"/>
      <w:r>
        <w:rPr>
          <w:rFonts w:hint="eastAsia"/>
        </w:rPr>
        <w:t>本项目应重点防范的</w:t>
      </w:r>
      <w:bookmarkEnd w:id="413"/>
      <w:bookmarkEnd w:id="414"/>
      <w:bookmarkEnd w:id="415"/>
      <w:bookmarkEnd w:id="416"/>
      <w:bookmarkEnd w:id="418"/>
      <w:r>
        <w:rPr>
          <w:rFonts w:hint="eastAsia"/>
        </w:rPr>
        <w:t>重大事故和危害</w:t>
      </w:r>
      <w:bookmarkEnd w:id="419"/>
    </w:p>
    <w:bookmarkEnd w:id="417"/>
    <w:p>
      <w:pPr>
        <w:ind w:firstLine="560"/>
        <w:rPr>
          <w:rFonts w:cs="Times New Roman"/>
        </w:rPr>
      </w:pPr>
      <w:r>
        <w:rPr>
          <w:rFonts w:hint="eastAsia"/>
        </w:rPr>
        <w:t>本项目应重点防范的重大事故和危害：灼烫、其他爆炸、机械伤害、起重伤害、机械伤害、有限空间</w:t>
      </w:r>
      <w:r>
        <w:rPr>
          <w:rFonts w:hint="eastAsia" w:cs="Times New Roman"/>
        </w:rPr>
        <w:t>。</w:t>
      </w:r>
    </w:p>
    <w:p>
      <w:pPr>
        <w:pStyle w:val="5"/>
        <w:tabs>
          <w:tab w:val="left" w:pos="0"/>
        </w:tabs>
        <w:spacing w:before="156" w:after="156"/>
      </w:pPr>
      <w:bookmarkStart w:id="420" w:name="_Toc363672676"/>
      <w:bookmarkStart w:id="421" w:name="_Toc301787718"/>
      <w:bookmarkStart w:id="422" w:name="_Toc296046188"/>
      <w:bookmarkStart w:id="423" w:name="_Toc4832"/>
      <w:bookmarkStart w:id="424" w:name="_Toc723"/>
      <w:bookmarkStart w:id="425" w:name="_Toc12068"/>
      <w:bookmarkStart w:id="426" w:name="_Toc29217"/>
      <w:bookmarkStart w:id="427" w:name="_Toc10310"/>
      <w:bookmarkStart w:id="428" w:name="_Toc454801618"/>
      <w:bookmarkStart w:id="429" w:name="_Toc461976775"/>
      <w:bookmarkStart w:id="430" w:name="_Toc28527"/>
      <w:bookmarkStart w:id="431" w:name="_Toc504"/>
      <w:r>
        <w:rPr>
          <w:rFonts w:hint="eastAsia"/>
        </w:rPr>
        <w:t>各单元评价</w:t>
      </w:r>
      <w:bookmarkEnd w:id="420"/>
      <w:bookmarkEnd w:id="421"/>
      <w:bookmarkEnd w:id="422"/>
      <w:r>
        <w:rPr>
          <w:rFonts w:hint="eastAsia"/>
        </w:rPr>
        <w:t>综述</w:t>
      </w:r>
      <w:bookmarkEnd w:id="423"/>
      <w:bookmarkEnd w:id="424"/>
      <w:bookmarkEnd w:id="425"/>
      <w:bookmarkEnd w:id="426"/>
      <w:bookmarkEnd w:id="427"/>
      <w:bookmarkEnd w:id="428"/>
      <w:bookmarkEnd w:id="429"/>
      <w:bookmarkEnd w:id="430"/>
    </w:p>
    <w:bookmarkEnd w:id="431"/>
    <w:p>
      <w:pPr>
        <w:pStyle w:val="6"/>
        <w:tabs>
          <w:tab w:val="left" w:pos="0"/>
          <w:tab w:val="left" w:pos="420"/>
          <w:tab w:val="clear" w:pos="2101"/>
        </w:tabs>
        <w:spacing w:before="156" w:after="156"/>
      </w:pPr>
      <w:bookmarkStart w:id="432" w:name="_Toc26478"/>
      <w:bookmarkStart w:id="433" w:name="_Toc28393"/>
      <w:r>
        <w:rPr>
          <w:rFonts w:hint="eastAsia"/>
        </w:rPr>
        <w:t>法律法规符合性评价</w:t>
      </w:r>
      <w:bookmarkEnd w:id="432"/>
      <w:bookmarkEnd w:id="433"/>
    </w:p>
    <w:p>
      <w:pPr>
        <w:widowControl/>
        <w:ind w:firstLine="560"/>
        <w:rPr>
          <w:rFonts w:ascii="宋体" w:hAnsi="宋体" w:cs="宋体"/>
          <w:color w:val="FF0000"/>
          <w:szCs w:val="28"/>
        </w:rPr>
      </w:pPr>
      <w:r>
        <w:rPr>
          <w:rFonts w:hint="eastAsia"/>
        </w:rPr>
        <w:t>云南大姚机械配件厂退城入园整体技改搬迁项目，建设程序符合《中华人民共和国安全生产法》（</w:t>
      </w:r>
      <w:r>
        <w:rPr>
          <w:rFonts w:hint="eastAsia"/>
          <w:lang w:eastAsia="zh-CN"/>
        </w:rPr>
        <w:t>中华人民共和国</w:t>
      </w:r>
      <w:r>
        <w:rPr>
          <w:rFonts w:hint="eastAsia"/>
        </w:rPr>
        <w:t>主席令88号）、《建设项目安全设施“三同时”监督管理办法》（原国家安全生产监督管理总局令第36号，第77号修正）要求。建设项目经有关部门核准，安全生产条件和设施综合分析报告、安全设施设计由资质单位进行编制，得到主管部门的认可。建设项目安全设施的施工、监理符合要求，主体工程做到同时设计、同时施工、同时投入生产和使用，</w:t>
      </w:r>
      <w:r>
        <w:t>安全设施专项投资</w:t>
      </w:r>
      <w:r>
        <w:rPr>
          <w:rFonts w:hint="eastAsia"/>
        </w:rPr>
        <w:t>满足</w:t>
      </w:r>
      <w:r>
        <w:rPr>
          <w:rFonts w:hint="eastAsia" w:ascii="宋体" w:hAnsi="宋体" w:cs="宋体"/>
        </w:rPr>
        <w:t>安全设施设计要求，</w:t>
      </w:r>
      <w:r>
        <w:rPr>
          <w:rFonts w:hint="eastAsia"/>
        </w:rPr>
        <w:t>项目建设</w:t>
      </w:r>
      <w:r>
        <w:rPr>
          <w:rFonts w:hint="eastAsia"/>
          <w:szCs w:val="28"/>
        </w:rPr>
        <w:t>符合</w:t>
      </w:r>
      <w:r>
        <w:rPr>
          <w:rFonts w:hint="eastAsia" w:ascii="宋体" w:hAnsi="宋体" w:cs="宋体"/>
        </w:rPr>
        <w:t>法律法规和安全设施设计要求，</w:t>
      </w:r>
      <w:r>
        <w:rPr>
          <w:rFonts w:hint="eastAsia"/>
        </w:rPr>
        <w:t>具备安全验收条件。</w:t>
      </w:r>
    </w:p>
    <w:p>
      <w:pPr>
        <w:pStyle w:val="6"/>
        <w:tabs>
          <w:tab w:val="left" w:pos="0"/>
          <w:tab w:val="left" w:pos="420"/>
          <w:tab w:val="clear" w:pos="2101"/>
        </w:tabs>
        <w:spacing w:before="156" w:after="156"/>
      </w:pPr>
      <w:bookmarkStart w:id="434" w:name="_Toc22380"/>
      <w:bookmarkStart w:id="435" w:name="_Toc27355"/>
      <w:bookmarkStart w:id="436" w:name="_Toc518"/>
      <w:r>
        <w:rPr>
          <w:rFonts w:hint="eastAsia"/>
        </w:rPr>
        <w:t>选址及</w:t>
      </w:r>
      <w:r>
        <w:t>总</w:t>
      </w:r>
      <w:r>
        <w:rPr>
          <w:rFonts w:hint="eastAsia"/>
        </w:rPr>
        <w:t>图布置单元符合性评价</w:t>
      </w:r>
      <w:bookmarkEnd w:id="434"/>
      <w:bookmarkEnd w:id="435"/>
      <w:bookmarkEnd w:id="436"/>
    </w:p>
    <w:p>
      <w:pPr>
        <w:ind w:firstLine="560"/>
      </w:pPr>
      <w:r>
        <w:rPr>
          <w:rFonts w:hint="eastAsia"/>
        </w:rPr>
        <w:t>本项目厂址选择符合</w:t>
      </w:r>
      <w:r>
        <w:t>厂区符合当地政府总体规划。</w:t>
      </w:r>
      <w:r>
        <w:rPr>
          <w:rFonts w:hint="eastAsia"/>
        </w:rPr>
        <w:t>项目区域内道路、水、电等设施完备，厂址周边小范围内无学校、集中商业区等。</w:t>
      </w:r>
      <w:r>
        <w:t>厂房之间的防火间距、库房与其它建筑物的防火间距符合</w:t>
      </w:r>
      <w:r>
        <w:rPr>
          <w:rFonts w:hint="eastAsia"/>
        </w:rPr>
        <w:t>安全设施设计和相关规范</w:t>
      </w:r>
      <w:r>
        <w:t>要求</w:t>
      </w:r>
      <w:r>
        <w:rPr>
          <w:rFonts w:hint="eastAsia"/>
        </w:rPr>
        <w:t>，项目</w:t>
      </w:r>
      <w:r>
        <w:t>布局连续紧凑，顺畅合理，满足生产工艺流程。</w:t>
      </w:r>
      <w:r>
        <w:rPr>
          <w:rFonts w:hint="eastAsia"/>
        </w:rPr>
        <w:t>经评价认为该选址及总平面布置符合安全设施设计要求，具备安全验收条件。</w:t>
      </w:r>
    </w:p>
    <w:p>
      <w:pPr>
        <w:pStyle w:val="6"/>
        <w:tabs>
          <w:tab w:val="left" w:pos="0"/>
          <w:tab w:val="left" w:pos="420"/>
          <w:tab w:val="clear" w:pos="2101"/>
        </w:tabs>
        <w:spacing w:before="156" w:after="156"/>
      </w:pPr>
      <w:bookmarkStart w:id="437" w:name="_Toc24766"/>
      <w:bookmarkStart w:id="438" w:name="_Toc24942"/>
      <w:bookmarkStart w:id="439" w:name="_Toc29152"/>
      <w:r>
        <w:rPr>
          <w:rFonts w:hint="eastAsia"/>
        </w:rPr>
        <w:t>建筑及工艺布置单元符合性评价</w:t>
      </w:r>
      <w:bookmarkEnd w:id="437"/>
    </w:p>
    <w:p>
      <w:pPr>
        <w:ind w:firstLine="560"/>
      </w:pPr>
      <w:r>
        <w:rPr>
          <w:rFonts w:hint="eastAsia"/>
        </w:rPr>
        <w:t>项目建（构）筑物抗震设防，防火防爆，厂房结构设计所采取的承受重荷载、高温辐射、熔融金属喷溅冲刷、振动与冲击、防渗、防酸碱腐蚀和通风、散热、采光等措施符合相关规范和安全设施设计的要求。经评价认为建筑及工艺布置</w:t>
      </w:r>
      <w:r>
        <w:t>符合相关</w:t>
      </w:r>
      <w:r>
        <w:rPr>
          <w:rFonts w:hint="eastAsia"/>
        </w:rPr>
        <w:t>法律法规</w:t>
      </w:r>
      <w:r>
        <w:t>、标准和规范要求</w:t>
      </w:r>
      <w:r>
        <w:rPr>
          <w:rFonts w:hint="eastAsia"/>
        </w:rPr>
        <w:t>，具备安全验收条件。</w:t>
      </w:r>
    </w:p>
    <w:p>
      <w:pPr>
        <w:pStyle w:val="6"/>
        <w:tabs>
          <w:tab w:val="left" w:pos="0"/>
          <w:tab w:val="left" w:pos="420"/>
          <w:tab w:val="clear" w:pos="2101"/>
        </w:tabs>
        <w:spacing w:before="156" w:after="156"/>
      </w:pPr>
      <w:bookmarkStart w:id="440" w:name="_Toc22110"/>
      <w:r>
        <w:rPr>
          <w:rFonts w:hint="eastAsia"/>
        </w:rPr>
        <w:t>物料、产品安全性单元符合性评价</w:t>
      </w:r>
      <w:bookmarkEnd w:id="440"/>
    </w:p>
    <w:p>
      <w:pPr>
        <w:ind w:firstLine="560"/>
      </w:pPr>
      <w:r>
        <w:rPr>
          <w:rFonts w:hint="eastAsia"/>
        </w:rPr>
        <w:t>针对高温熔融金属（渣）、易燃易爆、有毒有害、腐蚀性、放射性等危险物料在生产、输送、贮存、使用、废弃等环节喷溅、泄漏、监测预警、安全警戒和标识要求等安全防范措施。经评价认为</w:t>
      </w:r>
      <w:r>
        <w:t>符合相关</w:t>
      </w:r>
      <w:r>
        <w:rPr>
          <w:rFonts w:hint="eastAsia"/>
        </w:rPr>
        <w:t>法律法规</w:t>
      </w:r>
      <w:r>
        <w:t>、标准和规范要求</w:t>
      </w:r>
      <w:r>
        <w:rPr>
          <w:rFonts w:hint="eastAsia"/>
        </w:rPr>
        <w:t>，具备安全验收条件。</w:t>
      </w:r>
    </w:p>
    <w:p>
      <w:pPr>
        <w:pStyle w:val="6"/>
        <w:tabs>
          <w:tab w:val="left" w:pos="0"/>
          <w:tab w:val="left" w:pos="420"/>
          <w:tab w:val="clear" w:pos="2101"/>
        </w:tabs>
        <w:spacing w:before="156" w:after="156"/>
      </w:pPr>
      <w:bookmarkStart w:id="441" w:name="_Toc29271"/>
      <w:r>
        <w:rPr>
          <w:rFonts w:hint="eastAsia"/>
        </w:rPr>
        <w:t>生产工艺系统、装置、设施、设备单元符合性评价</w:t>
      </w:r>
      <w:bookmarkEnd w:id="438"/>
      <w:bookmarkEnd w:id="439"/>
      <w:bookmarkEnd w:id="441"/>
    </w:p>
    <w:p>
      <w:pPr>
        <w:ind w:firstLine="560"/>
      </w:pPr>
      <w:r>
        <w:rPr>
          <w:rFonts w:hint="eastAsia" w:ascii="宋体" w:hAnsi="宋体" w:cs="宋体"/>
        </w:rPr>
        <w:t>本项目采用的生产工艺系统</w:t>
      </w:r>
      <w:r>
        <w:rPr>
          <w:rFonts w:hint="eastAsia" w:cs="宋体"/>
        </w:rPr>
        <w:t>、</w:t>
      </w:r>
      <w:r>
        <w:rPr>
          <w:rFonts w:hint="eastAsia"/>
        </w:rPr>
        <w:t>装置、设施、设备</w:t>
      </w:r>
      <w:r>
        <w:rPr>
          <w:rFonts w:hint="eastAsia" w:cs="宋体"/>
        </w:rPr>
        <w:t>总体</w:t>
      </w:r>
      <w:r>
        <w:rPr>
          <w:rFonts w:hint="eastAsia" w:ascii="宋体" w:hAnsi="宋体" w:cs="宋体"/>
        </w:rPr>
        <w:t>合理</w:t>
      </w:r>
      <w:r>
        <w:rPr>
          <w:rFonts w:hint="eastAsia"/>
        </w:rPr>
        <w:t>，符合现行法律法规、标准、规范和安全设施设计的要求。经评价认为</w:t>
      </w:r>
      <w:r>
        <w:rPr>
          <w:rFonts w:hint="eastAsia" w:ascii="宋体" w:hAnsi="宋体" w:cs="宋体"/>
        </w:rPr>
        <w:t>生产工艺和设备设施</w:t>
      </w:r>
      <w:r>
        <w:rPr>
          <w:rFonts w:hint="eastAsia"/>
        </w:rPr>
        <w:t>具备安全验收条件。</w:t>
      </w:r>
    </w:p>
    <w:p>
      <w:pPr>
        <w:pStyle w:val="6"/>
        <w:tabs>
          <w:tab w:val="left" w:pos="0"/>
          <w:tab w:val="left" w:pos="420"/>
          <w:tab w:val="clear" w:pos="2101"/>
        </w:tabs>
        <w:spacing w:before="156" w:after="156"/>
      </w:pPr>
      <w:bookmarkStart w:id="442" w:name="_Toc3007"/>
      <w:bookmarkStart w:id="443" w:name="_Toc20810"/>
      <w:bookmarkStart w:id="444" w:name="_Toc6578"/>
      <w:r>
        <w:rPr>
          <w:rFonts w:hint="eastAsia"/>
        </w:rPr>
        <w:t>特种设备设施及强制检测设备设施单元符合性评价</w:t>
      </w:r>
      <w:bookmarkEnd w:id="442"/>
      <w:bookmarkEnd w:id="443"/>
    </w:p>
    <w:p>
      <w:pPr>
        <w:ind w:firstLine="560"/>
      </w:pPr>
      <w:r>
        <w:rPr>
          <w:rFonts w:hint="eastAsia"/>
        </w:rPr>
        <w:t>本项目特种设备设施及强制检测设备设施符合相关法律法规、标准、规范和安全设施设计的要求。经评价认为特种设备设施及强制检测设备设施单元具备安全验收条件。</w:t>
      </w:r>
    </w:p>
    <w:p>
      <w:pPr>
        <w:pStyle w:val="6"/>
        <w:tabs>
          <w:tab w:val="left" w:pos="0"/>
          <w:tab w:val="left" w:pos="420"/>
          <w:tab w:val="clear" w:pos="2101"/>
        </w:tabs>
        <w:spacing w:before="156" w:after="156"/>
      </w:pPr>
      <w:bookmarkStart w:id="445" w:name="_Toc24459"/>
      <w:bookmarkStart w:id="446" w:name="_Toc25451"/>
      <w:r>
        <w:rPr>
          <w:rFonts w:hint="eastAsia"/>
        </w:rPr>
        <w:t>周边环境适宜性评价单元符合性评价</w:t>
      </w:r>
      <w:bookmarkEnd w:id="445"/>
    </w:p>
    <w:p>
      <w:pPr>
        <w:ind w:firstLine="560"/>
      </w:pPr>
      <w:r>
        <w:rPr>
          <w:rFonts w:hint="eastAsia"/>
        </w:rPr>
        <w:t>项目内各建构筑物与厂外有一定安全防护距离，项目固有危险、有害因素出现异常，对周边单位或居民的影响较小；反之，周边单位或居民对项目的影响也较小。建设项目所在地自然条件满足安全生产要求。经评价认为周边环境适宜性评价单元具备安全验收条件。</w:t>
      </w:r>
    </w:p>
    <w:p>
      <w:pPr>
        <w:pStyle w:val="6"/>
        <w:tabs>
          <w:tab w:val="left" w:pos="0"/>
          <w:tab w:val="left" w:pos="420"/>
          <w:tab w:val="clear" w:pos="2101"/>
        </w:tabs>
        <w:spacing w:before="156" w:after="156"/>
      </w:pPr>
      <w:bookmarkStart w:id="447" w:name="_Toc6244"/>
      <w:bookmarkStart w:id="448" w:name="_Toc11062"/>
      <w:bookmarkStart w:id="449" w:name="_Toc10351"/>
      <w:bookmarkStart w:id="450" w:name="_Toc11697"/>
      <w:bookmarkStart w:id="451" w:name="_Toc6112"/>
      <w:r>
        <w:rPr>
          <w:rFonts w:hint="eastAsia"/>
        </w:rPr>
        <w:t>公用工程及辅助设施单元符合性评价</w:t>
      </w:r>
      <w:bookmarkEnd w:id="447"/>
      <w:bookmarkEnd w:id="448"/>
      <w:bookmarkEnd w:id="449"/>
    </w:p>
    <w:p>
      <w:pPr>
        <w:ind w:firstLine="560"/>
        <w:rPr>
          <w:rFonts w:ascii="宋体" w:hAnsi="宋体" w:cs="宋体"/>
        </w:rPr>
      </w:pPr>
      <w:r>
        <w:rPr>
          <w:rFonts w:hint="eastAsia"/>
        </w:rPr>
        <w:t>本项目供配电、机械安全、自动控制设施安全措施、辅助供水与排水措施、消防措施等公用工程及辅助设施符合相关法律法规、标准、规范的要求。经评价认为公用辅助工程具备安全验收条件。</w:t>
      </w:r>
    </w:p>
    <w:p>
      <w:pPr>
        <w:pStyle w:val="6"/>
        <w:tabs>
          <w:tab w:val="left" w:pos="0"/>
          <w:tab w:val="left" w:pos="420"/>
          <w:tab w:val="clear" w:pos="2101"/>
        </w:tabs>
        <w:spacing w:before="156" w:after="156"/>
      </w:pPr>
      <w:bookmarkStart w:id="452" w:name="_Toc21502"/>
      <w:r>
        <w:rPr>
          <w:rFonts w:hint="eastAsia"/>
        </w:rPr>
        <w:t>安全管理和应急救援单元符合性评价</w:t>
      </w:r>
      <w:bookmarkEnd w:id="450"/>
      <w:bookmarkEnd w:id="451"/>
      <w:bookmarkEnd w:id="452"/>
    </w:p>
    <w:p>
      <w:pPr>
        <w:ind w:firstLine="560"/>
      </w:pPr>
      <w:r>
        <w:rPr>
          <w:rFonts w:hint="eastAsia"/>
        </w:rPr>
        <w:t>项目设置了安全管理机构配备专职安全管理人员，制定了全员安全生产责任制、安全生产管理制度、操作规程和安全管理档案等，并严格按照制度、规程执行，主要负责人和安全管理人均经过相关部门培训并持证上岗，从业人员上岗前经过培训，安全生产费用投入到位，编制的应急预案已通过评审并在地方主管部门备案，定期进行应急演练。经评价认为安全管理和应急救援单元具备安全验收条件。</w:t>
      </w:r>
    </w:p>
    <w:p>
      <w:pPr>
        <w:pStyle w:val="6"/>
        <w:tabs>
          <w:tab w:val="left" w:pos="0"/>
          <w:tab w:val="left" w:pos="420"/>
          <w:tab w:val="clear" w:pos="2101"/>
        </w:tabs>
        <w:spacing w:before="156" w:after="156"/>
      </w:pPr>
      <w:bookmarkStart w:id="453" w:name="_Toc23307"/>
      <w:r>
        <w:rPr>
          <w:rFonts w:hint="eastAsia"/>
        </w:rPr>
        <w:t>其他安全</w:t>
      </w:r>
      <w:r>
        <w:t>防</w:t>
      </w:r>
      <w:r>
        <w:rPr>
          <w:rFonts w:hint="eastAsia"/>
        </w:rPr>
        <w:t>范</w:t>
      </w:r>
      <w:r>
        <w:t>设施</w:t>
      </w:r>
      <w:r>
        <w:rPr>
          <w:rFonts w:hint="eastAsia"/>
        </w:rPr>
        <w:t>单元符合性评价</w:t>
      </w:r>
      <w:bookmarkEnd w:id="444"/>
      <w:bookmarkEnd w:id="446"/>
      <w:bookmarkEnd w:id="453"/>
    </w:p>
    <w:p>
      <w:pPr>
        <w:ind w:firstLine="560"/>
      </w:pPr>
      <w:r>
        <w:rPr>
          <w:rFonts w:hint="eastAsia"/>
        </w:rPr>
        <w:t>项目防护栏杆、检修平台、安全罩、围栏等防高空坠落、跌落的措施；各种安全通道、楼梯、钢梯的设置；规范化敷设及色标要求；安全色、安全告知卡等措施总体符合相关法律法规、标准和规范的要求。经评价认为其他安全防范设施单元具备安全验收条件。</w:t>
      </w:r>
      <w:bookmarkStart w:id="454" w:name="_Toc21832"/>
      <w:bookmarkStart w:id="455" w:name="_Toc5634"/>
    </w:p>
    <w:p>
      <w:pPr>
        <w:pStyle w:val="5"/>
        <w:spacing w:before="156" w:after="156"/>
      </w:pPr>
      <w:bookmarkStart w:id="456" w:name="_Toc4965"/>
      <w:r>
        <w:rPr>
          <w:rFonts w:hint="eastAsia"/>
        </w:rPr>
        <w:t>评价结论</w:t>
      </w:r>
      <w:bookmarkEnd w:id="454"/>
      <w:bookmarkEnd w:id="455"/>
      <w:bookmarkEnd w:id="456"/>
    </w:p>
    <w:p>
      <w:pPr>
        <w:ind w:firstLine="560"/>
      </w:pPr>
      <w:r>
        <w:rPr>
          <w:rFonts w:hint="eastAsia"/>
        </w:rPr>
        <w:t>昭通市鼎安科技有限公司</w:t>
      </w:r>
      <w:r>
        <w:t>依据安全评价相关法规，对该建设项目严格按照安全评价过程控制程序，依据各单元主要危险、有害因素辨识、定性定量分析结果、结合该项目建设情况得出如下安全设施验收评价综合结论：</w:t>
      </w:r>
    </w:p>
    <w:p>
      <w:pPr>
        <w:ind w:firstLine="560"/>
      </w:pPr>
      <w:r>
        <w:rPr>
          <w:rFonts w:hint="eastAsia"/>
        </w:rPr>
        <w:t>云南大姚机械配件厂退城入园整体技改搬迁项目</w:t>
      </w:r>
      <w:r>
        <w:t>在建设过程中，</w:t>
      </w:r>
      <w:r>
        <w:rPr>
          <w:rFonts w:hint="eastAsia"/>
        </w:rPr>
        <w:t>按照安全生产法律法规要求履行了建设程序，建设项目经有关部门核准，安全生产条件和设施综合分析报告、安全设施设计由资质单位进行编制，得到主管部门的认可。建设项目安全设施的施工、监理符合要求，主体工程做到同时设计、同时施工、同时投入生产和使用，符合国家安全生产法规和标准的要求。</w:t>
      </w:r>
    </w:p>
    <w:p>
      <w:pPr>
        <w:ind w:firstLine="700" w:firstLineChars="250"/>
        <w:rPr>
          <w:rFonts w:ascii="宋体" w:hAnsi="宋体"/>
          <w:szCs w:val="28"/>
        </w:rPr>
      </w:pPr>
      <w:r>
        <w:rPr>
          <w:rFonts w:hint="eastAsia" w:ascii="宋体" w:hAnsi="宋体"/>
          <w:szCs w:val="28"/>
        </w:rPr>
        <w:t>该项目主要的安全设施建设和采取的安全措施符合安全生产的基本要求，消除或减弱所存在危险、有害因素的安全设施和防护措施符合安全生产的基本要求；企业设置了安全生产管理机构，主要负责人、安全生产管理人员</w:t>
      </w:r>
      <w:r>
        <w:rPr>
          <w:rFonts w:hint="eastAsia" w:ascii="宋体" w:hAnsi="宋体"/>
          <w:szCs w:val="28"/>
          <w:lang w:eastAsia="zh-CN"/>
        </w:rPr>
        <w:t>持证</w:t>
      </w:r>
      <w:r>
        <w:rPr>
          <w:rFonts w:hint="eastAsia" w:ascii="宋体" w:hAnsi="宋体"/>
          <w:szCs w:val="28"/>
        </w:rPr>
        <w:t>上岗，建立了安全生产责任制、管理制度及操作规程；制定的事故应急救援预案通过专家评审并在当地主管部门备案；提供了安全管理台账。</w:t>
      </w:r>
    </w:p>
    <w:p>
      <w:pPr>
        <w:ind w:firstLine="700" w:firstLineChars="250"/>
        <w:rPr>
          <w:rFonts w:ascii="宋体" w:hAnsi="宋体"/>
          <w:szCs w:val="28"/>
        </w:rPr>
      </w:pPr>
      <w:r>
        <w:rPr>
          <w:rFonts w:hint="eastAsia" w:ascii="宋体" w:hAnsi="宋体"/>
          <w:szCs w:val="28"/>
        </w:rPr>
        <w:t>通过试运行期的检验，该项目的危险、有害因素基本得到消除或控制，证明安全生产过程中安全设备设施、对策措施及管理控制是有效的，满足国家安全生产法规、标准和规范的要求。</w:t>
      </w:r>
    </w:p>
    <w:p>
      <w:pPr>
        <w:ind w:firstLine="560"/>
      </w:pPr>
      <w:r>
        <w:rPr>
          <w:rFonts w:hint="eastAsia"/>
        </w:rPr>
        <w:t>在项目的生产过程中，通过落实本次验收评价报告的对策措施，切实针对项目中危险、有害因素对生产设施进一步优化和完善，认真落实国家相关安全生产的法规、标准、规程、规范，加强事故预防和安全管理工作，即可为本项目奠定基本的安全生产条件，从而满足本项目安全生产的要求。其项目风险是可以控制和接受的。</w:t>
      </w:r>
    </w:p>
    <w:p>
      <w:pPr>
        <w:pStyle w:val="16"/>
        <w:spacing w:before="156" w:beforeLines="50" w:after="156" w:afterLines="50" w:line="341" w:lineRule="auto"/>
        <w:textAlignment w:val="center"/>
        <w:rPr>
          <w:rFonts w:ascii="宋体" w:hAnsi="宋体"/>
          <w:b/>
          <w:szCs w:val="28"/>
        </w:rPr>
      </w:pPr>
      <w:r>
        <w:rPr>
          <w:rFonts w:hint="eastAsia" w:ascii="宋体" w:hAnsi="宋体"/>
          <w:b/>
          <w:szCs w:val="28"/>
        </w:rPr>
        <w:t>安全验收评价结</w:t>
      </w:r>
      <w:r>
        <w:rPr>
          <w:rFonts w:hint="eastAsia" w:ascii="宋体" w:hAnsi="宋体"/>
          <w:b/>
          <w:szCs w:val="28"/>
          <w:lang w:eastAsia="zh-CN"/>
        </w:rPr>
        <w:t>论：</w:t>
      </w:r>
      <w:r>
        <w:rPr>
          <w:rFonts w:hint="eastAsia" w:ascii="宋体" w:hAnsi="宋体"/>
          <w:b/>
          <w:szCs w:val="28"/>
        </w:rPr>
        <w:t>云南大姚机械配件厂退城入园整体技改搬迁项目建设工程符合国家相关安全法律法规、标准的要求，具备安全设施竣工验收条件。</w:t>
      </w:r>
    </w:p>
    <w:p>
      <w:pPr>
        <w:pStyle w:val="16"/>
        <w:widowControl w:val="0"/>
        <w:spacing w:before="156" w:beforeLines="50" w:after="156" w:afterLines="50" w:line="341" w:lineRule="auto"/>
        <w:ind w:firstLine="565" w:firstLineChars="202"/>
        <w:textAlignment w:val="center"/>
        <w:sectPr>
          <w:pgSz w:w="11906" w:h="16838"/>
          <w:pgMar w:top="1440" w:right="1800" w:bottom="1440" w:left="1800" w:header="851" w:footer="992" w:gutter="0"/>
          <w:cols w:space="425" w:num="1"/>
          <w:docGrid w:type="lines" w:linePitch="312" w:charSpace="0"/>
        </w:sectPr>
      </w:pPr>
      <w:r>
        <w:rPr>
          <w:rFonts w:hint="eastAsia"/>
        </w:rPr>
        <w:t>安全生产是一个不断完善的动态过程，企业应按照本报告提出的对策措施建议进行整改完善。在今后的安全生产过程中，应进一步严格按照设计要求进行施工建设，并根据安全生产条件的变化和国家法规的进一步要求，不断完善安全技术措施和管理措施，提升安全技术水平，防止生产安全事故发生，切实保障人</w:t>
      </w:r>
      <w:bookmarkStart w:id="463" w:name="_GoBack"/>
      <w:bookmarkEnd w:id="463"/>
      <w:r>
        <w:rPr>
          <w:rFonts w:hint="eastAsia"/>
        </w:rPr>
        <w:t>民生命和企业财产的安全。</w:t>
      </w:r>
    </w:p>
    <w:p>
      <w:pPr>
        <w:pStyle w:val="4"/>
        <w:spacing w:before="312" w:after="312"/>
      </w:pPr>
      <w:bookmarkStart w:id="457" w:name="_Toc8011"/>
      <w:bookmarkStart w:id="458" w:name="_Toc458"/>
      <w:bookmarkStart w:id="459" w:name="_Toc498519877"/>
      <w:bookmarkStart w:id="460" w:name="_Toc498299407"/>
      <w:bookmarkStart w:id="461" w:name="_Toc500007209"/>
      <w:r>
        <w:rPr>
          <w:rFonts w:hint="eastAsia"/>
        </w:rPr>
        <w:t>与被评价单位交换意见</w:t>
      </w:r>
      <w:r>
        <w:rPr>
          <w:rFonts w:hint="eastAsia" w:cs="宋体"/>
        </w:rPr>
        <w:t>的情况</w:t>
      </w:r>
      <w:bookmarkEnd w:id="457"/>
      <w:bookmarkEnd w:id="458"/>
    </w:p>
    <w:p>
      <w:pPr>
        <w:adjustRightInd w:val="0"/>
        <w:snapToGrid w:val="0"/>
        <w:ind w:firstLine="560"/>
        <w:rPr>
          <w:rFonts w:ascii="宋体" w:hAnsi="宋体" w:cs="Times New Roman"/>
          <w:color w:val="000000"/>
          <w:szCs w:val="28"/>
        </w:rPr>
      </w:pPr>
      <w:r>
        <w:rPr>
          <w:rFonts w:hint="eastAsia" w:ascii="宋体" w:hAnsi="宋体" w:cs="Times New Roman"/>
          <w:color w:val="000000"/>
          <w:szCs w:val="28"/>
        </w:rPr>
        <w:t>针对项目验收中存在的问题，评价组向公司交换了意见，提出下面的意见建议：</w:t>
      </w:r>
    </w:p>
    <w:p>
      <w:pPr>
        <w:numPr>
          <w:ilvl w:val="0"/>
          <w:numId w:val="99"/>
        </w:numPr>
        <w:adjustRightInd w:val="0"/>
        <w:snapToGrid w:val="0"/>
        <w:ind w:firstLine="560"/>
        <w:rPr>
          <w:rFonts w:ascii="宋体" w:hAnsi="宋体" w:cs="Times New Roman"/>
          <w:color w:val="000000"/>
          <w:szCs w:val="28"/>
        </w:rPr>
      </w:pPr>
      <w:r>
        <w:rPr>
          <w:rFonts w:hint="eastAsia" w:asciiTheme="minorEastAsia" w:hAnsiTheme="minorEastAsia" w:eastAsiaTheme="minorEastAsia"/>
          <w:szCs w:val="28"/>
          <w:lang w:eastAsia="zh-CN"/>
        </w:rPr>
        <w:t>按照</w:t>
      </w:r>
      <w:r>
        <w:rPr>
          <w:rFonts w:hint="eastAsia" w:asciiTheme="minorEastAsia" w:hAnsiTheme="minorEastAsia" w:eastAsiaTheme="minorEastAsia"/>
          <w:szCs w:val="28"/>
        </w:rPr>
        <w:t>《中华</w:t>
      </w:r>
      <w:r>
        <w:rPr>
          <w:rFonts w:hint="eastAsia" w:ascii="宋体" w:hAnsi="宋体" w:cs="Times New Roman"/>
          <w:color w:val="000000"/>
          <w:szCs w:val="28"/>
        </w:rPr>
        <w:t>人民共和国安全生产法》等相关法律法规的要求，组织开展安全生产标准化工作，提高安全生产水平，落实安全生产主体责任，确保安全生产。</w:t>
      </w:r>
    </w:p>
    <w:p>
      <w:pPr>
        <w:numPr>
          <w:ilvl w:val="0"/>
          <w:numId w:val="99"/>
        </w:numPr>
        <w:adjustRightInd w:val="0"/>
        <w:snapToGrid w:val="0"/>
        <w:ind w:firstLine="560"/>
        <w:rPr>
          <w:rFonts w:ascii="宋体" w:hAnsi="宋体" w:cs="Times New Roman"/>
          <w:color w:val="000000"/>
          <w:szCs w:val="28"/>
        </w:rPr>
      </w:pPr>
      <w:r>
        <w:rPr>
          <w:rFonts w:hint="eastAsia" w:ascii="宋体" w:hAnsi="宋体" w:cs="Times New Roman"/>
          <w:color w:val="000000"/>
          <w:szCs w:val="28"/>
        </w:rPr>
        <w:t>完善安全风险分级管控和隐患排查治理双重预防机制。每年至少组织开展一次安全风险分析，并针对风险采取相应的技术、管理等措施降低安全风险。</w:t>
      </w:r>
    </w:p>
    <w:p>
      <w:pPr>
        <w:numPr>
          <w:ilvl w:val="0"/>
          <w:numId w:val="99"/>
        </w:numPr>
        <w:adjustRightInd w:val="0"/>
        <w:snapToGrid w:val="0"/>
        <w:ind w:firstLine="560"/>
        <w:rPr>
          <w:rFonts w:asciiTheme="minorEastAsia" w:hAnsiTheme="minorEastAsia"/>
          <w:szCs w:val="28"/>
        </w:rPr>
      </w:pPr>
      <w:r>
        <w:rPr>
          <w:rFonts w:hint="eastAsia" w:ascii="宋体" w:hAnsi="宋体" w:cs="Times New Roman"/>
          <w:color w:val="000000"/>
          <w:szCs w:val="28"/>
        </w:rPr>
        <w:t>牢固树立“培训不到位是重大安全隐患”的理念，进一步强化员工持续培训，按要求制定并落实本单位安全培训制度和计划。</w:t>
      </w:r>
      <w:r>
        <w:rPr>
          <w:rFonts w:hint="eastAsia" w:asciiTheme="minorEastAsia" w:hAnsiTheme="minorEastAsia"/>
          <w:szCs w:val="28"/>
        </w:rPr>
        <w:t>加强对特种设备作业人员和中频炉作业人员的培训，落实员工的安全技术培训、岗位技能培训、新工人（含临时工）的“三级安全教育”，保证员工具备必要的安全生产知识，熟悉有关的岗位职责、安全生产规章制度和安全操作规程，掌握本岗位的安全操作技能。</w:t>
      </w:r>
    </w:p>
    <w:p>
      <w:pPr>
        <w:numPr>
          <w:ilvl w:val="0"/>
          <w:numId w:val="99"/>
        </w:numPr>
        <w:adjustRightInd w:val="0"/>
        <w:snapToGrid w:val="0"/>
        <w:ind w:firstLine="560"/>
        <w:rPr>
          <w:rFonts w:cs="宋体" w:asciiTheme="minorEastAsia" w:hAnsiTheme="minorEastAsia"/>
          <w:kern w:val="0"/>
          <w:szCs w:val="28"/>
        </w:rPr>
      </w:pPr>
      <w:r>
        <w:rPr>
          <w:rFonts w:hint="eastAsia" w:ascii="宋体" w:hAnsi="宋体" w:cs="Times New Roman"/>
          <w:color w:val="000000"/>
          <w:szCs w:val="28"/>
        </w:rPr>
        <w:t>项目存在中频炉铸造工艺，企业专职安全生产管理人员应熟悉行业安全特点、掌握相关安全技能。</w:t>
      </w:r>
    </w:p>
    <w:p>
      <w:pPr>
        <w:numPr>
          <w:ilvl w:val="0"/>
          <w:numId w:val="99"/>
        </w:numPr>
        <w:adjustRightInd w:val="0"/>
        <w:snapToGrid w:val="0"/>
        <w:ind w:firstLine="560"/>
        <w:rPr>
          <w:rFonts w:ascii="宋体" w:hAnsi="宋体"/>
          <w:szCs w:val="28"/>
        </w:rPr>
      </w:pPr>
      <w:r>
        <w:rPr>
          <w:rFonts w:hint="eastAsia" w:asciiTheme="minorEastAsia" w:hAnsiTheme="minorEastAsia" w:eastAsiaTheme="minorEastAsia"/>
          <w:szCs w:val="28"/>
        </w:rPr>
        <w:t>企业应进一步健全和完善中频熔炼炉的检修、运行安全操作规程等规章制度和安全管理档案。并针对中频炉铸造存在的安全风险对相关安全管理人员、作业人员开展进一步的培训教育。</w:t>
      </w:r>
      <w:r>
        <w:rPr>
          <w:rFonts w:hint="eastAsia" w:asciiTheme="minorEastAsia" w:hAnsiTheme="minorEastAsia"/>
          <w:szCs w:val="28"/>
        </w:rPr>
        <w:t>对有</w:t>
      </w:r>
      <w:r>
        <w:rPr>
          <w:rFonts w:asciiTheme="minorEastAsia" w:hAnsiTheme="minorEastAsia"/>
          <w:szCs w:val="28"/>
        </w:rPr>
        <w:t>灼</w:t>
      </w:r>
      <w:r>
        <w:rPr>
          <w:rFonts w:hint="eastAsia" w:asciiTheme="minorEastAsia" w:hAnsiTheme="minorEastAsia"/>
          <w:szCs w:val="28"/>
        </w:rPr>
        <w:t>烫风</w:t>
      </w:r>
      <w:r>
        <w:rPr>
          <w:rFonts w:asciiTheme="minorEastAsia" w:hAnsiTheme="minorEastAsia"/>
          <w:szCs w:val="28"/>
        </w:rPr>
        <w:t>险的</w:t>
      </w:r>
      <w:r>
        <w:rPr>
          <w:rFonts w:hint="eastAsia" w:asciiTheme="minorEastAsia" w:hAnsiTheme="minorEastAsia"/>
          <w:szCs w:val="28"/>
        </w:rPr>
        <w:t>炉前工、烧铸工等作业岗位，</w:t>
      </w:r>
      <w:r>
        <w:rPr>
          <w:rFonts w:asciiTheme="minorEastAsia" w:hAnsiTheme="minorEastAsia"/>
          <w:szCs w:val="28"/>
        </w:rPr>
        <w:t>应根据岗位实际需要配置适用的工器具和符合标准规定的</w:t>
      </w:r>
      <w:r>
        <w:rPr>
          <w:rFonts w:hint="eastAsia" w:asciiTheme="minorEastAsia" w:hAnsiTheme="minorEastAsia"/>
          <w:szCs w:val="28"/>
        </w:rPr>
        <w:t>个体</w:t>
      </w:r>
      <w:r>
        <w:rPr>
          <w:rFonts w:asciiTheme="minorEastAsia" w:hAnsiTheme="minorEastAsia"/>
          <w:szCs w:val="28"/>
        </w:rPr>
        <w:t>防护用品</w:t>
      </w:r>
      <w:r>
        <w:rPr>
          <w:rFonts w:hint="eastAsia" w:asciiTheme="minorEastAsia" w:hAnsiTheme="minorEastAsia"/>
          <w:szCs w:val="28"/>
        </w:rPr>
        <w:t>，并</w:t>
      </w:r>
      <w:r>
        <w:rPr>
          <w:rFonts w:asciiTheme="minorEastAsia" w:hAnsiTheme="minorEastAsia"/>
          <w:szCs w:val="28"/>
        </w:rPr>
        <w:t>严格要求员工按规范穿戴</w:t>
      </w:r>
      <w:r>
        <w:rPr>
          <w:rFonts w:hint="eastAsia" w:asciiTheme="minorEastAsia" w:hAnsiTheme="minorEastAsia"/>
          <w:szCs w:val="28"/>
        </w:rPr>
        <w:t>个体</w:t>
      </w:r>
      <w:r>
        <w:rPr>
          <w:rFonts w:asciiTheme="minorEastAsia" w:hAnsiTheme="minorEastAsia"/>
          <w:szCs w:val="28"/>
        </w:rPr>
        <w:t>防护用品。</w:t>
      </w:r>
    </w:p>
    <w:p>
      <w:pPr>
        <w:numPr>
          <w:ilvl w:val="0"/>
          <w:numId w:val="99"/>
        </w:numPr>
        <w:adjustRightInd w:val="0"/>
        <w:snapToGrid w:val="0"/>
        <w:ind w:firstLine="560"/>
        <w:rPr>
          <w:rFonts w:asciiTheme="minorEastAsia" w:hAnsiTheme="minorEastAsia"/>
          <w:szCs w:val="28"/>
        </w:rPr>
      </w:pPr>
      <w:r>
        <w:rPr>
          <w:rFonts w:hint="eastAsia" w:asciiTheme="minorEastAsia" w:hAnsiTheme="minorEastAsia"/>
          <w:szCs w:val="28"/>
        </w:rPr>
        <w:t>企业应加强对有限空间危险作业场所、设施的安全管控力度。建立健全有限空间管理台账，并及时更新。应对有限空间作业分管负责人、安全管理人员、作业现场负责人、监护人员、作业人员、应急救援人员进行专项安全培训。培训内容主要包括：有限空间作业安全基础知识，有限空间作业安全管理，有限空间作业危险有害因素和安全防范措施，有限空间作业安全操作规程，安全防护设备、个体防护用品及应急救援装备的正确使用，紧急情况下的应急处置措施等。</w:t>
      </w:r>
    </w:p>
    <w:p>
      <w:pPr>
        <w:numPr>
          <w:ilvl w:val="0"/>
          <w:numId w:val="99"/>
        </w:numPr>
        <w:adjustRightInd w:val="0"/>
        <w:snapToGrid w:val="0"/>
        <w:ind w:firstLine="560"/>
        <w:rPr>
          <w:rFonts w:asciiTheme="minorEastAsia" w:hAnsiTheme="minorEastAsia"/>
          <w:szCs w:val="28"/>
        </w:rPr>
      </w:pPr>
      <w:r>
        <w:rPr>
          <w:rFonts w:hint="eastAsia" w:asciiTheme="minorEastAsia" w:hAnsiTheme="minorEastAsia"/>
          <w:szCs w:val="28"/>
        </w:rPr>
        <w:t>严格落实有限空间作业安全措施：必须严格执行作业审批制度，严禁擅自进入有限空间作业。必须做到“先通风、再检测、后作业”，严禁通风、检测不合格作业。必须配备个人防中毒窒息等防护装备，设置安全警示标识，严禁无防护监护措施作业。必须对作业人员进行安全培训，严禁教育培训不合格上岗作业。必须制定应急措施，现场配备应急装备，严禁盲目施救。</w:t>
      </w:r>
    </w:p>
    <w:p>
      <w:pPr>
        <w:numPr>
          <w:ilvl w:val="0"/>
          <w:numId w:val="99"/>
        </w:numPr>
        <w:adjustRightInd w:val="0"/>
        <w:snapToGrid w:val="0"/>
        <w:ind w:firstLine="560"/>
        <w:rPr>
          <w:rFonts w:asciiTheme="minorEastAsia" w:hAnsiTheme="minorEastAsia"/>
          <w:szCs w:val="28"/>
        </w:rPr>
      </w:pPr>
      <w:r>
        <w:rPr>
          <w:rFonts w:hint="eastAsia" w:asciiTheme="minorEastAsia" w:hAnsiTheme="minorEastAsia"/>
          <w:szCs w:val="28"/>
        </w:rPr>
        <w:t>吊装作业必须持证上岗，严格执行吊装作业“十不吊”，吊运熔融金属过程中，吊运区域严禁非吊运作业人员进入。</w:t>
      </w:r>
    </w:p>
    <w:p>
      <w:pPr>
        <w:numPr>
          <w:ilvl w:val="0"/>
          <w:numId w:val="99"/>
        </w:numPr>
        <w:adjustRightInd w:val="0"/>
        <w:snapToGrid w:val="0"/>
        <w:ind w:firstLine="560"/>
        <w:rPr>
          <w:rFonts w:asciiTheme="minorEastAsia" w:hAnsiTheme="minorEastAsia"/>
          <w:szCs w:val="28"/>
        </w:rPr>
      </w:pPr>
      <w:r>
        <w:rPr>
          <w:rFonts w:hint="eastAsia" w:asciiTheme="minorEastAsia" w:hAnsiTheme="minorEastAsia"/>
          <w:szCs w:val="28"/>
        </w:rPr>
        <w:t>按照《企业安全生产费用提取和使用管理办法》（财资〔2022〕136号）要求，明确安全生产费用提取和使用的程序、职责及权限，落实责任，确保按规定提取和使用企业安全生产费用；编制年度企业安全生产费用提取和使用计划，纳入企业财务预算，确保资金投入。</w:t>
      </w:r>
    </w:p>
    <w:p>
      <w:pPr>
        <w:numPr>
          <w:ilvl w:val="0"/>
          <w:numId w:val="99"/>
        </w:numPr>
        <w:adjustRightInd w:val="0"/>
        <w:snapToGrid w:val="0"/>
        <w:ind w:firstLine="560"/>
        <w:rPr>
          <w:rFonts w:asciiTheme="minorEastAsia" w:hAnsiTheme="minorEastAsia"/>
          <w:szCs w:val="28"/>
        </w:rPr>
      </w:pPr>
      <w:r>
        <w:rPr>
          <w:rFonts w:hint="eastAsia" w:asciiTheme="minorEastAsia" w:hAnsiTheme="minorEastAsia"/>
          <w:szCs w:val="28"/>
        </w:rPr>
        <w:t>企业二期工程项目的设计建设施工，不能影响一期建成安全设施的正常投入使用。二期项目建设应严格按照项目建设“三同时”的要求，应当委托有相应资质的单位进行项目预评价和安全设施设计，必须审查核实其对一期项目的影响，确保已建成项目的安全可靠。</w:t>
      </w:r>
    </w:p>
    <w:p>
      <w:pPr>
        <w:numPr>
          <w:ilvl w:val="0"/>
          <w:numId w:val="99"/>
        </w:numPr>
        <w:adjustRightInd w:val="0"/>
        <w:snapToGrid w:val="0"/>
        <w:ind w:firstLine="560"/>
        <w:rPr>
          <w:rFonts w:asciiTheme="minorEastAsia" w:hAnsiTheme="minorEastAsia"/>
          <w:szCs w:val="28"/>
        </w:rPr>
      </w:pPr>
      <w:r>
        <w:rPr>
          <w:rFonts w:hint="eastAsia" w:asciiTheme="minorEastAsia" w:hAnsiTheme="minorEastAsia"/>
          <w:szCs w:val="28"/>
        </w:rPr>
        <w:t>应根据企业中频炉数量、吨位，综合考虑实际安全风险，开展安全风险评估和应急资源调查，完善生产安全事故应急预案体系。应急预案中至少应该包括中频炉停电、断水和漏炉、吊运熔融金属的起重机在操作中突发停电、抱闸失灵等应急措施。</w:t>
      </w:r>
    </w:p>
    <w:p>
      <w:pPr>
        <w:numPr>
          <w:ilvl w:val="0"/>
          <w:numId w:val="99"/>
        </w:numPr>
        <w:adjustRightInd w:val="0"/>
        <w:snapToGrid w:val="0"/>
        <w:ind w:firstLine="560"/>
        <w:rPr>
          <w:rFonts w:asciiTheme="minorEastAsia" w:hAnsiTheme="minorEastAsia"/>
          <w:szCs w:val="28"/>
        </w:rPr>
      </w:pPr>
      <w:r>
        <w:rPr>
          <w:rFonts w:hint="eastAsia" w:asciiTheme="minorEastAsia" w:hAnsiTheme="minorEastAsia"/>
          <w:szCs w:val="28"/>
        </w:rPr>
        <w:t>企业应定期组织公司、车间、班组定期开展生产安全事故应急演练，演练内容包括中频炉停电、断水和漏炉、吊运熔融金属的起重机在操作中突发停电、抱闸失灵等相关内容。</w:t>
      </w:r>
    </w:p>
    <w:p>
      <w:pPr>
        <w:numPr>
          <w:ilvl w:val="0"/>
          <w:numId w:val="99"/>
        </w:numPr>
        <w:adjustRightInd w:val="0"/>
        <w:snapToGrid w:val="0"/>
        <w:ind w:firstLine="560"/>
        <w:rPr>
          <w:rFonts w:asciiTheme="minorEastAsia" w:hAnsiTheme="minorEastAsia"/>
          <w:szCs w:val="28"/>
        </w:rPr>
      </w:pPr>
      <w:r>
        <w:rPr>
          <w:rFonts w:hint="eastAsia" w:asciiTheme="minorEastAsia" w:hAnsiTheme="minorEastAsia"/>
          <w:szCs w:val="28"/>
        </w:rPr>
        <w:t>企业应吸取国内中频</w:t>
      </w:r>
      <w:r>
        <w:rPr>
          <w:rFonts w:asciiTheme="minorEastAsia" w:hAnsiTheme="minorEastAsia"/>
          <w:szCs w:val="28"/>
        </w:rPr>
        <w:t>熔炼炉钢水灼烫</w:t>
      </w:r>
      <w:r>
        <w:rPr>
          <w:rFonts w:hint="eastAsia" w:asciiTheme="minorEastAsia" w:hAnsiTheme="minorEastAsia"/>
          <w:szCs w:val="28"/>
        </w:rPr>
        <w:t>、爆炸</w:t>
      </w:r>
      <w:r>
        <w:rPr>
          <w:rFonts w:asciiTheme="minorEastAsia" w:hAnsiTheme="minorEastAsia"/>
          <w:szCs w:val="28"/>
        </w:rPr>
        <w:t>事故</w:t>
      </w:r>
      <w:r>
        <w:rPr>
          <w:rFonts w:hint="eastAsia" w:asciiTheme="minorEastAsia" w:hAnsiTheme="minorEastAsia"/>
          <w:szCs w:val="28"/>
        </w:rPr>
        <w:t>及熔融金属起吊事故教训，结合企业自身实际情况及时进行修订生产安全事故应急预案和相关规程措施。</w:t>
      </w:r>
    </w:p>
    <w:p>
      <w:pPr>
        <w:numPr>
          <w:ilvl w:val="0"/>
          <w:numId w:val="99"/>
        </w:numPr>
        <w:adjustRightInd w:val="0"/>
        <w:snapToGrid w:val="0"/>
        <w:ind w:firstLine="560"/>
      </w:pPr>
      <w:r>
        <w:rPr>
          <w:rFonts w:hint="eastAsia" w:asciiTheme="minorEastAsia" w:hAnsiTheme="minorEastAsia"/>
          <w:szCs w:val="28"/>
        </w:rPr>
        <w:t>加强日常管理，确保项目使用的废铁等原材料的堆放合理，不挤占消防等车道。</w:t>
      </w:r>
    </w:p>
    <w:p>
      <w:pPr>
        <w:ind w:firstLine="560"/>
      </w:pPr>
      <w:r>
        <w:rPr>
          <w:rFonts w:hint="eastAsia" w:ascii="宋体" w:hAnsi="宋体" w:cs="宋体"/>
          <w:szCs w:val="28"/>
        </w:rPr>
        <w:t>云南大姚祥华工业制造股份公司</w:t>
      </w:r>
      <w:r>
        <w:rPr>
          <w:rFonts w:hint="eastAsia" w:ascii="宋体" w:hAnsi="宋体" w:cs="Times New Roman"/>
          <w:color w:val="000000"/>
          <w:szCs w:val="28"/>
        </w:rPr>
        <w:t>对评价小组提出的意见和建议完全接受。</w:t>
      </w:r>
    </w:p>
    <w:p>
      <w:pPr>
        <w:pStyle w:val="16"/>
        <w:spacing w:before="156" w:beforeLines="50" w:after="156" w:afterLines="50" w:line="341" w:lineRule="auto"/>
        <w:ind w:firstLine="568" w:firstLineChars="202"/>
        <w:textAlignment w:val="center"/>
        <w:rPr>
          <w:rFonts w:ascii="宋体" w:hAnsi="宋体"/>
          <w:b/>
          <w:szCs w:val="28"/>
        </w:rPr>
        <w:sectPr>
          <w:pgSz w:w="11906" w:h="16838"/>
          <w:pgMar w:top="1440" w:right="1800" w:bottom="1440" w:left="1800" w:header="851" w:footer="992" w:gutter="0"/>
          <w:cols w:space="425" w:num="1"/>
          <w:docGrid w:type="lines" w:linePitch="312" w:charSpace="0"/>
        </w:sectPr>
      </w:pPr>
    </w:p>
    <w:bookmarkEnd w:id="459"/>
    <w:bookmarkEnd w:id="460"/>
    <w:p>
      <w:pPr>
        <w:pStyle w:val="4"/>
        <w:spacing w:before="312" w:after="312"/>
        <w:ind w:left="0"/>
      </w:pPr>
      <w:bookmarkStart w:id="462" w:name="_Toc12404"/>
      <w:r>
        <w:rPr>
          <w:rFonts w:hint="eastAsia"/>
        </w:rPr>
        <w:t>附件</w:t>
      </w:r>
      <w:bookmarkEnd w:id="461"/>
      <w:bookmarkEnd w:id="462"/>
    </w:p>
    <w:p>
      <w:pPr>
        <w:ind w:firstLine="0" w:firstLineChars="0"/>
      </w:pPr>
    </w:p>
    <w:sectPr>
      <w:footerReference r:id="rId18"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ind w:firstLine="0" w:firstLineChars="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1"/>
                            <w:ind w:firstLine="36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NiTWUtAgAAVwQAAA4AAABkcnMvZTJvRG9jLnhtbK1UzY7TMBC+I/EO&#10;lu80aYFV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NNiTWUtAgAAVwQAAA4AAAAAAAAAAQAgAAAAHwEAAGRycy9lMm9Eb2MueG1sUEsFBgAAAAAG&#10;AAYAWQEAAL4FAAAAAA==&#10;">
              <v:fill on="f" focussize="0,0"/>
              <v:stroke on="f" weight="0.5pt"/>
              <v:imagedata o:title=""/>
              <o:lock v:ext="edit" aspectratio="f"/>
              <v:textbox inset="0mm,0mm,0mm,0mm" style="mso-fit-shape-to-text:t;">
                <w:txbxContent>
                  <w:p>
                    <w:pPr>
                      <w:pStyle w:val="21"/>
                      <w:ind w:firstLine="360"/>
                    </w:pPr>
                    <w:r>
                      <w:fldChar w:fldCharType="begin"/>
                    </w:r>
                    <w:r>
                      <w:instrText xml:space="preserve"> PAGE  \* MERGEFORMAT </w:instrText>
                    </w:r>
                    <w:r>
                      <w:fldChar w:fldCharType="separate"/>
                    </w:r>
                    <w:r>
                      <w:t>1</w:t>
                    </w:r>
                    <w:r>
                      <w:fldChar w:fldCharType="end"/>
                    </w:r>
                  </w:p>
                </w:txbxContent>
              </v:textbox>
            </v:shape>
          </w:pict>
        </mc:Fallback>
      </mc:AlternateContent>
    </w:r>
    <w:r>
      <w:rPr>
        <w:rFonts w:hint="eastAsia"/>
      </w:rPr>
      <w:t xml:space="preserve">昭通市鼎安科技有限公司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ind w:firstLine="0" w:firstLineChars="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1"/>
                            <w:ind w:firstLine="360"/>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t2TVYrAgAAVw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7dk1WKwIAAFcEAAAOAAAAAAAAAAEAIAAAAB8BAABkcnMvZTJvRG9jLnhtbFBLBQYAAAAABgAG&#10;AFkBAAC8BQAAAAA=&#10;">
              <v:fill on="f" focussize="0,0"/>
              <v:stroke on="f" weight="0.5pt"/>
              <v:imagedata o:title=""/>
              <o:lock v:ext="edit" aspectratio="f"/>
              <v:textbox inset="0mm,0mm,0mm,0mm" style="mso-fit-shape-to-text:t;">
                <w:txbxContent>
                  <w:p>
                    <w:pPr>
                      <w:pStyle w:val="21"/>
                      <w:ind w:firstLine="360"/>
                    </w:pPr>
                    <w:r>
                      <w:fldChar w:fldCharType="begin"/>
                    </w:r>
                    <w:r>
                      <w:instrText xml:space="preserve"> PAGE  \* MERGEFORMAT </w:instrText>
                    </w:r>
                    <w:r>
                      <w:fldChar w:fldCharType="separate"/>
                    </w:r>
                    <w:r>
                      <w:t>- 1 -</w:t>
                    </w:r>
                    <w:r>
                      <w:fldChar w:fldCharType="end"/>
                    </w:r>
                  </w:p>
                </w:txbxContent>
              </v:textbox>
            </v:shape>
          </w:pict>
        </mc:Fallback>
      </mc:AlternateContent>
    </w:r>
    <w:r>
      <w:rPr>
        <w:rFonts w:hint="eastAsia"/>
      </w:rPr>
      <w:t xml:space="preserve">昭通市鼎安科技有限公司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ind w:firstLine="0" w:firstLineChars="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6" name="文本框 3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1"/>
                            <w:ind w:firstLine="360"/>
                          </w:pPr>
                          <w:r>
                            <w:t xml:space="preserve">第 </w:t>
                          </w:r>
                          <w:r>
                            <w:fldChar w:fldCharType="begin"/>
                          </w:r>
                          <w:r>
                            <w:instrText xml:space="preserve"> PAGE  \* MERGEFORMAT </w:instrText>
                          </w:r>
                          <w:r>
                            <w:fldChar w:fldCharType="separate"/>
                          </w:r>
                          <w:r>
                            <w:t>I</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BSBpj0tAgAAVwQAAA4AAAAAAAAAAQAgAAAAHwEAAGRycy9lMm9Eb2MueG1sUEsFBgAAAAAG&#10;AAYAWQEAAL4FAAAAAA==&#10;">
              <v:fill on="f" focussize="0,0"/>
              <v:stroke on="f" weight="0.5pt"/>
              <v:imagedata o:title=""/>
              <o:lock v:ext="edit" aspectratio="f"/>
              <v:textbox inset="0mm,0mm,0mm,0mm" style="mso-fit-shape-to-text:t;">
                <w:txbxContent>
                  <w:p>
                    <w:pPr>
                      <w:pStyle w:val="21"/>
                      <w:ind w:firstLine="360"/>
                    </w:pPr>
                    <w:r>
                      <w:t xml:space="preserve">第 </w:t>
                    </w:r>
                    <w:r>
                      <w:fldChar w:fldCharType="begin"/>
                    </w:r>
                    <w:r>
                      <w:instrText xml:space="preserve"> PAGE  \* MERGEFORMAT </w:instrText>
                    </w:r>
                    <w:r>
                      <w:fldChar w:fldCharType="separate"/>
                    </w:r>
                    <w:r>
                      <w:t>I</w:t>
                    </w:r>
                    <w:r>
                      <w:fldChar w:fldCharType="end"/>
                    </w:r>
                    <w:r>
                      <w:t xml:space="preserve"> 页</w:t>
                    </w:r>
                  </w:p>
                </w:txbxContent>
              </v:textbox>
            </v:shape>
          </w:pict>
        </mc:Fallback>
      </mc:AlternateContent>
    </w:r>
    <w:r>
      <w:rPr>
        <w:rFonts w:hint="eastAsia"/>
      </w:rPr>
      <w:t>昭通市鼎安科技有限公司</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ind w:firstLine="0" w:firstLineChars="0"/>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7" name="文本框 3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1"/>
                            <w:ind w:firstLine="360"/>
                          </w:pPr>
                          <w:r>
                            <w:t xml:space="preserve">第 </w:t>
                          </w:r>
                          <w:r>
                            <w:fldChar w:fldCharType="begin"/>
                          </w:r>
                          <w:r>
                            <w:instrText xml:space="preserve"> PAGE  \* MERGEFORMAT </w:instrText>
                          </w:r>
                          <w:r>
                            <w:fldChar w:fldCharType="separate"/>
                          </w:r>
                          <w:r>
                            <w:t>LIV</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zM9X0tAgAAVwQAAA4AAABkcnMvZTJvRG9jLnhtbK1UzY7TMBC+I/EO&#10;lu80aVcs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LzM9X0tAgAAVwQAAA4AAAAAAAAAAQAgAAAAHwEAAGRycy9lMm9Eb2MueG1sUEsFBgAAAAAG&#10;AAYAWQEAAL4FAAAAAA==&#10;">
              <v:fill on="f" focussize="0,0"/>
              <v:stroke on="f" weight="0.5pt"/>
              <v:imagedata o:title=""/>
              <o:lock v:ext="edit" aspectratio="f"/>
              <v:textbox inset="0mm,0mm,0mm,0mm" style="mso-fit-shape-to-text:t;">
                <w:txbxContent>
                  <w:p>
                    <w:pPr>
                      <w:pStyle w:val="21"/>
                      <w:ind w:firstLine="360"/>
                    </w:pPr>
                    <w:r>
                      <w:t xml:space="preserve">第 </w:t>
                    </w:r>
                    <w:r>
                      <w:fldChar w:fldCharType="begin"/>
                    </w:r>
                    <w:r>
                      <w:instrText xml:space="preserve"> PAGE  \* MERGEFORMAT </w:instrText>
                    </w:r>
                    <w:r>
                      <w:fldChar w:fldCharType="separate"/>
                    </w:r>
                    <w:r>
                      <w:t>LIV</w:t>
                    </w:r>
                    <w:r>
                      <w:fldChar w:fldCharType="end"/>
                    </w:r>
                    <w:r>
                      <w:t xml:space="preserve"> 页</w:t>
                    </w:r>
                  </w:p>
                </w:txbxContent>
              </v:textbox>
            </v:shape>
          </w:pict>
        </mc:Fallback>
      </mc:AlternateContent>
    </w:r>
    <w:r>
      <w:rPr>
        <w:rFonts w:hint="eastAsia"/>
      </w:rPr>
      <w:t xml:space="preserve">昭通市鼎安科技有限公司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ind w:firstLine="0" w:firstLineChars="0"/>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38" name="文本框 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1"/>
                            <w:ind w:firstLine="360"/>
                          </w:pPr>
                          <w:r>
                            <w:t xml:space="preserve">第 </w:t>
                          </w:r>
                          <w:r>
                            <w:fldChar w:fldCharType="begin"/>
                          </w:r>
                          <w:r>
                            <w:instrText xml:space="preserve"> PAGE  \* MERGEFORMAT </w:instrText>
                          </w:r>
                          <w:r>
                            <w:fldChar w:fldCharType="separate"/>
                          </w:r>
                          <w:r>
                            <w:t>LXXXV</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ZNNQgtAgAAVw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CZNNQgtAgAAVwQAAA4AAAAAAAAAAQAgAAAAHwEAAGRycy9lMm9Eb2MueG1sUEsFBgAAAAAG&#10;AAYAWQEAAL4FAAAAAA==&#10;">
              <v:fill on="f" focussize="0,0"/>
              <v:stroke on="f" weight="0.5pt"/>
              <v:imagedata o:title=""/>
              <o:lock v:ext="edit" aspectratio="f"/>
              <v:textbox inset="0mm,0mm,0mm,0mm" style="mso-fit-shape-to-text:t;">
                <w:txbxContent>
                  <w:p>
                    <w:pPr>
                      <w:pStyle w:val="21"/>
                      <w:ind w:firstLine="360"/>
                    </w:pPr>
                    <w:r>
                      <w:t xml:space="preserve">第 </w:t>
                    </w:r>
                    <w:r>
                      <w:fldChar w:fldCharType="begin"/>
                    </w:r>
                    <w:r>
                      <w:instrText xml:space="preserve"> PAGE  \* MERGEFORMAT </w:instrText>
                    </w:r>
                    <w:r>
                      <w:fldChar w:fldCharType="separate"/>
                    </w:r>
                    <w:r>
                      <w:t>LXXXV</w:t>
                    </w:r>
                    <w:r>
                      <w:fldChar w:fldCharType="end"/>
                    </w:r>
                    <w:r>
                      <w:t xml:space="preserve"> 页</w:t>
                    </w:r>
                  </w:p>
                </w:txbxContent>
              </v:textbox>
            </v:shape>
          </w:pict>
        </mc:Fallback>
      </mc:AlternateContent>
    </w:r>
    <w:r>
      <w:rPr>
        <w:rFonts w:hint="eastAsia"/>
      </w:rPr>
      <w:t xml:space="preserve">昭通市鼎安科技有限公司 </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tabs>
        <w:tab w:val="center" w:pos="4153"/>
        <w:tab w:val="right" w:pos="8306"/>
      </w:tabs>
      <w:adjustRightInd w:val="0"/>
      <w:snapToGrid w:val="0"/>
      <w:spacing w:after="200"/>
      <w:ind w:firstLine="0" w:firstLineChars="0"/>
      <w:jc w:val="both"/>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39" name="文本框 3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1"/>
                            <w:ind w:firstLine="360"/>
                          </w:pPr>
                          <w:r>
                            <w:t xml:space="preserve">第 </w:t>
                          </w:r>
                          <w:r>
                            <w:fldChar w:fldCharType="begin"/>
                          </w:r>
                          <w:r>
                            <w:instrText xml:space="preserve"> PAGE  \* MERGEFORMAT </w:instrText>
                          </w:r>
                          <w:r>
                            <w:fldChar w:fldCharType="separate"/>
                          </w:r>
                          <w:r>
                            <w:t>CLXXX</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4AZkgtAgAAVwQAAA4AAABkcnMvZTJvRG9jLnhtbK1UzY7TMBC+I/EO&#10;lu80aVesSt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I4AZkgtAgAAVwQAAA4AAAAAAAAAAQAgAAAAHwEAAGRycy9lMm9Eb2MueG1sUEsFBgAAAAAG&#10;AAYAWQEAAL4FAAAAAA==&#10;">
              <v:fill on="f" focussize="0,0"/>
              <v:stroke on="f" weight="0.5pt"/>
              <v:imagedata o:title=""/>
              <o:lock v:ext="edit" aspectratio="f"/>
              <v:textbox inset="0mm,0mm,0mm,0mm" style="mso-fit-shape-to-text:t;">
                <w:txbxContent>
                  <w:p>
                    <w:pPr>
                      <w:pStyle w:val="21"/>
                      <w:ind w:firstLine="360"/>
                    </w:pPr>
                    <w:r>
                      <w:t xml:space="preserve">第 </w:t>
                    </w:r>
                    <w:r>
                      <w:fldChar w:fldCharType="begin"/>
                    </w:r>
                    <w:r>
                      <w:instrText xml:space="preserve"> PAGE  \* MERGEFORMAT </w:instrText>
                    </w:r>
                    <w:r>
                      <w:fldChar w:fldCharType="separate"/>
                    </w:r>
                    <w:r>
                      <w:t>CLXXX</w:t>
                    </w:r>
                    <w:r>
                      <w:fldChar w:fldCharType="end"/>
                    </w:r>
                    <w:r>
                      <w:t xml:space="preserve"> 页</w:t>
                    </w:r>
                  </w:p>
                </w:txbxContent>
              </v:textbox>
            </v:shape>
          </w:pict>
        </mc:Fallback>
      </mc:AlternateContent>
    </w:r>
    <w:r>
      <w:rPr>
        <w:rFonts w:hint="eastAsia"/>
        <w:sz w:val="18"/>
        <w:szCs w:val="18"/>
      </w:rPr>
      <w:t>昭通市鼎安科技有限公司</w:t>
    </w:r>
    <w:r>
      <w:rPr>
        <w:rFonts w:hint="eastAsia"/>
        <w:sz w:val="18"/>
      </w:rPr>
      <w:t xml:space="preserve">   </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ind w:firstLine="0" w:firstLineChars="0"/>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40" name="文本框 4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1"/>
                            <w:ind w:firstLine="360"/>
                          </w:pPr>
                          <w:r>
                            <w:t xml:space="preserve">第 </w:t>
                          </w:r>
                          <w:r>
                            <w:fldChar w:fldCharType="begin"/>
                          </w:r>
                          <w:r>
                            <w:instrText xml:space="preserve"> PAGE  \* MERGEFORMAT </w:instrText>
                          </w:r>
                          <w:r>
                            <w:fldChar w:fldCharType="separate"/>
                          </w:r>
                          <w:r>
                            <w:t>CXCI</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NLTQMsAgAAVwQAAA4AAABkcnMvZTJvRG9jLnhtbK1UzY7TMBC+I/EO&#10;lu80aYFV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g0tNAywCAABXBAAADgAAAAAAAAABACAAAAAfAQAAZHJzL2Uyb0RvYy54bWxQSwUGAAAAAAYA&#10;BgBZAQAAvQUAAAAA&#10;">
              <v:fill on="f" focussize="0,0"/>
              <v:stroke on="f" weight="0.5pt"/>
              <v:imagedata o:title=""/>
              <o:lock v:ext="edit" aspectratio="f"/>
              <v:textbox inset="0mm,0mm,0mm,0mm" style="mso-fit-shape-to-text:t;">
                <w:txbxContent>
                  <w:p>
                    <w:pPr>
                      <w:pStyle w:val="21"/>
                      <w:ind w:firstLine="360"/>
                    </w:pPr>
                    <w:r>
                      <w:t xml:space="preserve">第 </w:t>
                    </w:r>
                    <w:r>
                      <w:fldChar w:fldCharType="begin"/>
                    </w:r>
                    <w:r>
                      <w:instrText xml:space="preserve"> PAGE  \* MERGEFORMAT </w:instrText>
                    </w:r>
                    <w:r>
                      <w:fldChar w:fldCharType="separate"/>
                    </w:r>
                    <w:r>
                      <w:t>CXCI</w:t>
                    </w:r>
                    <w:r>
                      <w:fldChar w:fldCharType="end"/>
                    </w:r>
                    <w:r>
                      <w:t xml:space="preserve"> 页</w:t>
                    </w:r>
                  </w:p>
                </w:txbxContent>
              </v:textbox>
            </v:shape>
          </w:pict>
        </mc:Fallback>
      </mc:AlternateContent>
    </w:r>
    <w:r>
      <w:rPr>
        <w:rFonts w:hint="eastAsia"/>
      </w:rPr>
      <w:t xml:space="preserve">昭通市鼎安科技有限公司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560"/>
      </w:pPr>
      <w:r>
        <w:separator/>
      </w:r>
    </w:p>
  </w:footnote>
  <w:footnote w:type="continuationSeparator" w:id="1">
    <w:p>
      <w:pPr>
        <w:spacing w:line="24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bottom w:val="thinThickSmallGap" w:color="auto" w:sz="12" w:space="1"/>
      </w:pBdr>
      <w:ind w:firstLine="0" w:firstLineChars="0"/>
      <w:rPr>
        <w:rFonts w:ascii="宋体" w:hAnsi="宋体" w:cs="宋体"/>
      </w:rPr>
    </w:pPr>
    <w:r>
      <w:rPr>
        <w:rFonts w:hint="eastAsia" w:ascii="宋体" w:hAnsi="宋体" w:cs="宋体"/>
        <w:szCs w:val="28"/>
      </w:rPr>
      <w:t>云</w:t>
    </w:r>
    <w:r>
      <w:rPr>
        <w:rFonts w:hint="eastAsia" w:ascii="宋体" w:hAnsi="宋体"/>
        <w:snapToGrid w:val="0"/>
        <w:color w:val="000000"/>
        <w:kern w:val="0"/>
        <w:shd w:val="clear" w:color="auto" w:fill="FFFFFF"/>
      </w:rPr>
      <w:t>南大姚祥华工业制造股份公司</w:t>
    </w:r>
    <w:r>
      <w:rPr>
        <w:rFonts w:hint="eastAsia" w:cs="Times New Roman"/>
      </w:rPr>
      <w:t>云南大姚机械配件厂退城入园整体技改搬迁项目</w:t>
    </w:r>
    <w:r>
      <w:rPr>
        <w:rFonts w:hint="eastAsia" w:ascii="宋体" w:hAnsi="宋体" w:cs="宋体"/>
      </w:rPr>
      <w:t>安全设施验收评价报告</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bottom w:val="thinThickSmallGap" w:color="auto" w:sz="12" w:space="1"/>
      </w:pBdr>
      <w:ind w:firstLine="0" w:firstLineChars="0"/>
      <w:rPr>
        <w:rFonts w:ascii="宋体" w:hAnsi="宋体" w:cs="宋体"/>
      </w:rPr>
    </w:pPr>
    <w:r>
      <w:rPr>
        <w:rFonts w:hint="eastAsia" w:ascii="宋体" w:hAnsi="宋体" w:cs="宋体"/>
        <w:szCs w:val="28"/>
      </w:rPr>
      <w:t>云</w:t>
    </w:r>
    <w:r>
      <w:rPr>
        <w:rFonts w:hint="eastAsia" w:ascii="宋体" w:hAnsi="宋体"/>
        <w:snapToGrid w:val="0"/>
        <w:color w:val="000000"/>
        <w:kern w:val="0"/>
        <w:shd w:val="clear" w:color="auto" w:fill="FFFFFF"/>
      </w:rPr>
      <w:t>南大姚祥华工业制造股份公司</w:t>
    </w:r>
    <w:r>
      <w:rPr>
        <w:rFonts w:hint="eastAsia" w:cs="Times New Roman"/>
      </w:rPr>
      <w:t>云南大姚机械配件厂退城入园整体技改搬迁项目</w:t>
    </w:r>
    <w:r>
      <w:rPr>
        <w:rFonts w:hint="eastAsia" w:ascii="宋体" w:hAnsi="宋体" w:cs="宋体"/>
      </w:rPr>
      <w:t>安全设施验收评价报告</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bottom w:val="thinThickSmallGap" w:color="auto" w:sz="12" w:space="1"/>
      </w:pBdr>
      <w:ind w:firstLine="0" w:firstLineChars="0"/>
    </w:pPr>
    <w:r>
      <w:rPr>
        <w:rFonts w:hint="eastAsia" w:ascii="宋体" w:hAnsi="宋体" w:cs="宋体"/>
        <w:szCs w:val="28"/>
      </w:rPr>
      <w:t>云</w:t>
    </w:r>
    <w:r>
      <w:rPr>
        <w:rFonts w:hint="eastAsia" w:ascii="宋体" w:hAnsi="宋体"/>
        <w:snapToGrid w:val="0"/>
        <w:color w:val="000000"/>
        <w:kern w:val="0"/>
        <w:shd w:val="clear" w:color="auto" w:fill="FFFFFF"/>
      </w:rPr>
      <w:t>南大姚祥华工业制造股份公司</w:t>
    </w:r>
    <w:r>
      <w:rPr>
        <w:rFonts w:hint="eastAsia" w:cs="Times New Roman"/>
      </w:rPr>
      <w:t>云南大姚机械配件厂退城入园整体技改搬迁项目</w:t>
    </w:r>
    <w:r>
      <w:rPr>
        <w:rFonts w:hint="eastAsia" w:ascii="宋体" w:hAnsi="宋体" w:cs="宋体"/>
      </w:rPr>
      <w:t>安全设施验收评价报告</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F0B6CB"/>
    <w:multiLevelType w:val="singleLevel"/>
    <w:tmpl w:val="80F0B6CB"/>
    <w:lvl w:ilvl="0" w:tentative="0">
      <w:start w:val="1"/>
      <w:numFmt w:val="decimal"/>
      <w:suff w:val="nothing"/>
      <w:lvlText w:val="%1"/>
      <w:lvlJc w:val="left"/>
      <w:pPr>
        <w:ind w:left="0" w:firstLine="403"/>
      </w:pPr>
      <w:rPr>
        <w:rFonts w:hint="default"/>
      </w:rPr>
    </w:lvl>
  </w:abstractNum>
  <w:abstractNum w:abstractNumId="1">
    <w:nsid w:val="852461AB"/>
    <w:multiLevelType w:val="singleLevel"/>
    <w:tmpl w:val="852461AB"/>
    <w:lvl w:ilvl="0" w:tentative="0">
      <w:start w:val="1"/>
      <w:numFmt w:val="decimal"/>
      <w:suff w:val="nothing"/>
      <w:lvlText w:val="%1"/>
      <w:lvlJc w:val="center"/>
      <w:pPr>
        <w:ind w:left="0" w:firstLine="0"/>
      </w:pPr>
      <w:rPr>
        <w:rFonts w:hint="default"/>
      </w:rPr>
    </w:lvl>
  </w:abstractNum>
  <w:abstractNum w:abstractNumId="2">
    <w:nsid w:val="862802B7"/>
    <w:multiLevelType w:val="singleLevel"/>
    <w:tmpl w:val="862802B7"/>
    <w:lvl w:ilvl="0" w:tentative="0">
      <w:start w:val="1"/>
      <w:numFmt w:val="decimal"/>
      <w:suff w:val="nothing"/>
      <w:lvlText w:val="%1．"/>
      <w:lvlJc w:val="left"/>
      <w:pPr>
        <w:ind w:left="0" w:firstLine="400"/>
      </w:pPr>
      <w:rPr>
        <w:rFonts w:hint="default" w:ascii="宋体" w:hAnsi="宋体" w:eastAsia="宋体" w:cs="宋体"/>
        <w:sz w:val="28"/>
        <w:szCs w:val="28"/>
      </w:rPr>
    </w:lvl>
  </w:abstractNum>
  <w:abstractNum w:abstractNumId="3">
    <w:nsid w:val="89BB493E"/>
    <w:multiLevelType w:val="singleLevel"/>
    <w:tmpl w:val="89BB493E"/>
    <w:lvl w:ilvl="0" w:tentative="0">
      <w:start w:val="1"/>
      <w:numFmt w:val="decimal"/>
      <w:suff w:val="nothing"/>
      <w:lvlText w:val="（%1）"/>
      <w:lvlJc w:val="left"/>
      <w:pPr>
        <w:tabs>
          <w:tab w:val="left" w:pos="1134"/>
        </w:tabs>
        <w:ind w:left="0" w:firstLine="40"/>
      </w:pPr>
      <w:rPr>
        <w:rFonts w:hint="default"/>
      </w:rPr>
    </w:lvl>
  </w:abstractNum>
  <w:abstractNum w:abstractNumId="4">
    <w:nsid w:val="911FAFCF"/>
    <w:multiLevelType w:val="singleLevel"/>
    <w:tmpl w:val="911FAFCF"/>
    <w:lvl w:ilvl="0" w:tentative="0">
      <w:start w:val="1"/>
      <w:numFmt w:val="decimal"/>
      <w:suff w:val="nothing"/>
      <w:lvlText w:val="%1)"/>
      <w:lvlJc w:val="left"/>
      <w:pPr>
        <w:ind w:left="425" w:hanging="425"/>
      </w:pPr>
      <w:rPr>
        <w:rFonts w:hint="default"/>
        <w:b w:val="0"/>
        <w:bCs w:val="0"/>
      </w:rPr>
    </w:lvl>
  </w:abstractNum>
  <w:abstractNum w:abstractNumId="5">
    <w:nsid w:val="9581BFA0"/>
    <w:multiLevelType w:val="singleLevel"/>
    <w:tmpl w:val="9581BFA0"/>
    <w:lvl w:ilvl="0" w:tentative="0">
      <w:start w:val="1"/>
      <w:numFmt w:val="decimal"/>
      <w:suff w:val="nothing"/>
      <w:lvlText w:val="（%1）"/>
      <w:lvlJc w:val="left"/>
      <w:pPr>
        <w:tabs>
          <w:tab w:val="left" w:pos="0"/>
        </w:tabs>
        <w:ind w:left="0" w:firstLine="40"/>
      </w:pPr>
      <w:rPr>
        <w:rFonts w:hint="default"/>
      </w:rPr>
    </w:lvl>
  </w:abstractNum>
  <w:abstractNum w:abstractNumId="6">
    <w:nsid w:val="963E6E30"/>
    <w:multiLevelType w:val="singleLevel"/>
    <w:tmpl w:val="963E6E30"/>
    <w:lvl w:ilvl="0" w:tentative="0">
      <w:start w:val="1"/>
      <w:numFmt w:val="decimal"/>
      <w:suff w:val="nothing"/>
      <w:lvlText w:val="（%1）"/>
      <w:lvlJc w:val="left"/>
      <w:pPr>
        <w:tabs>
          <w:tab w:val="left" w:pos="1134"/>
        </w:tabs>
        <w:ind w:left="0" w:firstLine="40"/>
      </w:pPr>
      <w:rPr>
        <w:rFonts w:hint="default"/>
      </w:rPr>
    </w:lvl>
  </w:abstractNum>
  <w:abstractNum w:abstractNumId="7">
    <w:nsid w:val="983B7C10"/>
    <w:multiLevelType w:val="multilevel"/>
    <w:tmpl w:val="983B7C10"/>
    <w:lvl w:ilvl="0" w:tentative="0">
      <w:start w:val="1"/>
      <w:numFmt w:val="decimal"/>
      <w:suff w:val="nothing"/>
      <w:lvlText w:val="%1"/>
      <w:lvlJc w:val="left"/>
      <w:pPr>
        <w:tabs>
          <w:tab w:val="left" w:pos="471"/>
        </w:tabs>
        <w:ind w:left="0" w:firstLine="113"/>
      </w:pPr>
      <w:rPr>
        <w:rFonts w:hint="default" w:ascii="Times New Roman" w:hAnsi="Times New Roman"/>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9933B4D0"/>
    <w:multiLevelType w:val="singleLevel"/>
    <w:tmpl w:val="9933B4D0"/>
    <w:lvl w:ilvl="0" w:tentative="0">
      <w:start w:val="1"/>
      <w:numFmt w:val="decimal"/>
      <w:suff w:val="nothing"/>
      <w:lvlText w:val="%1．"/>
      <w:lvlJc w:val="left"/>
      <w:pPr>
        <w:ind w:left="0" w:firstLine="400"/>
      </w:pPr>
      <w:rPr>
        <w:rFonts w:hint="default"/>
      </w:rPr>
    </w:lvl>
  </w:abstractNum>
  <w:abstractNum w:abstractNumId="9">
    <w:nsid w:val="9F5CC368"/>
    <w:multiLevelType w:val="singleLevel"/>
    <w:tmpl w:val="9F5CC368"/>
    <w:lvl w:ilvl="0" w:tentative="0">
      <w:start w:val="1"/>
      <w:numFmt w:val="decimal"/>
      <w:suff w:val="nothing"/>
      <w:lvlText w:val="%1"/>
      <w:lvlJc w:val="left"/>
      <w:pPr>
        <w:ind w:left="0" w:firstLine="403"/>
      </w:pPr>
      <w:rPr>
        <w:rFonts w:hint="default"/>
      </w:rPr>
    </w:lvl>
  </w:abstractNum>
  <w:abstractNum w:abstractNumId="10">
    <w:nsid w:val="A2497304"/>
    <w:multiLevelType w:val="singleLevel"/>
    <w:tmpl w:val="A2497304"/>
    <w:lvl w:ilvl="0" w:tentative="0">
      <w:start w:val="1"/>
      <w:numFmt w:val="decimal"/>
      <w:suff w:val="nothing"/>
      <w:lvlText w:val="%1"/>
      <w:lvlJc w:val="left"/>
      <w:pPr>
        <w:ind w:left="0" w:firstLine="403"/>
      </w:pPr>
      <w:rPr>
        <w:rFonts w:hint="default"/>
      </w:rPr>
    </w:lvl>
  </w:abstractNum>
  <w:abstractNum w:abstractNumId="11">
    <w:nsid w:val="A562D269"/>
    <w:multiLevelType w:val="singleLevel"/>
    <w:tmpl w:val="A562D269"/>
    <w:lvl w:ilvl="0" w:tentative="0">
      <w:start w:val="1"/>
      <w:numFmt w:val="decimal"/>
      <w:suff w:val="nothing"/>
      <w:lvlText w:val="%1"/>
      <w:lvlJc w:val="left"/>
      <w:pPr>
        <w:ind w:left="0" w:firstLine="403"/>
      </w:pPr>
      <w:rPr>
        <w:rFonts w:hint="default"/>
      </w:rPr>
    </w:lvl>
  </w:abstractNum>
  <w:abstractNum w:abstractNumId="12">
    <w:nsid w:val="A628075F"/>
    <w:multiLevelType w:val="singleLevel"/>
    <w:tmpl w:val="A628075F"/>
    <w:lvl w:ilvl="0" w:tentative="0">
      <w:start w:val="1"/>
      <w:numFmt w:val="decimal"/>
      <w:suff w:val="nothing"/>
      <w:lvlText w:val="%1"/>
      <w:lvlJc w:val="left"/>
      <w:pPr>
        <w:tabs>
          <w:tab w:val="left" w:pos="0"/>
        </w:tabs>
        <w:ind w:left="0" w:leftChars="0" w:firstLine="0" w:firstLineChars="0"/>
      </w:pPr>
      <w:rPr>
        <w:rFonts w:hint="default"/>
      </w:rPr>
    </w:lvl>
  </w:abstractNum>
  <w:abstractNum w:abstractNumId="13">
    <w:nsid w:val="A81D6AEE"/>
    <w:multiLevelType w:val="singleLevel"/>
    <w:tmpl w:val="A81D6AEE"/>
    <w:lvl w:ilvl="0" w:tentative="0">
      <w:start w:val="1"/>
      <w:numFmt w:val="decimal"/>
      <w:suff w:val="nothing"/>
      <w:lvlText w:val="%1"/>
      <w:lvlJc w:val="left"/>
      <w:pPr>
        <w:ind w:left="0" w:firstLine="403"/>
      </w:pPr>
      <w:rPr>
        <w:rFonts w:hint="default"/>
      </w:rPr>
    </w:lvl>
  </w:abstractNum>
  <w:abstractNum w:abstractNumId="14">
    <w:nsid w:val="ACAB2782"/>
    <w:multiLevelType w:val="singleLevel"/>
    <w:tmpl w:val="ACAB2782"/>
    <w:lvl w:ilvl="0" w:tentative="0">
      <w:start w:val="1"/>
      <w:numFmt w:val="decimal"/>
      <w:suff w:val="nothing"/>
      <w:lvlText w:val="（%1）"/>
      <w:lvlJc w:val="left"/>
      <w:pPr>
        <w:tabs>
          <w:tab w:val="left" w:pos="1134"/>
        </w:tabs>
        <w:ind w:left="0" w:firstLine="40"/>
      </w:pPr>
      <w:rPr>
        <w:rFonts w:hint="default"/>
      </w:rPr>
    </w:lvl>
  </w:abstractNum>
  <w:abstractNum w:abstractNumId="15">
    <w:nsid w:val="AECEE48F"/>
    <w:multiLevelType w:val="singleLevel"/>
    <w:tmpl w:val="AECEE48F"/>
    <w:lvl w:ilvl="0" w:tentative="0">
      <w:start w:val="1"/>
      <w:numFmt w:val="decimalEnclosedCircleChinese"/>
      <w:suff w:val="nothing"/>
      <w:lvlText w:val="%1　"/>
      <w:lvlJc w:val="left"/>
      <w:pPr>
        <w:ind w:left="0" w:firstLine="400"/>
      </w:pPr>
      <w:rPr>
        <w:rFonts w:hint="eastAsia"/>
      </w:rPr>
    </w:lvl>
  </w:abstractNum>
  <w:abstractNum w:abstractNumId="16">
    <w:nsid w:val="AF4CC8B5"/>
    <w:multiLevelType w:val="singleLevel"/>
    <w:tmpl w:val="AF4CC8B5"/>
    <w:lvl w:ilvl="0" w:tentative="0">
      <w:start w:val="1"/>
      <w:numFmt w:val="decimal"/>
      <w:suff w:val="nothing"/>
      <w:lvlText w:val="%1"/>
      <w:lvlJc w:val="left"/>
      <w:pPr>
        <w:ind w:left="0" w:firstLine="403"/>
      </w:pPr>
      <w:rPr>
        <w:rFonts w:hint="default"/>
      </w:rPr>
    </w:lvl>
  </w:abstractNum>
  <w:abstractNum w:abstractNumId="17">
    <w:nsid w:val="B16AA84A"/>
    <w:multiLevelType w:val="singleLevel"/>
    <w:tmpl w:val="B16AA84A"/>
    <w:lvl w:ilvl="0" w:tentative="0">
      <w:start w:val="1"/>
      <w:numFmt w:val="decimal"/>
      <w:suff w:val="nothing"/>
      <w:lvlText w:val="（%1）"/>
      <w:lvlJc w:val="left"/>
      <w:pPr>
        <w:tabs>
          <w:tab w:val="left" w:pos="1134"/>
        </w:tabs>
        <w:ind w:left="0" w:firstLine="40"/>
      </w:pPr>
      <w:rPr>
        <w:rFonts w:hint="default"/>
      </w:rPr>
    </w:lvl>
  </w:abstractNum>
  <w:abstractNum w:abstractNumId="18">
    <w:nsid w:val="B1CBCF1A"/>
    <w:multiLevelType w:val="singleLevel"/>
    <w:tmpl w:val="B1CBCF1A"/>
    <w:lvl w:ilvl="0" w:tentative="0">
      <w:start w:val="1"/>
      <w:numFmt w:val="decimal"/>
      <w:suff w:val="nothing"/>
      <w:lvlText w:val="%1)"/>
      <w:lvlJc w:val="left"/>
      <w:pPr>
        <w:ind w:left="425" w:hanging="425"/>
      </w:pPr>
      <w:rPr>
        <w:rFonts w:hint="default"/>
        <w:b w:val="0"/>
        <w:bCs w:val="0"/>
      </w:rPr>
    </w:lvl>
  </w:abstractNum>
  <w:abstractNum w:abstractNumId="19">
    <w:nsid w:val="B393C9A5"/>
    <w:multiLevelType w:val="singleLevel"/>
    <w:tmpl w:val="B393C9A5"/>
    <w:lvl w:ilvl="0" w:tentative="0">
      <w:start w:val="1"/>
      <w:numFmt w:val="decimal"/>
      <w:suff w:val="nothing"/>
      <w:lvlText w:val="%1、"/>
      <w:lvlJc w:val="left"/>
    </w:lvl>
  </w:abstractNum>
  <w:abstractNum w:abstractNumId="20">
    <w:nsid w:val="B615BC85"/>
    <w:multiLevelType w:val="singleLevel"/>
    <w:tmpl w:val="B615BC85"/>
    <w:lvl w:ilvl="0" w:tentative="0">
      <w:start w:val="1"/>
      <w:numFmt w:val="decimal"/>
      <w:suff w:val="nothing"/>
      <w:lvlText w:val="%1"/>
      <w:lvlJc w:val="left"/>
      <w:pPr>
        <w:tabs>
          <w:tab w:val="left" w:pos="397"/>
        </w:tabs>
        <w:ind w:left="454" w:hanging="454"/>
      </w:pPr>
      <w:rPr>
        <w:rFonts w:hint="default"/>
      </w:rPr>
    </w:lvl>
  </w:abstractNum>
  <w:abstractNum w:abstractNumId="21">
    <w:nsid w:val="B62E7E1E"/>
    <w:multiLevelType w:val="singleLevel"/>
    <w:tmpl w:val="B62E7E1E"/>
    <w:lvl w:ilvl="0" w:tentative="0">
      <w:start w:val="1"/>
      <w:numFmt w:val="decimal"/>
      <w:suff w:val="nothing"/>
      <w:lvlText w:val="%1．"/>
      <w:lvlJc w:val="left"/>
      <w:pPr>
        <w:ind w:left="0" w:firstLine="400"/>
      </w:pPr>
      <w:rPr>
        <w:rFonts w:hint="default" w:ascii="宋体" w:hAnsi="宋体" w:eastAsia="宋体" w:cs="宋体"/>
        <w:sz w:val="28"/>
        <w:szCs w:val="28"/>
      </w:rPr>
    </w:lvl>
  </w:abstractNum>
  <w:abstractNum w:abstractNumId="22">
    <w:nsid w:val="C234AA94"/>
    <w:multiLevelType w:val="singleLevel"/>
    <w:tmpl w:val="C234AA94"/>
    <w:lvl w:ilvl="0" w:tentative="0">
      <w:start w:val="1"/>
      <w:numFmt w:val="decimal"/>
      <w:suff w:val="nothing"/>
      <w:lvlText w:val="%1"/>
      <w:lvlJc w:val="center"/>
      <w:pPr>
        <w:ind w:left="0" w:firstLine="0"/>
      </w:pPr>
      <w:rPr>
        <w:rFonts w:hint="default"/>
      </w:rPr>
    </w:lvl>
  </w:abstractNum>
  <w:abstractNum w:abstractNumId="23">
    <w:nsid w:val="C65E4DD1"/>
    <w:multiLevelType w:val="singleLevel"/>
    <w:tmpl w:val="C65E4DD1"/>
    <w:lvl w:ilvl="0" w:tentative="0">
      <w:start w:val="1"/>
      <w:numFmt w:val="decimal"/>
      <w:suff w:val="nothing"/>
      <w:lvlText w:val="%1．"/>
      <w:lvlJc w:val="left"/>
      <w:pPr>
        <w:ind w:left="0" w:firstLine="400"/>
      </w:pPr>
      <w:rPr>
        <w:rFonts w:hint="default"/>
      </w:rPr>
    </w:lvl>
  </w:abstractNum>
  <w:abstractNum w:abstractNumId="24">
    <w:nsid w:val="C674DA87"/>
    <w:multiLevelType w:val="singleLevel"/>
    <w:tmpl w:val="C674DA87"/>
    <w:lvl w:ilvl="0" w:tentative="0">
      <w:start w:val="1"/>
      <w:numFmt w:val="decimal"/>
      <w:suff w:val="nothing"/>
      <w:lvlText w:val="%1．"/>
      <w:lvlJc w:val="left"/>
      <w:pPr>
        <w:ind w:left="0" w:firstLine="400"/>
      </w:pPr>
      <w:rPr>
        <w:rFonts w:hint="default"/>
      </w:rPr>
    </w:lvl>
  </w:abstractNum>
  <w:abstractNum w:abstractNumId="25">
    <w:nsid w:val="C6805FB7"/>
    <w:multiLevelType w:val="multilevel"/>
    <w:tmpl w:val="C6805FB7"/>
    <w:lvl w:ilvl="0" w:tentative="0">
      <w:start w:val="1"/>
      <w:numFmt w:val="decimal"/>
      <w:pStyle w:val="4"/>
      <w:suff w:val="nothing"/>
      <w:lvlText w:val="%1."/>
      <w:lvlJc w:val="left"/>
      <w:pPr>
        <w:tabs>
          <w:tab w:val="left" w:pos="420"/>
        </w:tabs>
        <w:ind w:left="432" w:hanging="432"/>
      </w:pPr>
      <w:rPr>
        <w:rFonts w:hint="default" w:ascii="宋体" w:hAnsi="宋体" w:eastAsia="宋体" w:cs="宋体"/>
      </w:rPr>
    </w:lvl>
    <w:lvl w:ilvl="1" w:tentative="0">
      <w:start w:val="1"/>
      <w:numFmt w:val="decimal"/>
      <w:pStyle w:val="5"/>
      <w:isLgl/>
      <w:suff w:val="space"/>
      <w:lvlText w:val="%1.%2"/>
      <w:lvlJc w:val="left"/>
      <w:pPr>
        <w:tabs>
          <w:tab w:val="left" w:pos="420"/>
        </w:tabs>
        <w:ind w:left="575" w:hanging="575"/>
      </w:pPr>
      <w:rPr>
        <w:rFonts w:hint="eastAsia" w:ascii="宋体" w:hAnsi="宋体" w:eastAsia="宋体" w:cs="宋体"/>
      </w:rPr>
    </w:lvl>
    <w:lvl w:ilvl="2" w:tentative="0">
      <w:start w:val="1"/>
      <w:numFmt w:val="decimal"/>
      <w:pStyle w:val="6"/>
      <w:isLgl/>
      <w:suff w:val="space"/>
      <w:lvlText w:val="%1.%2.%3"/>
      <w:lvlJc w:val="left"/>
      <w:pPr>
        <w:tabs>
          <w:tab w:val="left" w:pos="420"/>
        </w:tabs>
        <w:ind w:left="720" w:hanging="720"/>
      </w:pPr>
      <w:rPr>
        <w:rFonts w:hint="eastAsia" w:ascii="宋体" w:hAnsi="宋体" w:eastAsia="宋体" w:cs="宋体"/>
      </w:rPr>
    </w:lvl>
    <w:lvl w:ilvl="3" w:tentative="0">
      <w:start w:val="1"/>
      <w:numFmt w:val="decimal"/>
      <w:pStyle w:val="7"/>
      <w:isLgl/>
      <w:suff w:val="space"/>
      <w:lvlText w:val="%1.%2.%3.%4"/>
      <w:lvlJc w:val="left"/>
      <w:pPr>
        <w:tabs>
          <w:tab w:val="left" w:pos="420"/>
        </w:tabs>
        <w:ind w:left="864" w:hanging="864"/>
      </w:pPr>
      <w:rPr>
        <w:rFonts w:hint="eastAsia" w:ascii="宋体" w:hAnsi="宋体" w:eastAsia="宋体" w:cs="宋体"/>
      </w:rPr>
    </w:lvl>
    <w:lvl w:ilvl="4" w:tentative="0">
      <w:start w:val="1"/>
      <w:numFmt w:val="decimal"/>
      <w:pStyle w:val="8"/>
      <w:isLgl/>
      <w:suff w:val="space"/>
      <w:lvlText w:val="%1.%2.%3.%4.%5"/>
      <w:lvlJc w:val="left"/>
      <w:pPr>
        <w:tabs>
          <w:tab w:val="left" w:pos="420"/>
        </w:tabs>
        <w:ind w:left="1008" w:hanging="1008"/>
      </w:pPr>
      <w:rPr>
        <w:rFonts w:hint="eastAsia" w:ascii="宋体" w:hAnsi="宋体" w:eastAsia="宋体" w:cs="宋体"/>
      </w:rPr>
    </w:lvl>
    <w:lvl w:ilvl="5" w:tentative="0">
      <w:start w:val="1"/>
      <w:numFmt w:val="decimal"/>
      <w:pStyle w:val="9"/>
      <w:isLgl/>
      <w:lvlText w:val="%1.%2.%3.%4.%5.%6."/>
      <w:lvlJc w:val="left"/>
      <w:pPr>
        <w:ind w:left="1151" w:hanging="1151"/>
      </w:pPr>
      <w:rPr>
        <w:rFonts w:hint="eastAsia"/>
      </w:rPr>
    </w:lvl>
    <w:lvl w:ilvl="6" w:tentative="0">
      <w:start w:val="1"/>
      <w:numFmt w:val="decimal"/>
      <w:pStyle w:val="10"/>
      <w:isLgl/>
      <w:lvlText w:val="%1.%2.%3.%4.%5.%6.%7."/>
      <w:lvlJc w:val="left"/>
      <w:pPr>
        <w:ind w:left="1296" w:hanging="1296"/>
      </w:pPr>
      <w:rPr>
        <w:rFonts w:hint="eastAsia"/>
      </w:rPr>
    </w:lvl>
    <w:lvl w:ilvl="7" w:tentative="0">
      <w:start w:val="1"/>
      <w:numFmt w:val="decimal"/>
      <w:pStyle w:val="11"/>
      <w:isLgl/>
      <w:lvlText w:val="%1.%2.%3.%4.%5.%6.%7.%8."/>
      <w:lvlJc w:val="left"/>
      <w:pPr>
        <w:ind w:left="1440" w:hanging="1440"/>
      </w:pPr>
      <w:rPr>
        <w:rFonts w:hint="eastAsia"/>
      </w:rPr>
    </w:lvl>
    <w:lvl w:ilvl="8" w:tentative="0">
      <w:start w:val="1"/>
      <w:numFmt w:val="decimal"/>
      <w:pStyle w:val="12"/>
      <w:isLgl/>
      <w:lvlText w:val="%1.%2.%3.%4.%5.%6.%7.%8.%9."/>
      <w:lvlJc w:val="left"/>
      <w:pPr>
        <w:ind w:left="1583" w:hanging="1583"/>
      </w:pPr>
      <w:rPr>
        <w:rFonts w:hint="eastAsia"/>
      </w:rPr>
    </w:lvl>
  </w:abstractNum>
  <w:abstractNum w:abstractNumId="26">
    <w:nsid w:val="CA4BAF0B"/>
    <w:multiLevelType w:val="singleLevel"/>
    <w:tmpl w:val="CA4BAF0B"/>
    <w:lvl w:ilvl="0" w:tentative="0">
      <w:start w:val="1"/>
      <w:numFmt w:val="decimal"/>
      <w:suff w:val="nothing"/>
      <w:lvlText w:val="（%1）"/>
      <w:lvlJc w:val="left"/>
      <w:pPr>
        <w:tabs>
          <w:tab w:val="left" w:pos="0"/>
        </w:tabs>
        <w:ind w:left="454" w:firstLine="680"/>
      </w:pPr>
      <w:rPr>
        <w:rFonts w:hint="default"/>
      </w:rPr>
    </w:lvl>
  </w:abstractNum>
  <w:abstractNum w:abstractNumId="27">
    <w:nsid w:val="CA8A540D"/>
    <w:multiLevelType w:val="singleLevel"/>
    <w:tmpl w:val="CA8A540D"/>
    <w:lvl w:ilvl="0" w:tentative="0">
      <w:start w:val="1"/>
      <w:numFmt w:val="decimalEnclosedCircleChinese"/>
      <w:suff w:val="nothing"/>
      <w:lvlText w:val="%1　"/>
      <w:lvlJc w:val="left"/>
      <w:pPr>
        <w:ind w:left="0" w:firstLine="400"/>
      </w:pPr>
      <w:rPr>
        <w:rFonts w:hint="eastAsia"/>
      </w:rPr>
    </w:lvl>
  </w:abstractNum>
  <w:abstractNum w:abstractNumId="28">
    <w:nsid w:val="CC1DB572"/>
    <w:multiLevelType w:val="singleLevel"/>
    <w:tmpl w:val="CC1DB572"/>
    <w:lvl w:ilvl="0" w:tentative="0">
      <w:start w:val="1"/>
      <w:numFmt w:val="decimal"/>
      <w:suff w:val="nothing"/>
      <w:lvlText w:val="%1．"/>
      <w:lvlJc w:val="left"/>
      <w:pPr>
        <w:ind w:left="0" w:firstLine="400"/>
      </w:pPr>
      <w:rPr>
        <w:rFonts w:hint="default" w:ascii="宋体" w:hAnsi="宋体" w:eastAsia="宋体" w:cs="宋体"/>
        <w:sz w:val="28"/>
        <w:szCs w:val="28"/>
      </w:rPr>
    </w:lvl>
  </w:abstractNum>
  <w:abstractNum w:abstractNumId="29">
    <w:nsid w:val="CDA82118"/>
    <w:multiLevelType w:val="singleLevel"/>
    <w:tmpl w:val="CDA82118"/>
    <w:lvl w:ilvl="0" w:tentative="0">
      <w:start w:val="1"/>
      <w:numFmt w:val="decimal"/>
      <w:lvlText w:val="(%1)"/>
      <w:lvlJc w:val="left"/>
      <w:pPr>
        <w:ind w:left="425" w:hanging="425"/>
      </w:pPr>
      <w:rPr>
        <w:rFonts w:hint="default"/>
      </w:rPr>
    </w:lvl>
  </w:abstractNum>
  <w:abstractNum w:abstractNumId="30">
    <w:nsid w:val="CDFA72F7"/>
    <w:multiLevelType w:val="singleLevel"/>
    <w:tmpl w:val="CDFA72F7"/>
    <w:lvl w:ilvl="0" w:tentative="0">
      <w:start w:val="1"/>
      <w:numFmt w:val="decimal"/>
      <w:suff w:val="nothing"/>
      <w:lvlText w:val="%1"/>
      <w:lvlJc w:val="left"/>
      <w:pPr>
        <w:ind w:left="0" w:firstLine="403"/>
      </w:pPr>
      <w:rPr>
        <w:rFonts w:hint="default"/>
      </w:rPr>
    </w:lvl>
  </w:abstractNum>
  <w:abstractNum w:abstractNumId="31">
    <w:nsid w:val="D2967F75"/>
    <w:multiLevelType w:val="singleLevel"/>
    <w:tmpl w:val="D2967F75"/>
    <w:lvl w:ilvl="0" w:tentative="0">
      <w:start w:val="1"/>
      <w:numFmt w:val="decimal"/>
      <w:suff w:val="nothing"/>
      <w:lvlText w:val="%1"/>
      <w:lvlJc w:val="left"/>
      <w:pPr>
        <w:ind w:left="0" w:firstLine="403"/>
      </w:pPr>
      <w:rPr>
        <w:rFonts w:hint="default"/>
      </w:rPr>
    </w:lvl>
  </w:abstractNum>
  <w:abstractNum w:abstractNumId="32">
    <w:nsid w:val="D40FE3B0"/>
    <w:multiLevelType w:val="singleLevel"/>
    <w:tmpl w:val="D40FE3B0"/>
    <w:lvl w:ilvl="0" w:tentative="0">
      <w:start w:val="1"/>
      <w:numFmt w:val="decimal"/>
      <w:suff w:val="nothing"/>
      <w:lvlText w:val="（%1）"/>
      <w:lvlJc w:val="left"/>
      <w:pPr>
        <w:tabs>
          <w:tab w:val="left" w:pos="0"/>
        </w:tabs>
        <w:ind w:left="420" w:hanging="420"/>
      </w:pPr>
      <w:rPr>
        <w:rFonts w:hint="default"/>
      </w:rPr>
    </w:lvl>
  </w:abstractNum>
  <w:abstractNum w:abstractNumId="33">
    <w:nsid w:val="D4262818"/>
    <w:multiLevelType w:val="singleLevel"/>
    <w:tmpl w:val="D4262818"/>
    <w:lvl w:ilvl="0" w:tentative="0">
      <w:start w:val="1"/>
      <w:numFmt w:val="decimal"/>
      <w:suff w:val="nothing"/>
      <w:lvlText w:val="%1"/>
      <w:lvlJc w:val="left"/>
      <w:pPr>
        <w:ind w:left="0" w:firstLine="403"/>
      </w:pPr>
      <w:rPr>
        <w:rFonts w:hint="default"/>
      </w:rPr>
    </w:lvl>
  </w:abstractNum>
  <w:abstractNum w:abstractNumId="34">
    <w:nsid w:val="D47FBDBA"/>
    <w:multiLevelType w:val="singleLevel"/>
    <w:tmpl w:val="D47FBDBA"/>
    <w:lvl w:ilvl="0" w:tentative="0">
      <w:start w:val="1"/>
      <w:numFmt w:val="decimal"/>
      <w:suff w:val="nothing"/>
      <w:lvlText w:val="%1"/>
      <w:lvlJc w:val="left"/>
      <w:pPr>
        <w:tabs>
          <w:tab w:val="left" w:pos="0"/>
        </w:tabs>
        <w:ind w:left="0" w:leftChars="0" w:firstLine="0" w:firstLineChars="0"/>
      </w:pPr>
      <w:rPr>
        <w:rFonts w:hint="default"/>
      </w:rPr>
    </w:lvl>
  </w:abstractNum>
  <w:abstractNum w:abstractNumId="35">
    <w:nsid w:val="DA1D9B89"/>
    <w:multiLevelType w:val="singleLevel"/>
    <w:tmpl w:val="DA1D9B89"/>
    <w:lvl w:ilvl="0" w:tentative="0">
      <w:start w:val="1"/>
      <w:numFmt w:val="decimal"/>
      <w:suff w:val="nothing"/>
      <w:lvlText w:val="%1．"/>
      <w:lvlJc w:val="left"/>
      <w:pPr>
        <w:ind w:left="0" w:firstLine="400"/>
      </w:pPr>
      <w:rPr>
        <w:rFonts w:hint="default"/>
      </w:rPr>
    </w:lvl>
  </w:abstractNum>
  <w:abstractNum w:abstractNumId="36">
    <w:nsid w:val="DB3271A4"/>
    <w:multiLevelType w:val="singleLevel"/>
    <w:tmpl w:val="DB3271A4"/>
    <w:lvl w:ilvl="0" w:tentative="0">
      <w:start w:val="1"/>
      <w:numFmt w:val="decimal"/>
      <w:suff w:val="nothing"/>
      <w:lvlText w:val="%1．"/>
      <w:lvlJc w:val="left"/>
      <w:pPr>
        <w:ind w:left="0" w:firstLine="400"/>
      </w:pPr>
      <w:rPr>
        <w:rFonts w:hint="default"/>
      </w:rPr>
    </w:lvl>
  </w:abstractNum>
  <w:abstractNum w:abstractNumId="37">
    <w:nsid w:val="E0FFFA65"/>
    <w:multiLevelType w:val="singleLevel"/>
    <w:tmpl w:val="E0FFFA65"/>
    <w:lvl w:ilvl="0" w:tentative="0">
      <w:start w:val="1"/>
      <w:numFmt w:val="decimal"/>
      <w:suff w:val="nothing"/>
      <w:lvlText w:val="%1"/>
      <w:lvlJc w:val="left"/>
      <w:pPr>
        <w:ind w:left="0" w:firstLine="403"/>
      </w:pPr>
      <w:rPr>
        <w:rFonts w:hint="default"/>
      </w:rPr>
    </w:lvl>
  </w:abstractNum>
  <w:abstractNum w:abstractNumId="38">
    <w:nsid w:val="E15A08D2"/>
    <w:multiLevelType w:val="singleLevel"/>
    <w:tmpl w:val="E15A08D2"/>
    <w:lvl w:ilvl="0" w:tentative="0">
      <w:start w:val="1"/>
      <w:numFmt w:val="decimal"/>
      <w:suff w:val="nothing"/>
      <w:lvlText w:val="%1．"/>
      <w:lvlJc w:val="left"/>
      <w:pPr>
        <w:ind w:left="0" w:firstLine="400"/>
      </w:pPr>
      <w:rPr>
        <w:rFonts w:hint="default"/>
      </w:rPr>
    </w:lvl>
  </w:abstractNum>
  <w:abstractNum w:abstractNumId="39">
    <w:nsid w:val="E62657B2"/>
    <w:multiLevelType w:val="singleLevel"/>
    <w:tmpl w:val="E62657B2"/>
    <w:lvl w:ilvl="0" w:tentative="0">
      <w:start w:val="1"/>
      <w:numFmt w:val="decimal"/>
      <w:suff w:val="nothing"/>
      <w:lvlText w:val="%1"/>
      <w:lvlJc w:val="left"/>
      <w:pPr>
        <w:ind w:left="0" w:firstLine="403"/>
      </w:pPr>
      <w:rPr>
        <w:rFonts w:hint="default"/>
      </w:rPr>
    </w:lvl>
  </w:abstractNum>
  <w:abstractNum w:abstractNumId="40">
    <w:nsid w:val="E7B18496"/>
    <w:multiLevelType w:val="singleLevel"/>
    <w:tmpl w:val="E7B18496"/>
    <w:lvl w:ilvl="0" w:tentative="0">
      <w:start w:val="1"/>
      <w:numFmt w:val="decimal"/>
      <w:suff w:val="nothing"/>
      <w:lvlText w:val="%1．"/>
      <w:lvlJc w:val="left"/>
      <w:pPr>
        <w:ind w:left="0" w:firstLine="400"/>
      </w:pPr>
      <w:rPr>
        <w:rFonts w:hint="default"/>
      </w:rPr>
    </w:lvl>
  </w:abstractNum>
  <w:abstractNum w:abstractNumId="41">
    <w:nsid w:val="E8F81869"/>
    <w:multiLevelType w:val="singleLevel"/>
    <w:tmpl w:val="E8F81869"/>
    <w:lvl w:ilvl="0" w:tentative="0">
      <w:start w:val="1"/>
      <w:numFmt w:val="decimal"/>
      <w:lvlText w:val="(%1)"/>
      <w:lvlJc w:val="left"/>
      <w:pPr>
        <w:ind w:left="425" w:hanging="425"/>
      </w:pPr>
      <w:rPr>
        <w:rFonts w:hint="default"/>
      </w:rPr>
    </w:lvl>
  </w:abstractNum>
  <w:abstractNum w:abstractNumId="42">
    <w:nsid w:val="E9013D3F"/>
    <w:multiLevelType w:val="singleLevel"/>
    <w:tmpl w:val="E9013D3F"/>
    <w:lvl w:ilvl="0" w:tentative="0">
      <w:start w:val="1"/>
      <w:numFmt w:val="decimal"/>
      <w:suff w:val="nothing"/>
      <w:lvlText w:val="%1"/>
      <w:lvlJc w:val="left"/>
      <w:pPr>
        <w:tabs>
          <w:tab w:val="left" w:pos="397"/>
        </w:tabs>
        <w:ind w:left="454" w:hanging="454"/>
      </w:pPr>
      <w:rPr>
        <w:rFonts w:hint="default"/>
      </w:rPr>
    </w:lvl>
  </w:abstractNum>
  <w:abstractNum w:abstractNumId="43">
    <w:nsid w:val="E993430A"/>
    <w:multiLevelType w:val="singleLevel"/>
    <w:tmpl w:val="E993430A"/>
    <w:lvl w:ilvl="0" w:tentative="0">
      <w:start w:val="1"/>
      <w:numFmt w:val="decimal"/>
      <w:suff w:val="nothing"/>
      <w:lvlText w:val="%1．"/>
      <w:lvlJc w:val="left"/>
      <w:pPr>
        <w:ind w:left="0" w:firstLine="400"/>
      </w:pPr>
      <w:rPr>
        <w:rFonts w:hint="default"/>
      </w:rPr>
    </w:lvl>
  </w:abstractNum>
  <w:abstractNum w:abstractNumId="44">
    <w:nsid w:val="EB7C39CD"/>
    <w:multiLevelType w:val="singleLevel"/>
    <w:tmpl w:val="EB7C39CD"/>
    <w:lvl w:ilvl="0" w:tentative="0">
      <w:start w:val="1"/>
      <w:numFmt w:val="decimal"/>
      <w:suff w:val="nothing"/>
      <w:lvlText w:val="%1"/>
      <w:lvlJc w:val="left"/>
      <w:pPr>
        <w:ind w:left="0" w:firstLine="403"/>
      </w:pPr>
      <w:rPr>
        <w:rFonts w:hint="default"/>
      </w:rPr>
    </w:lvl>
  </w:abstractNum>
  <w:abstractNum w:abstractNumId="45">
    <w:nsid w:val="EC1950EC"/>
    <w:multiLevelType w:val="singleLevel"/>
    <w:tmpl w:val="EC1950EC"/>
    <w:lvl w:ilvl="0" w:tentative="0">
      <w:start w:val="1"/>
      <w:numFmt w:val="decimal"/>
      <w:suff w:val="nothing"/>
      <w:lvlText w:val="%1"/>
      <w:lvlJc w:val="left"/>
      <w:pPr>
        <w:tabs>
          <w:tab w:val="left" w:pos="0"/>
        </w:tabs>
        <w:ind w:left="0" w:leftChars="0" w:firstLine="0" w:firstLineChars="0"/>
      </w:pPr>
      <w:rPr>
        <w:rFonts w:hint="default"/>
      </w:rPr>
    </w:lvl>
  </w:abstractNum>
  <w:abstractNum w:abstractNumId="46">
    <w:nsid w:val="EC64B676"/>
    <w:multiLevelType w:val="singleLevel"/>
    <w:tmpl w:val="EC64B676"/>
    <w:lvl w:ilvl="0" w:tentative="0">
      <w:start w:val="1"/>
      <w:numFmt w:val="decimal"/>
      <w:suff w:val="nothing"/>
      <w:lvlText w:val="%1"/>
      <w:lvlJc w:val="left"/>
      <w:pPr>
        <w:tabs>
          <w:tab w:val="left" w:pos="0"/>
        </w:tabs>
        <w:ind w:left="0" w:leftChars="0" w:firstLine="0" w:firstLineChars="0"/>
      </w:pPr>
      <w:rPr>
        <w:rFonts w:hint="default"/>
      </w:rPr>
    </w:lvl>
  </w:abstractNum>
  <w:abstractNum w:abstractNumId="47">
    <w:nsid w:val="F108746A"/>
    <w:multiLevelType w:val="singleLevel"/>
    <w:tmpl w:val="F108746A"/>
    <w:lvl w:ilvl="0" w:tentative="0">
      <w:start w:val="1"/>
      <w:numFmt w:val="decimal"/>
      <w:suff w:val="nothing"/>
      <w:lvlText w:val="%1"/>
      <w:lvlJc w:val="center"/>
      <w:pPr>
        <w:ind w:left="0" w:firstLine="0"/>
      </w:pPr>
      <w:rPr>
        <w:rFonts w:hint="default"/>
      </w:rPr>
    </w:lvl>
  </w:abstractNum>
  <w:abstractNum w:abstractNumId="48">
    <w:nsid w:val="F14028AC"/>
    <w:multiLevelType w:val="singleLevel"/>
    <w:tmpl w:val="F14028AC"/>
    <w:lvl w:ilvl="0" w:tentative="0">
      <w:start w:val="1"/>
      <w:numFmt w:val="decimal"/>
      <w:suff w:val="nothing"/>
      <w:lvlText w:val="%1"/>
      <w:lvlJc w:val="center"/>
      <w:pPr>
        <w:ind w:left="0" w:firstLine="0"/>
      </w:pPr>
      <w:rPr>
        <w:rFonts w:hint="default"/>
      </w:rPr>
    </w:lvl>
  </w:abstractNum>
  <w:abstractNum w:abstractNumId="49">
    <w:nsid w:val="F31F7067"/>
    <w:multiLevelType w:val="singleLevel"/>
    <w:tmpl w:val="F31F7067"/>
    <w:lvl w:ilvl="0" w:tentative="0">
      <w:start w:val="1"/>
      <w:numFmt w:val="decimal"/>
      <w:suff w:val="nothing"/>
      <w:lvlText w:val="%1)"/>
      <w:lvlJc w:val="left"/>
      <w:pPr>
        <w:ind w:left="425" w:hanging="425"/>
      </w:pPr>
      <w:rPr>
        <w:rFonts w:hint="default"/>
        <w:b w:val="0"/>
        <w:bCs w:val="0"/>
      </w:rPr>
    </w:lvl>
  </w:abstractNum>
  <w:abstractNum w:abstractNumId="50">
    <w:nsid w:val="F528CFB8"/>
    <w:multiLevelType w:val="singleLevel"/>
    <w:tmpl w:val="F528CFB8"/>
    <w:lvl w:ilvl="0" w:tentative="0">
      <w:start w:val="1"/>
      <w:numFmt w:val="decimal"/>
      <w:suff w:val="nothing"/>
      <w:lvlText w:val="%1"/>
      <w:lvlJc w:val="center"/>
      <w:pPr>
        <w:ind w:left="0" w:firstLine="0"/>
      </w:pPr>
      <w:rPr>
        <w:rFonts w:hint="default"/>
      </w:rPr>
    </w:lvl>
  </w:abstractNum>
  <w:abstractNum w:abstractNumId="51">
    <w:nsid w:val="F5EA6019"/>
    <w:multiLevelType w:val="singleLevel"/>
    <w:tmpl w:val="F5EA6019"/>
    <w:lvl w:ilvl="0" w:tentative="0">
      <w:start w:val="1"/>
      <w:numFmt w:val="decimal"/>
      <w:suff w:val="nothing"/>
      <w:lvlText w:val="（%1）"/>
      <w:lvlJc w:val="left"/>
      <w:pPr>
        <w:tabs>
          <w:tab w:val="left" w:pos="0"/>
        </w:tabs>
        <w:ind w:left="420" w:hanging="420"/>
      </w:pPr>
      <w:rPr>
        <w:rFonts w:hint="default"/>
      </w:rPr>
    </w:lvl>
  </w:abstractNum>
  <w:abstractNum w:abstractNumId="52">
    <w:nsid w:val="012A9074"/>
    <w:multiLevelType w:val="singleLevel"/>
    <w:tmpl w:val="012A9074"/>
    <w:lvl w:ilvl="0" w:tentative="0">
      <w:start w:val="1"/>
      <w:numFmt w:val="decimal"/>
      <w:suff w:val="nothing"/>
      <w:lvlText w:val="（%1）"/>
      <w:lvlJc w:val="left"/>
      <w:pPr>
        <w:tabs>
          <w:tab w:val="left" w:pos="1134"/>
        </w:tabs>
        <w:ind w:left="0" w:firstLine="40"/>
      </w:pPr>
      <w:rPr>
        <w:rFonts w:hint="default"/>
      </w:rPr>
    </w:lvl>
  </w:abstractNum>
  <w:abstractNum w:abstractNumId="53">
    <w:nsid w:val="0140536A"/>
    <w:multiLevelType w:val="singleLevel"/>
    <w:tmpl w:val="0140536A"/>
    <w:lvl w:ilvl="0" w:tentative="0">
      <w:start w:val="1"/>
      <w:numFmt w:val="decimal"/>
      <w:lvlText w:val="(%1)"/>
      <w:lvlJc w:val="left"/>
      <w:pPr>
        <w:ind w:left="425" w:hanging="425"/>
      </w:pPr>
      <w:rPr>
        <w:rFonts w:hint="default"/>
      </w:rPr>
    </w:lvl>
  </w:abstractNum>
  <w:abstractNum w:abstractNumId="54">
    <w:nsid w:val="0263F401"/>
    <w:multiLevelType w:val="singleLevel"/>
    <w:tmpl w:val="0263F401"/>
    <w:lvl w:ilvl="0" w:tentative="0">
      <w:start w:val="1"/>
      <w:numFmt w:val="decimal"/>
      <w:suff w:val="nothing"/>
      <w:lvlText w:val="%1"/>
      <w:lvlJc w:val="center"/>
      <w:pPr>
        <w:ind w:left="0" w:firstLine="0"/>
      </w:pPr>
      <w:rPr>
        <w:rFonts w:hint="default"/>
      </w:rPr>
    </w:lvl>
  </w:abstractNum>
  <w:abstractNum w:abstractNumId="55">
    <w:nsid w:val="07756896"/>
    <w:multiLevelType w:val="singleLevel"/>
    <w:tmpl w:val="07756896"/>
    <w:lvl w:ilvl="0" w:tentative="0">
      <w:start w:val="1"/>
      <w:numFmt w:val="decimal"/>
      <w:suff w:val="nothing"/>
      <w:lvlText w:val="%1)"/>
      <w:lvlJc w:val="left"/>
      <w:pPr>
        <w:ind w:left="425" w:hanging="425"/>
      </w:pPr>
      <w:rPr>
        <w:rFonts w:hint="default"/>
        <w:b w:val="0"/>
        <w:bCs w:val="0"/>
      </w:rPr>
    </w:lvl>
  </w:abstractNum>
  <w:abstractNum w:abstractNumId="56">
    <w:nsid w:val="0874AA15"/>
    <w:multiLevelType w:val="singleLevel"/>
    <w:tmpl w:val="0874AA15"/>
    <w:lvl w:ilvl="0" w:tentative="0">
      <w:start w:val="1"/>
      <w:numFmt w:val="decimalEnclosedCircleChinese"/>
      <w:suff w:val="nothing"/>
      <w:lvlText w:val="%1　"/>
      <w:lvlJc w:val="left"/>
      <w:pPr>
        <w:ind w:left="0" w:firstLine="400"/>
      </w:pPr>
      <w:rPr>
        <w:rFonts w:hint="eastAsia"/>
      </w:rPr>
    </w:lvl>
  </w:abstractNum>
  <w:abstractNum w:abstractNumId="57">
    <w:nsid w:val="19793867"/>
    <w:multiLevelType w:val="singleLevel"/>
    <w:tmpl w:val="19793867"/>
    <w:lvl w:ilvl="0" w:tentative="0">
      <w:start w:val="1"/>
      <w:numFmt w:val="decimal"/>
      <w:suff w:val="nothing"/>
      <w:lvlText w:val="%1"/>
      <w:lvlJc w:val="left"/>
      <w:pPr>
        <w:ind w:left="0" w:firstLine="403"/>
      </w:pPr>
      <w:rPr>
        <w:rFonts w:hint="default"/>
      </w:rPr>
    </w:lvl>
  </w:abstractNum>
  <w:abstractNum w:abstractNumId="58">
    <w:nsid w:val="1B003A4C"/>
    <w:multiLevelType w:val="singleLevel"/>
    <w:tmpl w:val="1B003A4C"/>
    <w:lvl w:ilvl="0" w:tentative="0">
      <w:start w:val="1"/>
      <w:numFmt w:val="decimal"/>
      <w:suff w:val="nothing"/>
      <w:lvlText w:val="%1．"/>
      <w:lvlJc w:val="left"/>
      <w:pPr>
        <w:ind w:left="0" w:firstLine="400"/>
      </w:pPr>
      <w:rPr>
        <w:rFonts w:hint="default"/>
      </w:rPr>
    </w:lvl>
  </w:abstractNum>
  <w:abstractNum w:abstractNumId="59">
    <w:nsid w:val="1E2630E4"/>
    <w:multiLevelType w:val="singleLevel"/>
    <w:tmpl w:val="1E2630E4"/>
    <w:lvl w:ilvl="0" w:tentative="0">
      <w:start w:val="1"/>
      <w:numFmt w:val="decimal"/>
      <w:suff w:val="nothing"/>
      <w:lvlText w:val="%1．"/>
      <w:lvlJc w:val="left"/>
      <w:pPr>
        <w:ind w:left="0" w:firstLine="400"/>
      </w:pPr>
      <w:rPr>
        <w:rFonts w:hint="default"/>
      </w:rPr>
    </w:lvl>
  </w:abstractNum>
  <w:abstractNum w:abstractNumId="60">
    <w:nsid w:val="2332CB60"/>
    <w:multiLevelType w:val="singleLevel"/>
    <w:tmpl w:val="2332CB60"/>
    <w:lvl w:ilvl="0" w:tentative="0">
      <w:start w:val="1"/>
      <w:numFmt w:val="decimal"/>
      <w:suff w:val="nothing"/>
      <w:lvlText w:val="（%1）"/>
      <w:lvlJc w:val="left"/>
      <w:pPr>
        <w:tabs>
          <w:tab w:val="left" w:pos="0"/>
        </w:tabs>
        <w:ind w:left="0" w:firstLine="40"/>
      </w:pPr>
      <w:rPr>
        <w:rFonts w:hint="default"/>
      </w:rPr>
    </w:lvl>
  </w:abstractNum>
  <w:abstractNum w:abstractNumId="61">
    <w:nsid w:val="2561DA1B"/>
    <w:multiLevelType w:val="singleLevel"/>
    <w:tmpl w:val="2561DA1B"/>
    <w:lvl w:ilvl="0" w:tentative="0">
      <w:start w:val="1"/>
      <w:numFmt w:val="decimal"/>
      <w:suff w:val="nothing"/>
      <w:lvlText w:val="%1"/>
      <w:lvlJc w:val="left"/>
      <w:pPr>
        <w:tabs>
          <w:tab w:val="left" w:pos="0"/>
        </w:tabs>
        <w:ind w:left="0" w:leftChars="0" w:firstLine="0" w:firstLineChars="0"/>
      </w:pPr>
      <w:rPr>
        <w:rFonts w:hint="default"/>
      </w:rPr>
    </w:lvl>
  </w:abstractNum>
  <w:abstractNum w:abstractNumId="62">
    <w:nsid w:val="26AE3C7D"/>
    <w:multiLevelType w:val="singleLevel"/>
    <w:tmpl w:val="26AE3C7D"/>
    <w:lvl w:ilvl="0" w:tentative="0">
      <w:start w:val="1"/>
      <w:numFmt w:val="decimal"/>
      <w:suff w:val="nothing"/>
      <w:lvlText w:val="%1"/>
      <w:lvlJc w:val="left"/>
      <w:pPr>
        <w:tabs>
          <w:tab w:val="left" w:pos="397"/>
        </w:tabs>
        <w:ind w:left="454" w:hanging="454"/>
      </w:pPr>
      <w:rPr>
        <w:rFonts w:hint="default"/>
      </w:rPr>
    </w:lvl>
  </w:abstractNum>
  <w:abstractNum w:abstractNumId="63">
    <w:nsid w:val="294BA559"/>
    <w:multiLevelType w:val="singleLevel"/>
    <w:tmpl w:val="294BA559"/>
    <w:lvl w:ilvl="0" w:tentative="0">
      <w:start w:val="1"/>
      <w:numFmt w:val="decimalEnclosedCircleChinese"/>
      <w:suff w:val="nothing"/>
      <w:lvlText w:val="%1　"/>
      <w:lvlJc w:val="left"/>
      <w:pPr>
        <w:ind w:left="0" w:firstLine="400"/>
      </w:pPr>
      <w:rPr>
        <w:rFonts w:hint="eastAsia"/>
      </w:rPr>
    </w:lvl>
  </w:abstractNum>
  <w:abstractNum w:abstractNumId="64">
    <w:nsid w:val="2A5808B7"/>
    <w:multiLevelType w:val="singleLevel"/>
    <w:tmpl w:val="2A5808B7"/>
    <w:lvl w:ilvl="0" w:tentative="0">
      <w:start w:val="1"/>
      <w:numFmt w:val="decimal"/>
      <w:suff w:val="nothing"/>
      <w:lvlText w:val="%1"/>
      <w:lvlJc w:val="left"/>
      <w:pPr>
        <w:tabs>
          <w:tab w:val="left" w:pos="0"/>
        </w:tabs>
        <w:ind w:left="0" w:leftChars="0" w:firstLine="0" w:firstLineChars="0"/>
      </w:pPr>
      <w:rPr>
        <w:rFonts w:hint="default"/>
      </w:rPr>
    </w:lvl>
  </w:abstractNum>
  <w:abstractNum w:abstractNumId="65">
    <w:nsid w:val="30646531"/>
    <w:multiLevelType w:val="singleLevel"/>
    <w:tmpl w:val="30646531"/>
    <w:lvl w:ilvl="0" w:tentative="0">
      <w:start w:val="1"/>
      <w:numFmt w:val="decimal"/>
      <w:suff w:val="nothing"/>
      <w:lvlText w:val="%1"/>
      <w:lvlJc w:val="center"/>
      <w:pPr>
        <w:ind w:left="0" w:firstLine="0"/>
      </w:pPr>
      <w:rPr>
        <w:rFonts w:hint="default"/>
      </w:rPr>
    </w:lvl>
  </w:abstractNum>
  <w:abstractNum w:abstractNumId="66">
    <w:nsid w:val="33E4C9C9"/>
    <w:multiLevelType w:val="singleLevel"/>
    <w:tmpl w:val="33E4C9C9"/>
    <w:lvl w:ilvl="0" w:tentative="0">
      <w:start w:val="1"/>
      <w:numFmt w:val="decimal"/>
      <w:suff w:val="nothing"/>
      <w:lvlText w:val="%1．"/>
      <w:lvlJc w:val="left"/>
      <w:pPr>
        <w:ind w:left="0" w:firstLine="400"/>
      </w:pPr>
      <w:rPr>
        <w:rFonts w:hint="default"/>
      </w:rPr>
    </w:lvl>
  </w:abstractNum>
  <w:abstractNum w:abstractNumId="67">
    <w:nsid w:val="34670A4D"/>
    <w:multiLevelType w:val="singleLevel"/>
    <w:tmpl w:val="34670A4D"/>
    <w:lvl w:ilvl="0" w:tentative="0">
      <w:start w:val="1"/>
      <w:numFmt w:val="decimal"/>
      <w:suff w:val="nothing"/>
      <w:lvlText w:val="%1"/>
      <w:lvlJc w:val="left"/>
      <w:pPr>
        <w:tabs>
          <w:tab w:val="left" w:pos="0"/>
        </w:tabs>
        <w:ind w:left="0" w:leftChars="0" w:firstLine="0" w:firstLineChars="0"/>
      </w:pPr>
      <w:rPr>
        <w:rFonts w:hint="default"/>
      </w:rPr>
    </w:lvl>
  </w:abstractNum>
  <w:abstractNum w:abstractNumId="68">
    <w:nsid w:val="36398A2C"/>
    <w:multiLevelType w:val="singleLevel"/>
    <w:tmpl w:val="36398A2C"/>
    <w:lvl w:ilvl="0" w:tentative="0">
      <w:start w:val="1"/>
      <w:numFmt w:val="decimal"/>
      <w:suff w:val="nothing"/>
      <w:lvlText w:val="%1"/>
      <w:lvlJc w:val="left"/>
      <w:pPr>
        <w:tabs>
          <w:tab w:val="left" w:pos="0"/>
        </w:tabs>
        <w:ind w:left="0" w:leftChars="0" w:firstLine="0" w:firstLineChars="0"/>
      </w:pPr>
      <w:rPr>
        <w:rFonts w:hint="default"/>
      </w:rPr>
    </w:lvl>
  </w:abstractNum>
  <w:abstractNum w:abstractNumId="69">
    <w:nsid w:val="42C606AA"/>
    <w:multiLevelType w:val="singleLevel"/>
    <w:tmpl w:val="42C606AA"/>
    <w:lvl w:ilvl="0" w:tentative="0">
      <w:start w:val="1"/>
      <w:numFmt w:val="decimal"/>
      <w:suff w:val="nothing"/>
      <w:lvlText w:val="%1．"/>
      <w:lvlJc w:val="left"/>
      <w:pPr>
        <w:ind w:left="0" w:firstLine="400"/>
      </w:pPr>
      <w:rPr>
        <w:rFonts w:hint="default"/>
      </w:rPr>
    </w:lvl>
  </w:abstractNum>
  <w:abstractNum w:abstractNumId="70">
    <w:nsid w:val="4380B609"/>
    <w:multiLevelType w:val="singleLevel"/>
    <w:tmpl w:val="4380B609"/>
    <w:lvl w:ilvl="0" w:tentative="0">
      <w:start w:val="1"/>
      <w:numFmt w:val="decimal"/>
      <w:suff w:val="nothing"/>
      <w:lvlText w:val="%1"/>
      <w:lvlJc w:val="left"/>
      <w:pPr>
        <w:ind w:left="0" w:firstLine="403"/>
      </w:pPr>
      <w:rPr>
        <w:rFonts w:hint="default"/>
      </w:rPr>
    </w:lvl>
  </w:abstractNum>
  <w:abstractNum w:abstractNumId="71">
    <w:nsid w:val="441EF514"/>
    <w:multiLevelType w:val="singleLevel"/>
    <w:tmpl w:val="441EF514"/>
    <w:lvl w:ilvl="0" w:tentative="0">
      <w:start w:val="1"/>
      <w:numFmt w:val="decimal"/>
      <w:suff w:val="nothing"/>
      <w:lvlText w:val="%1)"/>
      <w:lvlJc w:val="left"/>
      <w:pPr>
        <w:ind w:left="425" w:hanging="425"/>
      </w:pPr>
      <w:rPr>
        <w:rFonts w:hint="default"/>
        <w:b w:val="0"/>
        <w:bCs w:val="0"/>
      </w:rPr>
    </w:lvl>
  </w:abstractNum>
  <w:abstractNum w:abstractNumId="72">
    <w:nsid w:val="450E744E"/>
    <w:multiLevelType w:val="singleLevel"/>
    <w:tmpl w:val="450E744E"/>
    <w:lvl w:ilvl="0" w:tentative="0">
      <w:start w:val="1"/>
      <w:numFmt w:val="decimal"/>
      <w:suff w:val="nothing"/>
      <w:lvlText w:val="%1"/>
      <w:lvlJc w:val="center"/>
      <w:pPr>
        <w:ind w:left="0" w:firstLine="0"/>
      </w:pPr>
      <w:rPr>
        <w:rFonts w:hint="default"/>
      </w:rPr>
    </w:lvl>
  </w:abstractNum>
  <w:abstractNum w:abstractNumId="73">
    <w:nsid w:val="466F4FEA"/>
    <w:multiLevelType w:val="singleLevel"/>
    <w:tmpl w:val="466F4FEA"/>
    <w:lvl w:ilvl="0" w:tentative="0">
      <w:start w:val="1"/>
      <w:numFmt w:val="decimal"/>
      <w:suff w:val="nothing"/>
      <w:lvlText w:val="%1．"/>
      <w:lvlJc w:val="left"/>
      <w:pPr>
        <w:ind w:left="0" w:firstLine="400"/>
      </w:pPr>
      <w:rPr>
        <w:rFonts w:hint="default" w:ascii="宋体" w:hAnsi="宋体" w:eastAsia="宋体" w:cs="宋体"/>
        <w:sz w:val="28"/>
        <w:szCs w:val="28"/>
      </w:rPr>
    </w:lvl>
  </w:abstractNum>
  <w:abstractNum w:abstractNumId="74">
    <w:nsid w:val="4919914A"/>
    <w:multiLevelType w:val="singleLevel"/>
    <w:tmpl w:val="4919914A"/>
    <w:lvl w:ilvl="0" w:tentative="0">
      <w:start w:val="1"/>
      <w:numFmt w:val="decimal"/>
      <w:suff w:val="nothing"/>
      <w:lvlText w:val="%1"/>
      <w:lvlJc w:val="left"/>
      <w:pPr>
        <w:ind w:left="0" w:firstLine="403"/>
      </w:pPr>
      <w:rPr>
        <w:rFonts w:hint="default"/>
      </w:rPr>
    </w:lvl>
  </w:abstractNum>
  <w:abstractNum w:abstractNumId="75">
    <w:nsid w:val="4B747970"/>
    <w:multiLevelType w:val="singleLevel"/>
    <w:tmpl w:val="4B747970"/>
    <w:lvl w:ilvl="0" w:tentative="0">
      <w:start w:val="1"/>
      <w:numFmt w:val="decimal"/>
      <w:suff w:val="nothing"/>
      <w:lvlText w:val="%1．"/>
      <w:lvlJc w:val="left"/>
      <w:pPr>
        <w:ind w:left="0" w:firstLine="400"/>
      </w:pPr>
      <w:rPr>
        <w:rFonts w:hint="default"/>
      </w:rPr>
    </w:lvl>
  </w:abstractNum>
  <w:abstractNum w:abstractNumId="76">
    <w:nsid w:val="5012CBA5"/>
    <w:multiLevelType w:val="singleLevel"/>
    <w:tmpl w:val="5012CBA5"/>
    <w:lvl w:ilvl="0" w:tentative="0">
      <w:start w:val="1"/>
      <w:numFmt w:val="decimal"/>
      <w:suff w:val="nothing"/>
      <w:lvlText w:val="%1）"/>
      <w:lvlJc w:val="left"/>
      <w:pPr>
        <w:tabs>
          <w:tab w:val="left" w:pos="420"/>
        </w:tabs>
        <w:ind w:left="0" w:firstLine="40"/>
      </w:pPr>
      <w:rPr>
        <w:rFonts w:hint="default"/>
      </w:rPr>
    </w:lvl>
  </w:abstractNum>
  <w:abstractNum w:abstractNumId="77">
    <w:nsid w:val="503C06F3"/>
    <w:multiLevelType w:val="singleLevel"/>
    <w:tmpl w:val="503C06F3"/>
    <w:lvl w:ilvl="0" w:tentative="0">
      <w:start w:val="1"/>
      <w:numFmt w:val="decimal"/>
      <w:suff w:val="nothing"/>
      <w:lvlText w:val="%1)"/>
      <w:lvlJc w:val="left"/>
      <w:pPr>
        <w:ind w:left="425" w:hanging="425"/>
      </w:pPr>
      <w:rPr>
        <w:rFonts w:hint="default"/>
      </w:rPr>
    </w:lvl>
  </w:abstractNum>
  <w:abstractNum w:abstractNumId="78">
    <w:nsid w:val="50CD346F"/>
    <w:multiLevelType w:val="singleLevel"/>
    <w:tmpl w:val="50CD346F"/>
    <w:lvl w:ilvl="0" w:tentative="0">
      <w:start w:val="1"/>
      <w:numFmt w:val="decimal"/>
      <w:suff w:val="nothing"/>
      <w:lvlText w:val="%1"/>
      <w:lvlJc w:val="left"/>
      <w:pPr>
        <w:ind w:left="0" w:firstLine="403"/>
      </w:pPr>
      <w:rPr>
        <w:rFonts w:hint="default"/>
      </w:rPr>
    </w:lvl>
  </w:abstractNum>
  <w:abstractNum w:abstractNumId="79">
    <w:nsid w:val="5307CD96"/>
    <w:multiLevelType w:val="singleLevel"/>
    <w:tmpl w:val="5307CD96"/>
    <w:lvl w:ilvl="0" w:tentative="0">
      <w:start w:val="1"/>
      <w:numFmt w:val="decimal"/>
      <w:suff w:val="nothing"/>
      <w:lvlText w:val="%1．"/>
      <w:lvlJc w:val="left"/>
      <w:pPr>
        <w:ind w:left="0" w:firstLine="400"/>
      </w:pPr>
      <w:rPr>
        <w:rFonts w:hint="default"/>
      </w:rPr>
    </w:lvl>
  </w:abstractNum>
  <w:abstractNum w:abstractNumId="80">
    <w:nsid w:val="5639440D"/>
    <w:multiLevelType w:val="singleLevel"/>
    <w:tmpl w:val="5639440D"/>
    <w:lvl w:ilvl="0" w:tentative="0">
      <w:start w:val="1"/>
      <w:numFmt w:val="decimal"/>
      <w:suff w:val="nothing"/>
      <w:lvlText w:val="%1．"/>
      <w:lvlJc w:val="left"/>
      <w:pPr>
        <w:ind w:left="0" w:firstLine="400"/>
      </w:pPr>
      <w:rPr>
        <w:rFonts w:hint="default"/>
      </w:rPr>
    </w:lvl>
  </w:abstractNum>
  <w:abstractNum w:abstractNumId="81">
    <w:nsid w:val="567BE2CC"/>
    <w:multiLevelType w:val="singleLevel"/>
    <w:tmpl w:val="567BE2CC"/>
    <w:lvl w:ilvl="0" w:tentative="0">
      <w:start w:val="1"/>
      <w:numFmt w:val="decimal"/>
      <w:suff w:val="nothing"/>
      <w:lvlText w:val="%1)"/>
      <w:lvlJc w:val="left"/>
      <w:pPr>
        <w:ind w:left="425" w:hanging="425"/>
      </w:pPr>
      <w:rPr>
        <w:rFonts w:hint="default"/>
      </w:rPr>
    </w:lvl>
  </w:abstractNum>
  <w:abstractNum w:abstractNumId="82">
    <w:nsid w:val="57A67798"/>
    <w:multiLevelType w:val="singleLevel"/>
    <w:tmpl w:val="57A67798"/>
    <w:lvl w:ilvl="0" w:tentative="0">
      <w:start w:val="1"/>
      <w:numFmt w:val="decimal"/>
      <w:suff w:val="space"/>
      <w:lvlText w:val="%1)"/>
      <w:lvlJc w:val="left"/>
      <w:pPr>
        <w:ind w:left="425" w:hanging="425"/>
      </w:pPr>
      <w:rPr>
        <w:rFonts w:hint="default"/>
      </w:rPr>
    </w:lvl>
  </w:abstractNum>
  <w:abstractNum w:abstractNumId="83">
    <w:nsid w:val="5A135248"/>
    <w:multiLevelType w:val="singleLevel"/>
    <w:tmpl w:val="5A135248"/>
    <w:lvl w:ilvl="0" w:tentative="0">
      <w:start w:val="1"/>
      <w:numFmt w:val="decimal"/>
      <w:suff w:val="nothing"/>
      <w:lvlText w:val="%1"/>
      <w:lvlJc w:val="left"/>
      <w:pPr>
        <w:ind w:left="0" w:firstLine="403"/>
      </w:pPr>
      <w:rPr>
        <w:rFonts w:hint="default"/>
      </w:rPr>
    </w:lvl>
  </w:abstractNum>
  <w:abstractNum w:abstractNumId="84">
    <w:nsid w:val="5A5FC917"/>
    <w:multiLevelType w:val="singleLevel"/>
    <w:tmpl w:val="5A5FC917"/>
    <w:lvl w:ilvl="0" w:tentative="0">
      <w:start w:val="1"/>
      <w:numFmt w:val="decimal"/>
      <w:suff w:val="nothing"/>
      <w:lvlText w:val="%1．"/>
      <w:lvlJc w:val="left"/>
      <w:pPr>
        <w:ind w:left="0" w:firstLine="400"/>
      </w:pPr>
      <w:rPr>
        <w:rFonts w:hint="default"/>
      </w:rPr>
    </w:lvl>
  </w:abstractNum>
  <w:abstractNum w:abstractNumId="85">
    <w:nsid w:val="5FFBE3CD"/>
    <w:multiLevelType w:val="singleLevel"/>
    <w:tmpl w:val="5FFBE3CD"/>
    <w:lvl w:ilvl="0" w:tentative="0">
      <w:start w:val="1"/>
      <w:numFmt w:val="decimal"/>
      <w:suff w:val="nothing"/>
      <w:lvlText w:val="%1"/>
      <w:lvlJc w:val="center"/>
      <w:pPr>
        <w:ind w:left="0" w:firstLine="0"/>
      </w:pPr>
      <w:rPr>
        <w:rFonts w:hint="default"/>
      </w:rPr>
    </w:lvl>
  </w:abstractNum>
  <w:abstractNum w:abstractNumId="86">
    <w:nsid w:val="6075584A"/>
    <w:multiLevelType w:val="singleLevel"/>
    <w:tmpl w:val="6075584A"/>
    <w:lvl w:ilvl="0" w:tentative="0">
      <w:start w:val="1"/>
      <w:numFmt w:val="decimal"/>
      <w:suff w:val="nothing"/>
      <w:lvlText w:val="%1"/>
      <w:lvlJc w:val="left"/>
      <w:pPr>
        <w:tabs>
          <w:tab w:val="left" w:pos="397"/>
        </w:tabs>
        <w:ind w:left="454" w:hanging="454"/>
      </w:pPr>
      <w:rPr>
        <w:rFonts w:hint="default"/>
      </w:rPr>
    </w:lvl>
  </w:abstractNum>
  <w:abstractNum w:abstractNumId="87">
    <w:nsid w:val="6309B71E"/>
    <w:multiLevelType w:val="singleLevel"/>
    <w:tmpl w:val="6309B71E"/>
    <w:lvl w:ilvl="0" w:tentative="0">
      <w:start w:val="1"/>
      <w:numFmt w:val="decimal"/>
      <w:suff w:val="nothing"/>
      <w:lvlText w:val="（%1）"/>
      <w:lvlJc w:val="left"/>
      <w:pPr>
        <w:tabs>
          <w:tab w:val="left" w:pos="0"/>
        </w:tabs>
        <w:ind w:left="420" w:hanging="380"/>
      </w:pPr>
      <w:rPr>
        <w:rFonts w:hint="default"/>
      </w:rPr>
    </w:lvl>
  </w:abstractNum>
  <w:abstractNum w:abstractNumId="88">
    <w:nsid w:val="632BF27B"/>
    <w:multiLevelType w:val="singleLevel"/>
    <w:tmpl w:val="632BF27B"/>
    <w:lvl w:ilvl="0" w:tentative="0">
      <w:start w:val="1"/>
      <w:numFmt w:val="decimal"/>
      <w:suff w:val="nothing"/>
      <w:lvlText w:val="%1)"/>
      <w:lvlJc w:val="left"/>
      <w:pPr>
        <w:ind w:left="425" w:hanging="425"/>
      </w:pPr>
      <w:rPr>
        <w:rFonts w:hint="default"/>
        <w:b w:val="0"/>
        <w:bCs w:val="0"/>
      </w:rPr>
    </w:lvl>
  </w:abstractNum>
  <w:abstractNum w:abstractNumId="89">
    <w:nsid w:val="6AE0B1B8"/>
    <w:multiLevelType w:val="singleLevel"/>
    <w:tmpl w:val="6AE0B1B8"/>
    <w:lvl w:ilvl="0" w:tentative="0">
      <w:start w:val="1"/>
      <w:numFmt w:val="decimal"/>
      <w:suff w:val="nothing"/>
      <w:lvlText w:val="%1"/>
      <w:lvlJc w:val="left"/>
      <w:pPr>
        <w:ind w:left="0" w:firstLine="403"/>
      </w:pPr>
      <w:rPr>
        <w:rFonts w:hint="default"/>
      </w:rPr>
    </w:lvl>
  </w:abstractNum>
  <w:abstractNum w:abstractNumId="90">
    <w:nsid w:val="6D775A3C"/>
    <w:multiLevelType w:val="singleLevel"/>
    <w:tmpl w:val="6D775A3C"/>
    <w:lvl w:ilvl="0" w:tentative="0">
      <w:start w:val="1"/>
      <w:numFmt w:val="decimal"/>
      <w:lvlText w:val="(%1)"/>
      <w:lvlJc w:val="left"/>
      <w:pPr>
        <w:ind w:left="425" w:hanging="425"/>
      </w:pPr>
      <w:rPr>
        <w:rFonts w:hint="default"/>
      </w:rPr>
    </w:lvl>
  </w:abstractNum>
  <w:abstractNum w:abstractNumId="91">
    <w:nsid w:val="6F07385A"/>
    <w:multiLevelType w:val="singleLevel"/>
    <w:tmpl w:val="6F07385A"/>
    <w:lvl w:ilvl="0" w:tentative="0">
      <w:start w:val="1"/>
      <w:numFmt w:val="decimal"/>
      <w:suff w:val="nothing"/>
      <w:lvlText w:val="%1．"/>
      <w:lvlJc w:val="left"/>
      <w:pPr>
        <w:ind w:left="0" w:firstLine="400"/>
      </w:pPr>
      <w:rPr>
        <w:rFonts w:hint="default"/>
      </w:rPr>
    </w:lvl>
  </w:abstractNum>
  <w:abstractNum w:abstractNumId="92">
    <w:nsid w:val="7236BB13"/>
    <w:multiLevelType w:val="singleLevel"/>
    <w:tmpl w:val="7236BB13"/>
    <w:lvl w:ilvl="0" w:tentative="0">
      <w:start w:val="1"/>
      <w:numFmt w:val="decimal"/>
      <w:suff w:val="nothing"/>
      <w:lvlText w:val="%1"/>
      <w:lvlJc w:val="center"/>
      <w:pPr>
        <w:ind w:left="0" w:firstLine="0"/>
      </w:pPr>
      <w:rPr>
        <w:rFonts w:hint="default"/>
      </w:rPr>
    </w:lvl>
  </w:abstractNum>
  <w:abstractNum w:abstractNumId="93">
    <w:nsid w:val="75265E27"/>
    <w:multiLevelType w:val="singleLevel"/>
    <w:tmpl w:val="75265E27"/>
    <w:lvl w:ilvl="0" w:tentative="0">
      <w:start w:val="1"/>
      <w:numFmt w:val="decimalEnclosedCircleChinese"/>
      <w:suff w:val="nothing"/>
      <w:lvlText w:val="%1　"/>
      <w:lvlJc w:val="left"/>
      <w:pPr>
        <w:ind w:left="0" w:firstLine="400"/>
      </w:pPr>
      <w:rPr>
        <w:rFonts w:hint="eastAsia"/>
      </w:rPr>
    </w:lvl>
  </w:abstractNum>
  <w:abstractNum w:abstractNumId="94">
    <w:nsid w:val="7601FBE7"/>
    <w:multiLevelType w:val="singleLevel"/>
    <w:tmpl w:val="7601FBE7"/>
    <w:lvl w:ilvl="0" w:tentative="0">
      <w:start w:val="1"/>
      <w:numFmt w:val="decimal"/>
      <w:suff w:val="nothing"/>
      <w:lvlText w:val="%1"/>
      <w:lvlJc w:val="left"/>
      <w:pPr>
        <w:ind w:left="0" w:firstLine="403"/>
      </w:pPr>
      <w:rPr>
        <w:rFonts w:hint="default"/>
      </w:rPr>
    </w:lvl>
  </w:abstractNum>
  <w:abstractNum w:abstractNumId="95">
    <w:nsid w:val="7755DE7D"/>
    <w:multiLevelType w:val="singleLevel"/>
    <w:tmpl w:val="7755DE7D"/>
    <w:lvl w:ilvl="0" w:tentative="0">
      <w:start w:val="1"/>
      <w:numFmt w:val="decimal"/>
      <w:suff w:val="nothing"/>
      <w:lvlText w:val="%1"/>
      <w:lvlJc w:val="left"/>
      <w:pPr>
        <w:ind w:left="0" w:firstLine="403"/>
      </w:pPr>
      <w:rPr>
        <w:rFonts w:hint="default"/>
      </w:rPr>
    </w:lvl>
  </w:abstractNum>
  <w:abstractNum w:abstractNumId="96">
    <w:nsid w:val="78495480"/>
    <w:multiLevelType w:val="singleLevel"/>
    <w:tmpl w:val="78495480"/>
    <w:lvl w:ilvl="0" w:tentative="0">
      <w:start w:val="1"/>
      <w:numFmt w:val="decimal"/>
      <w:suff w:val="nothing"/>
      <w:lvlText w:val="%1．"/>
      <w:lvlJc w:val="left"/>
      <w:pPr>
        <w:ind w:left="0" w:firstLine="400"/>
      </w:pPr>
      <w:rPr>
        <w:rFonts w:hint="default"/>
      </w:rPr>
    </w:lvl>
  </w:abstractNum>
  <w:abstractNum w:abstractNumId="97">
    <w:nsid w:val="7BFC02F3"/>
    <w:multiLevelType w:val="singleLevel"/>
    <w:tmpl w:val="7BFC02F3"/>
    <w:lvl w:ilvl="0" w:tentative="0">
      <w:start w:val="1"/>
      <w:numFmt w:val="decimal"/>
      <w:suff w:val="nothing"/>
      <w:lvlText w:val="%1"/>
      <w:lvlJc w:val="left"/>
      <w:pPr>
        <w:ind w:left="0" w:firstLine="403"/>
      </w:pPr>
      <w:rPr>
        <w:rFonts w:hint="default"/>
      </w:rPr>
    </w:lvl>
  </w:abstractNum>
  <w:abstractNum w:abstractNumId="98">
    <w:nsid w:val="7E0A4F0F"/>
    <w:multiLevelType w:val="singleLevel"/>
    <w:tmpl w:val="7E0A4F0F"/>
    <w:lvl w:ilvl="0" w:tentative="0">
      <w:start w:val="2"/>
      <w:numFmt w:val="decimal"/>
      <w:suff w:val="nothing"/>
      <w:lvlText w:val="%1）"/>
      <w:lvlJc w:val="left"/>
    </w:lvl>
  </w:abstractNum>
  <w:abstractNum w:abstractNumId="99">
    <w:nsid w:val="7EAD0E29"/>
    <w:multiLevelType w:val="singleLevel"/>
    <w:tmpl w:val="7EAD0E29"/>
    <w:lvl w:ilvl="0" w:tentative="0">
      <w:start w:val="1"/>
      <w:numFmt w:val="decimal"/>
      <w:suff w:val="nothing"/>
      <w:lvlText w:val="%1"/>
      <w:lvlJc w:val="left"/>
      <w:pPr>
        <w:tabs>
          <w:tab w:val="left" w:pos="0"/>
        </w:tabs>
        <w:ind w:left="0" w:leftChars="0" w:firstLine="0" w:firstLineChars="0"/>
      </w:pPr>
      <w:rPr>
        <w:rFonts w:hint="default"/>
      </w:rPr>
    </w:lvl>
  </w:abstractNum>
  <w:num w:numId="1">
    <w:abstractNumId w:val="25"/>
  </w:num>
  <w:num w:numId="2">
    <w:abstractNumId w:val="43"/>
  </w:num>
  <w:num w:numId="3">
    <w:abstractNumId w:val="40"/>
  </w:num>
  <w:num w:numId="4">
    <w:abstractNumId w:val="12"/>
  </w:num>
  <w:num w:numId="5">
    <w:abstractNumId w:val="28"/>
  </w:num>
  <w:num w:numId="6">
    <w:abstractNumId w:val="2"/>
  </w:num>
  <w:num w:numId="7">
    <w:abstractNumId w:val="73"/>
  </w:num>
  <w:num w:numId="8">
    <w:abstractNumId w:val="21"/>
  </w:num>
  <w:num w:numId="9">
    <w:abstractNumId w:val="36"/>
  </w:num>
  <w:num w:numId="10">
    <w:abstractNumId w:val="63"/>
  </w:num>
  <w:num w:numId="11">
    <w:abstractNumId w:val="47"/>
  </w:num>
  <w:num w:numId="12">
    <w:abstractNumId w:val="56"/>
  </w:num>
  <w:num w:numId="13">
    <w:abstractNumId w:val="27"/>
  </w:num>
  <w:num w:numId="14">
    <w:abstractNumId w:val="50"/>
  </w:num>
  <w:num w:numId="15">
    <w:abstractNumId w:val="1"/>
  </w:num>
  <w:num w:numId="16">
    <w:abstractNumId w:val="48"/>
  </w:num>
  <w:num w:numId="17">
    <w:abstractNumId w:val="22"/>
  </w:num>
  <w:num w:numId="18">
    <w:abstractNumId w:val="85"/>
  </w:num>
  <w:num w:numId="19">
    <w:abstractNumId w:val="72"/>
  </w:num>
  <w:num w:numId="20">
    <w:abstractNumId w:val="54"/>
  </w:num>
  <w:num w:numId="21">
    <w:abstractNumId w:val="35"/>
  </w:num>
  <w:num w:numId="22">
    <w:abstractNumId w:val="91"/>
  </w:num>
  <w:num w:numId="23">
    <w:abstractNumId w:val="69"/>
  </w:num>
  <w:num w:numId="24">
    <w:abstractNumId w:val="79"/>
  </w:num>
  <w:num w:numId="25">
    <w:abstractNumId w:val="26"/>
  </w:num>
  <w:num w:numId="26">
    <w:abstractNumId w:val="76"/>
  </w:num>
  <w:num w:numId="27">
    <w:abstractNumId w:val="80"/>
  </w:num>
  <w:num w:numId="28">
    <w:abstractNumId w:val="23"/>
  </w:num>
  <w:num w:numId="29">
    <w:abstractNumId w:val="45"/>
  </w:num>
  <w:num w:numId="30">
    <w:abstractNumId w:val="61"/>
  </w:num>
  <w:num w:numId="31">
    <w:abstractNumId w:val="67"/>
  </w:num>
  <w:num w:numId="32">
    <w:abstractNumId w:val="19"/>
  </w:num>
  <w:num w:numId="33">
    <w:abstractNumId w:val="24"/>
  </w:num>
  <w:num w:numId="34">
    <w:abstractNumId w:val="5"/>
  </w:num>
  <w:num w:numId="35">
    <w:abstractNumId w:val="84"/>
  </w:num>
  <w:num w:numId="36">
    <w:abstractNumId w:val="32"/>
  </w:num>
  <w:num w:numId="37">
    <w:abstractNumId w:val="87"/>
  </w:num>
  <w:num w:numId="38">
    <w:abstractNumId w:val="51"/>
  </w:num>
  <w:num w:numId="39">
    <w:abstractNumId w:val="14"/>
  </w:num>
  <w:num w:numId="40">
    <w:abstractNumId w:val="8"/>
  </w:num>
  <w:num w:numId="41">
    <w:abstractNumId w:val="60"/>
  </w:num>
  <w:num w:numId="42">
    <w:abstractNumId w:val="3"/>
  </w:num>
  <w:num w:numId="43">
    <w:abstractNumId w:val="38"/>
  </w:num>
  <w:num w:numId="44">
    <w:abstractNumId w:val="17"/>
  </w:num>
  <w:num w:numId="45">
    <w:abstractNumId w:val="52"/>
  </w:num>
  <w:num w:numId="46">
    <w:abstractNumId w:val="41"/>
  </w:num>
  <w:num w:numId="47">
    <w:abstractNumId w:val="66"/>
  </w:num>
  <w:num w:numId="48">
    <w:abstractNumId w:val="93"/>
  </w:num>
  <w:num w:numId="49">
    <w:abstractNumId w:val="65"/>
  </w:num>
  <w:num w:numId="50">
    <w:abstractNumId w:val="6"/>
  </w:num>
  <w:num w:numId="51">
    <w:abstractNumId w:val="99"/>
  </w:num>
  <w:num w:numId="52">
    <w:abstractNumId w:val="20"/>
  </w:num>
  <w:num w:numId="53">
    <w:abstractNumId w:val="58"/>
  </w:num>
  <w:num w:numId="54">
    <w:abstractNumId w:val="64"/>
  </w:num>
  <w:num w:numId="55">
    <w:abstractNumId w:val="7"/>
  </w:num>
  <w:num w:numId="56">
    <w:abstractNumId w:val="42"/>
  </w:num>
  <w:num w:numId="57">
    <w:abstractNumId w:val="34"/>
  </w:num>
  <w:num w:numId="58">
    <w:abstractNumId w:val="62"/>
  </w:num>
  <w:num w:numId="59">
    <w:abstractNumId w:val="86"/>
  </w:num>
  <w:num w:numId="60">
    <w:abstractNumId w:val="46"/>
  </w:num>
  <w:num w:numId="61">
    <w:abstractNumId w:val="96"/>
  </w:num>
  <w:num w:numId="62">
    <w:abstractNumId w:val="68"/>
  </w:num>
  <w:num w:numId="63">
    <w:abstractNumId w:val="57"/>
  </w:num>
  <w:num w:numId="64">
    <w:abstractNumId w:val="13"/>
  </w:num>
  <w:num w:numId="65">
    <w:abstractNumId w:val="97"/>
  </w:num>
  <w:num w:numId="66">
    <w:abstractNumId w:val="83"/>
  </w:num>
  <w:num w:numId="67">
    <w:abstractNumId w:val="39"/>
  </w:num>
  <w:num w:numId="68">
    <w:abstractNumId w:val="70"/>
  </w:num>
  <w:num w:numId="69">
    <w:abstractNumId w:val="78"/>
  </w:num>
  <w:num w:numId="70">
    <w:abstractNumId w:val="9"/>
  </w:num>
  <w:num w:numId="71">
    <w:abstractNumId w:val="89"/>
  </w:num>
  <w:num w:numId="72">
    <w:abstractNumId w:val="10"/>
  </w:num>
  <w:num w:numId="73">
    <w:abstractNumId w:val="33"/>
  </w:num>
  <w:num w:numId="74">
    <w:abstractNumId w:val="16"/>
  </w:num>
  <w:num w:numId="75">
    <w:abstractNumId w:val="37"/>
  </w:num>
  <w:num w:numId="76">
    <w:abstractNumId w:val="11"/>
  </w:num>
  <w:num w:numId="77">
    <w:abstractNumId w:val="95"/>
  </w:num>
  <w:num w:numId="78">
    <w:abstractNumId w:val="31"/>
  </w:num>
  <w:num w:numId="79">
    <w:abstractNumId w:val="94"/>
  </w:num>
  <w:num w:numId="80">
    <w:abstractNumId w:val="0"/>
  </w:num>
  <w:num w:numId="81">
    <w:abstractNumId w:val="74"/>
  </w:num>
  <w:num w:numId="82">
    <w:abstractNumId w:val="30"/>
  </w:num>
  <w:num w:numId="83">
    <w:abstractNumId w:val="15"/>
  </w:num>
  <w:num w:numId="84">
    <w:abstractNumId w:val="77"/>
  </w:num>
  <w:num w:numId="85">
    <w:abstractNumId w:val="29"/>
  </w:num>
  <w:num w:numId="86">
    <w:abstractNumId w:val="90"/>
  </w:num>
  <w:num w:numId="87">
    <w:abstractNumId w:val="53"/>
  </w:num>
  <w:num w:numId="88">
    <w:abstractNumId w:val="81"/>
  </w:num>
  <w:num w:numId="89">
    <w:abstractNumId w:val="55"/>
  </w:num>
  <w:num w:numId="90">
    <w:abstractNumId w:val="49"/>
  </w:num>
  <w:num w:numId="91">
    <w:abstractNumId w:val="18"/>
  </w:num>
  <w:num w:numId="92">
    <w:abstractNumId w:val="4"/>
  </w:num>
  <w:num w:numId="93">
    <w:abstractNumId w:val="88"/>
  </w:num>
  <w:num w:numId="94">
    <w:abstractNumId w:val="71"/>
  </w:num>
  <w:num w:numId="95">
    <w:abstractNumId w:val="82"/>
  </w:num>
  <w:num w:numId="96">
    <w:abstractNumId w:val="98"/>
  </w:num>
  <w:num w:numId="97">
    <w:abstractNumId w:val="75"/>
  </w:num>
  <w:num w:numId="98">
    <w:abstractNumId w:val="44"/>
  </w:num>
  <w:num w:numId="99">
    <w:abstractNumId w:val="59"/>
  </w:num>
  <w:num w:numId="100">
    <w:abstractNumId w:val="9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A1Y2JkYzQwOTU2OTFiNDAwMzIyNzk2NzNkMDI1MjAifQ=="/>
  </w:docVars>
  <w:rsids>
    <w:rsidRoot w:val="05357D27"/>
    <w:rsid w:val="00051559"/>
    <w:rsid w:val="00065AE8"/>
    <w:rsid w:val="001F3014"/>
    <w:rsid w:val="003D7CBB"/>
    <w:rsid w:val="00425964"/>
    <w:rsid w:val="00501620"/>
    <w:rsid w:val="00623FD0"/>
    <w:rsid w:val="00916F10"/>
    <w:rsid w:val="00924DF3"/>
    <w:rsid w:val="009951A3"/>
    <w:rsid w:val="00A95060"/>
    <w:rsid w:val="00BD23A1"/>
    <w:rsid w:val="00CB76F4"/>
    <w:rsid w:val="00CE77AE"/>
    <w:rsid w:val="014359D0"/>
    <w:rsid w:val="016646EA"/>
    <w:rsid w:val="03092820"/>
    <w:rsid w:val="0442423B"/>
    <w:rsid w:val="0452607D"/>
    <w:rsid w:val="04EC487D"/>
    <w:rsid w:val="05357D27"/>
    <w:rsid w:val="053D41CD"/>
    <w:rsid w:val="054F680B"/>
    <w:rsid w:val="0551001F"/>
    <w:rsid w:val="055921A8"/>
    <w:rsid w:val="056E0558"/>
    <w:rsid w:val="05FD1E8E"/>
    <w:rsid w:val="063B192D"/>
    <w:rsid w:val="066F744B"/>
    <w:rsid w:val="06B04020"/>
    <w:rsid w:val="06F42124"/>
    <w:rsid w:val="07700B15"/>
    <w:rsid w:val="077566D6"/>
    <w:rsid w:val="077D47E4"/>
    <w:rsid w:val="083626A2"/>
    <w:rsid w:val="08915A56"/>
    <w:rsid w:val="08F752BE"/>
    <w:rsid w:val="091C32AD"/>
    <w:rsid w:val="09540C99"/>
    <w:rsid w:val="098B2E89"/>
    <w:rsid w:val="09DB78F5"/>
    <w:rsid w:val="0A14667A"/>
    <w:rsid w:val="0A324160"/>
    <w:rsid w:val="0A3B18F5"/>
    <w:rsid w:val="0A6D17F1"/>
    <w:rsid w:val="0B696708"/>
    <w:rsid w:val="0B7F1815"/>
    <w:rsid w:val="0B9B4146"/>
    <w:rsid w:val="0BAE77DD"/>
    <w:rsid w:val="0BEB51AE"/>
    <w:rsid w:val="0C2920BD"/>
    <w:rsid w:val="0C796C68"/>
    <w:rsid w:val="0C9D1A8A"/>
    <w:rsid w:val="0CBA72A2"/>
    <w:rsid w:val="0D091D9A"/>
    <w:rsid w:val="0D5869D3"/>
    <w:rsid w:val="0D6B5913"/>
    <w:rsid w:val="0DC768CF"/>
    <w:rsid w:val="0E0F6830"/>
    <w:rsid w:val="0E19425F"/>
    <w:rsid w:val="0E3F5880"/>
    <w:rsid w:val="0E576C9D"/>
    <w:rsid w:val="0E9D4BE8"/>
    <w:rsid w:val="0F27750A"/>
    <w:rsid w:val="0F4A4767"/>
    <w:rsid w:val="0FBD49BA"/>
    <w:rsid w:val="10CE1FE3"/>
    <w:rsid w:val="1117715B"/>
    <w:rsid w:val="11177669"/>
    <w:rsid w:val="1118721B"/>
    <w:rsid w:val="11386B87"/>
    <w:rsid w:val="11A47EBF"/>
    <w:rsid w:val="12116261"/>
    <w:rsid w:val="12127ADE"/>
    <w:rsid w:val="121F1AC0"/>
    <w:rsid w:val="122A3390"/>
    <w:rsid w:val="12CE33ED"/>
    <w:rsid w:val="12D4188E"/>
    <w:rsid w:val="12F47674"/>
    <w:rsid w:val="12FB51DB"/>
    <w:rsid w:val="138551FC"/>
    <w:rsid w:val="13CC3B21"/>
    <w:rsid w:val="13FD28A6"/>
    <w:rsid w:val="144A4B75"/>
    <w:rsid w:val="14640699"/>
    <w:rsid w:val="14A67D08"/>
    <w:rsid w:val="15433846"/>
    <w:rsid w:val="16056255"/>
    <w:rsid w:val="162734E9"/>
    <w:rsid w:val="16627A30"/>
    <w:rsid w:val="166F47AE"/>
    <w:rsid w:val="16820483"/>
    <w:rsid w:val="16A2332E"/>
    <w:rsid w:val="17286643"/>
    <w:rsid w:val="17C04C67"/>
    <w:rsid w:val="17DA642C"/>
    <w:rsid w:val="18E34630"/>
    <w:rsid w:val="190F0C44"/>
    <w:rsid w:val="1A206EF6"/>
    <w:rsid w:val="1A2B194E"/>
    <w:rsid w:val="1AB01EBF"/>
    <w:rsid w:val="1AFC2F3E"/>
    <w:rsid w:val="1B773053"/>
    <w:rsid w:val="1B79465F"/>
    <w:rsid w:val="1B93717E"/>
    <w:rsid w:val="1BB435B3"/>
    <w:rsid w:val="1BD9704B"/>
    <w:rsid w:val="1BED0AD9"/>
    <w:rsid w:val="1CE3157A"/>
    <w:rsid w:val="1CE845FF"/>
    <w:rsid w:val="1D9A5A47"/>
    <w:rsid w:val="1DA23D41"/>
    <w:rsid w:val="1DEA066D"/>
    <w:rsid w:val="1E8058D8"/>
    <w:rsid w:val="1EE14DEE"/>
    <w:rsid w:val="1F026649"/>
    <w:rsid w:val="1F906AC3"/>
    <w:rsid w:val="1F95570F"/>
    <w:rsid w:val="1F9D242B"/>
    <w:rsid w:val="20501E36"/>
    <w:rsid w:val="20A2387B"/>
    <w:rsid w:val="211368E4"/>
    <w:rsid w:val="21153DC5"/>
    <w:rsid w:val="216C6FA0"/>
    <w:rsid w:val="21D56297"/>
    <w:rsid w:val="22085E65"/>
    <w:rsid w:val="229E7104"/>
    <w:rsid w:val="23255A39"/>
    <w:rsid w:val="23FA61B8"/>
    <w:rsid w:val="241C1B65"/>
    <w:rsid w:val="241C7962"/>
    <w:rsid w:val="24436A23"/>
    <w:rsid w:val="247A5215"/>
    <w:rsid w:val="24883766"/>
    <w:rsid w:val="24B26E1F"/>
    <w:rsid w:val="24C5387B"/>
    <w:rsid w:val="25CA2906"/>
    <w:rsid w:val="261D2E9E"/>
    <w:rsid w:val="26AE69AC"/>
    <w:rsid w:val="26B57FEB"/>
    <w:rsid w:val="277D0F63"/>
    <w:rsid w:val="27F56137"/>
    <w:rsid w:val="28546167"/>
    <w:rsid w:val="28755D2E"/>
    <w:rsid w:val="29597382"/>
    <w:rsid w:val="29F64FFC"/>
    <w:rsid w:val="29F80CAF"/>
    <w:rsid w:val="2A310BBE"/>
    <w:rsid w:val="2A6B32C0"/>
    <w:rsid w:val="2A9D2E3B"/>
    <w:rsid w:val="2BC9433B"/>
    <w:rsid w:val="2BCF3D24"/>
    <w:rsid w:val="2BEE5FD0"/>
    <w:rsid w:val="2C2F10E3"/>
    <w:rsid w:val="2C785CA5"/>
    <w:rsid w:val="2CC979D8"/>
    <w:rsid w:val="2D630BFB"/>
    <w:rsid w:val="2D837B42"/>
    <w:rsid w:val="2D937732"/>
    <w:rsid w:val="2DAA6BF6"/>
    <w:rsid w:val="2E787516"/>
    <w:rsid w:val="2FD12F62"/>
    <w:rsid w:val="30321BD0"/>
    <w:rsid w:val="30937DC6"/>
    <w:rsid w:val="30C52FDC"/>
    <w:rsid w:val="31213A03"/>
    <w:rsid w:val="31907A7C"/>
    <w:rsid w:val="31A05541"/>
    <w:rsid w:val="31E167A3"/>
    <w:rsid w:val="32002EBC"/>
    <w:rsid w:val="328A4354"/>
    <w:rsid w:val="32B21A4F"/>
    <w:rsid w:val="32C739DA"/>
    <w:rsid w:val="32D72CC9"/>
    <w:rsid w:val="330B78FA"/>
    <w:rsid w:val="33DE722D"/>
    <w:rsid w:val="345656C7"/>
    <w:rsid w:val="34847DE1"/>
    <w:rsid w:val="3491604D"/>
    <w:rsid w:val="34A93539"/>
    <w:rsid w:val="34C226AB"/>
    <w:rsid w:val="34E55B43"/>
    <w:rsid w:val="35F920FC"/>
    <w:rsid w:val="36267B83"/>
    <w:rsid w:val="37023232"/>
    <w:rsid w:val="37632FF9"/>
    <w:rsid w:val="37A6017B"/>
    <w:rsid w:val="37DE5A4E"/>
    <w:rsid w:val="383D5549"/>
    <w:rsid w:val="38A33996"/>
    <w:rsid w:val="39161217"/>
    <w:rsid w:val="39F25DC0"/>
    <w:rsid w:val="3A183629"/>
    <w:rsid w:val="3AA7179F"/>
    <w:rsid w:val="3AAD7141"/>
    <w:rsid w:val="3AC23405"/>
    <w:rsid w:val="3AFE1F63"/>
    <w:rsid w:val="3BB27D6A"/>
    <w:rsid w:val="3BF53645"/>
    <w:rsid w:val="3C4B3ABA"/>
    <w:rsid w:val="3C5C4616"/>
    <w:rsid w:val="3CB57CB2"/>
    <w:rsid w:val="3CBB45AF"/>
    <w:rsid w:val="3CDE029E"/>
    <w:rsid w:val="3CEA7FFA"/>
    <w:rsid w:val="3D875323"/>
    <w:rsid w:val="3DBD2B21"/>
    <w:rsid w:val="3E570B03"/>
    <w:rsid w:val="3F3E5024"/>
    <w:rsid w:val="3F473ED8"/>
    <w:rsid w:val="3F4C624D"/>
    <w:rsid w:val="3F637905"/>
    <w:rsid w:val="3F802AF8"/>
    <w:rsid w:val="3FB670CD"/>
    <w:rsid w:val="3FFD74CE"/>
    <w:rsid w:val="405C2216"/>
    <w:rsid w:val="40B9577F"/>
    <w:rsid w:val="40BE46D9"/>
    <w:rsid w:val="40F77B80"/>
    <w:rsid w:val="417A0F43"/>
    <w:rsid w:val="41F04C62"/>
    <w:rsid w:val="425B34CD"/>
    <w:rsid w:val="42651A1B"/>
    <w:rsid w:val="42A67168"/>
    <w:rsid w:val="42C31FDA"/>
    <w:rsid w:val="434C0829"/>
    <w:rsid w:val="43914F51"/>
    <w:rsid w:val="43DF729C"/>
    <w:rsid w:val="43F46B13"/>
    <w:rsid w:val="44805F59"/>
    <w:rsid w:val="449B63D0"/>
    <w:rsid w:val="44CF2576"/>
    <w:rsid w:val="459C04D2"/>
    <w:rsid w:val="45B94B92"/>
    <w:rsid w:val="45ED2898"/>
    <w:rsid w:val="465A331F"/>
    <w:rsid w:val="466467CB"/>
    <w:rsid w:val="466C3EAD"/>
    <w:rsid w:val="46DE44C9"/>
    <w:rsid w:val="470A0911"/>
    <w:rsid w:val="47246DE4"/>
    <w:rsid w:val="475A1D80"/>
    <w:rsid w:val="47B84BE4"/>
    <w:rsid w:val="47D637CC"/>
    <w:rsid w:val="48054931"/>
    <w:rsid w:val="4823125B"/>
    <w:rsid w:val="4828559D"/>
    <w:rsid w:val="485F744D"/>
    <w:rsid w:val="4872331B"/>
    <w:rsid w:val="488A20D0"/>
    <w:rsid w:val="48A236B1"/>
    <w:rsid w:val="48AF3893"/>
    <w:rsid w:val="48CF0379"/>
    <w:rsid w:val="48E206E3"/>
    <w:rsid w:val="48EA1863"/>
    <w:rsid w:val="48F826E7"/>
    <w:rsid w:val="48F92149"/>
    <w:rsid w:val="49B8032B"/>
    <w:rsid w:val="49C64593"/>
    <w:rsid w:val="49C921A5"/>
    <w:rsid w:val="4A963F58"/>
    <w:rsid w:val="4AC426CF"/>
    <w:rsid w:val="4AE26D2B"/>
    <w:rsid w:val="4B9767DE"/>
    <w:rsid w:val="4B9D159F"/>
    <w:rsid w:val="4C687B84"/>
    <w:rsid w:val="4D7D5273"/>
    <w:rsid w:val="4DB86780"/>
    <w:rsid w:val="4ED15834"/>
    <w:rsid w:val="4EE679B3"/>
    <w:rsid w:val="4F0B0137"/>
    <w:rsid w:val="4F737FDA"/>
    <w:rsid w:val="4F86189D"/>
    <w:rsid w:val="4FA84F80"/>
    <w:rsid w:val="501F77B8"/>
    <w:rsid w:val="503C701D"/>
    <w:rsid w:val="5055143E"/>
    <w:rsid w:val="510D1EA9"/>
    <w:rsid w:val="51F95A3E"/>
    <w:rsid w:val="526249F0"/>
    <w:rsid w:val="52DB4AB5"/>
    <w:rsid w:val="53C66AC7"/>
    <w:rsid w:val="53FD1738"/>
    <w:rsid w:val="54404B1F"/>
    <w:rsid w:val="551B682E"/>
    <w:rsid w:val="55465550"/>
    <w:rsid w:val="559B2B61"/>
    <w:rsid w:val="56091A90"/>
    <w:rsid w:val="56150435"/>
    <w:rsid w:val="567B2014"/>
    <w:rsid w:val="56B62190"/>
    <w:rsid w:val="57824095"/>
    <w:rsid w:val="57E31A57"/>
    <w:rsid w:val="583F4939"/>
    <w:rsid w:val="588F4167"/>
    <w:rsid w:val="58A452DE"/>
    <w:rsid w:val="59C20335"/>
    <w:rsid w:val="5A1214F4"/>
    <w:rsid w:val="5A324166"/>
    <w:rsid w:val="5A7B61B0"/>
    <w:rsid w:val="5A81078E"/>
    <w:rsid w:val="5B304642"/>
    <w:rsid w:val="5B9E55DE"/>
    <w:rsid w:val="5BA1276A"/>
    <w:rsid w:val="5BF82781"/>
    <w:rsid w:val="5C4D583F"/>
    <w:rsid w:val="5C8C074B"/>
    <w:rsid w:val="5CFC2F9C"/>
    <w:rsid w:val="5D5104A8"/>
    <w:rsid w:val="5D690662"/>
    <w:rsid w:val="5D700D5D"/>
    <w:rsid w:val="5D8B5D7A"/>
    <w:rsid w:val="5DD34B6C"/>
    <w:rsid w:val="5DF106FD"/>
    <w:rsid w:val="5E0921C4"/>
    <w:rsid w:val="5F1C6CD8"/>
    <w:rsid w:val="5F6D40E4"/>
    <w:rsid w:val="5F820AF5"/>
    <w:rsid w:val="5FCE0484"/>
    <w:rsid w:val="605D1A2A"/>
    <w:rsid w:val="60D90E61"/>
    <w:rsid w:val="60FB5EA4"/>
    <w:rsid w:val="61453EE2"/>
    <w:rsid w:val="61F44B90"/>
    <w:rsid w:val="61FD17D3"/>
    <w:rsid w:val="620431BF"/>
    <w:rsid w:val="627D2CBF"/>
    <w:rsid w:val="63344891"/>
    <w:rsid w:val="637B5CCC"/>
    <w:rsid w:val="64134BFB"/>
    <w:rsid w:val="64736EE5"/>
    <w:rsid w:val="64B2525F"/>
    <w:rsid w:val="65B12427"/>
    <w:rsid w:val="664F5355"/>
    <w:rsid w:val="665628C8"/>
    <w:rsid w:val="66A72826"/>
    <w:rsid w:val="670154D9"/>
    <w:rsid w:val="6723175B"/>
    <w:rsid w:val="67681373"/>
    <w:rsid w:val="678426FC"/>
    <w:rsid w:val="67F866D5"/>
    <w:rsid w:val="68AB26E8"/>
    <w:rsid w:val="68D66D1E"/>
    <w:rsid w:val="6A1832ED"/>
    <w:rsid w:val="6AC26477"/>
    <w:rsid w:val="6B8D1753"/>
    <w:rsid w:val="6BF9283F"/>
    <w:rsid w:val="6C295312"/>
    <w:rsid w:val="6C5C4855"/>
    <w:rsid w:val="6C831645"/>
    <w:rsid w:val="6C8C456A"/>
    <w:rsid w:val="6C916F80"/>
    <w:rsid w:val="6C926784"/>
    <w:rsid w:val="6CF342D7"/>
    <w:rsid w:val="6DEE35FD"/>
    <w:rsid w:val="6DF75DEC"/>
    <w:rsid w:val="6E337B9A"/>
    <w:rsid w:val="6E387E9E"/>
    <w:rsid w:val="6E5E49FE"/>
    <w:rsid w:val="6E8E5D4F"/>
    <w:rsid w:val="6F0568D8"/>
    <w:rsid w:val="6F3B4F17"/>
    <w:rsid w:val="6F4F22D3"/>
    <w:rsid w:val="6F821376"/>
    <w:rsid w:val="706A35E3"/>
    <w:rsid w:val="70C83051"/>
    <w:rsid w:val="711C6491"/>
    <w:rsid w:val="714231E0"/>
    <w:rsid w:val="724529F6"/>
    <w:rsid w:val="728617DB"/>
    <w:rsid w:val="7310306D"/>
    <w:rsid w:val="73D34BD6"/>
    <w:rsid w:val="744A481A"/>
    <w:rsid w:val="7460720F"/>
    <w:rsid w:val="74CB75FE"/>
    <w:rsid w:val="74F8600D"/>
    <w:rsid w:val="7509188F"/>
    <w:rsid w:val="759D1028"/>
    <w:rsid w:val="76037060"/>
    <w:rsid w:val="761E4348"/>
    <w:rsid w:val="762B0F91"/>
    <w:rsid w:val="76B92C06"/>
    <w:rsid w:val="76C9623B"/>
    <w:rsid w:val="780E0EE8"/>
    <w:rsid w:val="782A21B3"/>
    <w:rsid w:val="78921C61"/>
    <w:rsid w:val="78A43425"/>
    <w:rsid w:val="79440260"/>
    <w:rsid w:val="79F30FA6"/>
    <w:rsid w:val="7A1F0098"/>
    <w:rsid w:val="7A242B0F"/>
    <w:rsid w:val="7A3F2D58"/>
    <w:rsid w:val="7A5F0B9A"/>
    <w:rsid w:val="7AEF4710"/>
    <w:rsid w:val="7AFA37C9"/>
    <w:rsid w:val="7B6A4196"/>
    <w:rsid w:val="7B785A7F"/>
    <w:rsid w:val="7B7C18C0"/>
    <w:rsid w:val="7B851309"/>
    <w:rsid w:val="7C3601CE"/>
    <w:rsid w:val="7C826702"/>
    <w:rsid w:val="7C905799"/>
    <w:rsid w:val="7CC06A9D"/>
    <w:rsid w:val="7CFF1186"/>
    <w:rsid w:val="7D3B70ED"/>
    <w:rsid w:val="7D434C0F"/>
    <w:rsid w:val="7D434D57"/>
    <w:rsid w:val="7D8E2708"/>
    <w:rsid w:val="7DAF3428"/>
    <w:rsid w:val="7E023F3D"/>
    <w:rsid w:val="7E9534E5"/>
    <w:rsid w:val="7E956AB7"/>
    <w:rsid w:val="7FEC70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semiHidden="0" w:name="caption"/>
    <w:lsdException w:qFormat="1"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spacing w:line="500" w:lineRule="exact"/>
      <w:ind w:firstLine="883" w:firstLineChars="200"/>
    </w:pPr>
    <w:rPr>
      <w:rFonts w:ascii="Times New Roman" w:hAnsi="Times New Roman" w:eastAsia="宋体" w:cstheme="minorBidi"/>
      <w:kern w:val="2"/>
      <w:sz w:val="28"/>
      <w:szCs w:val="22"/>
      <w:lang w:val="en-US" w:eastAsia="zh-CN" w:bidi="ar-SA"/>
    </w:rPr>
  </w:style>
  <w:style w:type="paragraph" w:styleId="4">
    <w:name w:val="heading 1"/>
    <w:basedOn w:val="1"/>
    <w:next w:val="1"/>
    <w:link w:val="37"/>
    <w:autoRedefine/>
    <w:qFormat/>
    <w:uiPriority w:val="0"/>
    <w:pPr>
      <w:keepNext/>
      <w:keepLines/>
      <w:numPr>
        <w:ilvl w:val="0"/>
        <w:numId w:val="1"/>
      </w:numPr>
      <w:snapToGrid w:val="0"/>
      <w:spacing w:before="100" w:beforeLines="100" w:after="100" w:afterLines="100" w:line="240" w:lineRule="auto"/>
      <w:ind w:firstLine="0" w:firstLineChars="0"/>
      <w:jc w:val="center"/>
      <w:outlineLvl w:val="0"/>
    </w:pPr>
    <w:rPr>
      <w:rFonts w:cs="Times New Roman"/>
      <w:b/>
      <w:kern w:val="44"/>
      <w:sz w:val="36"/>
    </w:rPr>
  </w:style>
  <w:style w:type="paragraph" w:styleId="5">
    <w:name w:val="heading 2"/>
    <w:basedOn w:val="1"/>
    <w:next w:val="1"/>
    <w:link w:val="38"/>
    <w:autoRedefine/>
    <w:unhideWhenUsed/>
    <w:qFormat/>
    <w:uiPriority w:val="0"/>
    <w:pPr>
      <w:keepNext/>
      <w:keepLines/>
      <w:numPr>
        <w:ilvl w:val="1"/>
        <w:numId w:val="1"/>
      </w:numPr>
      <w:adjustRightInd w:val="0"/>
      <w:snapToGrid w:val="0"/>
      <w:spacing w:before="50" w:beforeLines="50" w:after="50" w:afterLines="50" w:line="240" w:lineRule="auto"/>
      <w:ind w:left="0" w:firstLine="0" w:firstLineChars="0"/>
      <w:outlineLvl w:val="1"/>
    </w:pPr>
    <w:rPr>
      <w:rFonts w:asciiTheme="minorHAnsi" w:hAnsiTheme="minorHAnsi" w:eastAsiaTheme="minorEastAsia"/>
      <w:b/>
      <w:sz w:val="32"/>
      <w:szCs w:val="32"/>
    </w:rPr>
  </w:style>
  <w:style w:type="paragraph" w:styleId="6">
    <w:name w:val="heading 3"/>
    <w:basedOn w:val="1"/>
    <w:next w:val="1"/>
    <w:link w:val="40"/>
    <w:autoRedefine/>
    <w:unhideWhenUsed/>
    <w:qFormat/>
    <w:uiPriority w:val="0"/>
    <w:pPr>
      <w:keepNext/>
      <w:keepLines/>
      <w:numPr>
        <w:ilvl w:val="2"/>
        <w:numId w:val="1"/>
      </w:numPr>
      <w:tabs>
        <w:tab w:val="left" w:pos="2101"/>
        <w:tab w:val="clear" w:pos="420"/>
      </w:tabs>
      <w:spacing w:before="50" w:beforeLines="50" w:after="50" w:afterLines="50" w:line="240" w:lineRule="auto"/>
      <w:ind w:left="0" w:firstLine="0" w:firstLineChars="0"/>
      <w:outlineLvl w:val="2"/>
    </w:pPr>
    <w:rPr>
      <w:rFonts w:cs="Times New Roman"/>
      <w:b/>
      <w:bCs/>
      <w:sz w:val="30"/>
      <w:szCs w:val="32"/>
    </w:rPr>
  </w:style>
  <w:style w:type="paragraph" w:styleId="7">
    <w:name w:val="heading 4"/>
    <w:basedOn w:val="1"/>
    <w:next w:val="1"/>
    <w:link w:val="39"/>
    <w:autoRedefine/>
    <w:unhideWhenUsed/>
    <w:qFormat/>
    <w:uiPriority w:val="0"/>
    <w:pPr>
      <w:keepNext/>
      <w:keepLines/>
      <w:numPr>
        <w:ilvl w:val="3"/>
        <w:numId w:val="1"/>
      </w:numPr>
      <w:adjustRightInd w:val="0"/>
      <w:snapToGrid w:val="0"/>
      <w:spacing w:before="50" w:beforeLines="50" w:after="50" w:afterLines="50" w:line="240" w:lineRule="auto"/>
      <w:ind w:left="862" w:hanging="862" w:firstLineChars="0"/>
      <w:outlineLvl w:val="3"/>
    </w:pPr>
    <w:rPr>
      <w:rFonts w:ascii="Cambria" w:hAnsi="Cambria"/>
      <w:b/>
      <w:bCs/>
      <w:szCs w:val="28"/>
    </w:rPr>
  </w:style>
  <w:style w:type="paragraph" w:styleId="8">
    <w:name w:val="heading 5"/>
    <w:basedOn w:val="1"/>
    <w:next w:val="1"/>
    <w:autoRedefine/>
    <w:unhideWhenUsed/>
    <w:qFormat/>
    <w:uiPriority w:val="0"/>
    <w:pPr>
      <w:keepNext/>
      <w:keepLines/>
      <w:numPr>
        <w:ilvl w:val="4"/>
        <w:numId w:val="1"/>
      </w:numPr>
      <w:snapToGrid w:val="0"/>
      <w:spacing w:before="50" w:beforeLines="50" w:after="50" w:afterLines="50" w:line="240" w:lineRule="auto"/>
      <w:ind w:left="0" w:firstLine="0" w:firstLineChars="0"/>
      <w:outlineLvl w:val="4"/>
    </w:pPr>
    <w:rPr>
      <w:b/>
    </w:rPr>
  </w:style>
  <w:style w:type="paragraph" w:styleId="9">
    <w:name w:val="heading 6"/>
    <w:basedOn w:val="1"/>
    <w:next w:val="1"/>
    <w:autoRedefine/>
    <w:semiHidden/>
    <w:unhideWhenUsed/>
    <w:qFormat/>
    <w:uiPriority w:val="0"/>
    <w:pPr>
      <w:keepNext/>
      <w:keepLines/>
      <w:numPr>
        <w:ilvl w:val="5"/>
        <w:numId w:val="1"/>
      </w:numPr>
      <w:spacing w:before="240" w:after="64" w:line="317" w:lineRule="auto"/>
      <w:ind w:firstLine="0" w:firstLineChars="0"/>
      <w:outlineLvl w:val="5"/>
    </w:pPr>
    <w:rPr>
      <w:rFonts w:ascii="Arial" w:hAnsi="Arial" w:eastAsia="黑体"/>
      <w:b/>
      <w:sz w:val="24"/>
    </w:rPr>
  </w:style>
  <w:style w:type="paragraph" w:styleId="10">
    <w:name w:val="heading 7"/>
    <w:basedOn w:val="1"/>
    <w:next w:val="1"/>
    <w:autoRedefine/>
    <w:semiHidden/>
    <w:unhideWhenUsed/>
    <w:qFormat/>
    <w:uiPriority w:val="0"/>
    <w:pPr>
      <w:keepNext/>
      <w:keepLines/>
      <w:numPr>
        <w:ilvl w:val="6"/>
        <w:numId w:val="1"/>
      </w:numPr>
      <w:spacing w:before="240" w:after="64" w:line="317" w:lineRule="auto"/>
      <w:ind w:firstLine="0" w:firstLineChars="0"/>
      <w:outlineLvl w:val="6"/>
    </w:pPr>
    <w:rPr>
      <w:b/>
      <w:sz w:val="24"/>
    </w:rPr>
  </w:style>
  <w:style w:type="paragraph" w:styleId="11">
    <w:name w:val="heading 8"/>
    <w:basedOn w:val="1"/>
    <w:next w:val="1"/>
    <w:autoRedefine/>
    <w:semiHidden/>
    <w:unhideWhenUsed/>
    <w:qFormat/>
    <w:uiPriority w:val="0"/>
    <w:pPr>
      <w:keepNext/>
      <w:keepLines/>
      <w:numPr>
        <w:ilvl w:val="7"/>
        <w:numId w:val="1"/>
      </w:numPr>
      <w:spacing w:before="240" w:after="64" w:line="317" w:lineRule="auto"/>
      <w:ind w:firstLine="0" w:firstLineChars="0"/>
      <w:outlineLvl w:val="7"/>
    </w:pPr>
    <w:rPr>
      <w:rFonts w:ascii="Arial" w:hAnsi="Arial" w:eastAsia="黑体"/>
      <w:sz w:val="24"/>
    </w:rPr>
  </w:style>
  <w:style w:type="paragraph" w:styleId="12">
    <w:name w:val="heading 9"/>
    <w:basedOn w:val="1"/>
    <w:next w:val="1"/>
    <w:autoRedefine/>
    <w:semiHidden/>
    <w:unhideWhenUsed/>
    <w:qFormat/>
    <w:uiPriority w:val="0"/>
    <w:pPr>
      <w:keepNext/>
      <w:keepLines/>
      <w:numPr>
        <w:ilvl w:val="8"/>
        <w:numId w:val="1"/>
      </w:numPr>
      <w:spacing w:before="240" w:after="64" w:line="317" w:lineRule="auto"/>
      <w:ind w:firstLine="0" w:firstLineChars="0"/>
      <w:outlineLvl w:val="8"/>
    </w:pPr>
    <w:rPr>
      <w:rFonts w:ascii="Arial" w:hAnsi="Arial" w:eastAsia="黑体"/>
      <w:sz w:val="21"/>
    </w:rPr>
  </w:style>
  <w:style w:type="character" w:default="1" w:styleId="31">
    <w:name w:val="Default Paragraph Font"/>
    <w:autoRedefine/>
    <w:semiHidden/>
    <w:unhideWhenUsed/>
    <w:qFormat/>
    <w:uiPriority w:val="1"/>
  </w:style>
  <w:style w:type="table" w:default="1" w:styleId="29">
    <w:name w:val="Normal Table"/>
    <w:autoRedefine/>
    <w:semiHidden/>
    <w:unhideWhenUsed/>
    <w:qFormat/>
    <w:uiPriority w:val="99"/>
    <w:tblPr>
      <w:tblCellMar>
        <w:top w:w="0" w:type="dxa"/>
        <w:left w:w="108" w:type="dxa"/>
        <w:bottom w:w="0" w:type="dxa"/>
        <w:right w:w="108" w:type="dxa"/>
      </w:tblCellMar>
    </w:tblPr>
  </w:style>
  <w:style w:type="paragraph" w:styleId="2">
    <w:name w:val="Body Text First Indent 2"/>
    <w:basedOn w:val="3"/>
    <w:autoRedefine/>
    <w:qFormat/>
    <w:uiPriority w:val="0"/>
    <w:pPr>
      <w:ind w:left="0" w:leftChars="0" w:firstLine="420"/>
    </w:pPr>
    <w:rPr>
      <w:rFonts w:ascii="宋体" w:hAnsi="宋体" w:cs="宋体"/>
    </w:rPr>
  </w:style>
  <w:style w:type="paragraph" w:styleId="3">
    <w:name w:val="Body Text Indent"/>
    <w:basedOn w:val="1"/>
    <w:autoRedefine/>
    <w:qFormat/>
    <w:uiPriority w:val="0"/>
    <w:pPr>
      <w:spacing w:after="120"/>
      <w:ind w:left="420" w:leftChars="200"/>
    </w:pPr>
  </w:style>
  <w:style w:type="paragraph" w:styleId="13">
    <w:name w:val="Normal Indent"/>
    <w:basedOn w:val="1"/>
    <w:autoRedefine/>
    <w:qFormat/>
    <w:uiPriority w:val="0"/>
    <w:pPr>
      <w:ind w:firstLine="420"/>
    </w:pPr>
    <w:rPr>
      <w:rFonts w:cs="Times New Roman"/>
      <w:szCs w:val="21"/>
    </w:rPr>
  </w:style>
  <w:style w:type="paragraph" w:styleId="14">
    <w:name w:val="caption"/>
    <w:basedOn w:val="1"/>
    <w:next w:val="1"/>
    <w:autoRedefine/>
    <w:unhideWhenUsed/>
    <w:qFormat/>
    <w:uiPriority w:val="0"/>
    <w:pPr>
      <w:spacing w:before="50" w:beforeLines="50" w:after="50" w:afterLines="50" w:line="240" w:lineRule="auto"/>
      <w:ind w:firstLine="0" w:firstLineChars="0"/>
      <w:jc w:val="center"/>
    </w:pPr>
    <w:rPr>
      <w:b/>
      <w:sz w:val="24"/>
    </w:rPr>
  </w:style>
  <w:style w:type="paragraph" w:styleId="15">
    <w:name w:val="annotation text"/>
    <w:basedOn w:val="1"/>
    <w:link w:val="60"/>
    <w:autoRedefine/>
    <w:qFormat/>
    <w:uiPriority w:val="0"/>
  </w:style>
  <w:style w:type="paragraph" w:styleId="16">
    <w:name w:val="Body Text"/>
    <w:basedOn w:val="1"/>
    <w:next w:val="1"/>
    <w:autoRedefine/>
    <w:qFormat/>
    <w:uiPriority w:val="0"/>
    <w:pPr>
      <w:widowControl/>
      <w:snapToGrid w:val="0"/>
    </w:pPr>
    <w:rPr>
      <w:rFonts w:cs="Times New Roman"/>
      <w:kern w:val="0"/>
      <w:szCs w:val="20"/>
    </w:rPr>
  </w:style>
  <w:style w:type="paragraph" w:styleId="17">
    <w:name w:val="toc 3"/>
    <w:basedOn w:val="1"/>
    <w:next w:val="1"/>
    <w:autoRedefine/>
    <w:qFormat/>
    <w:uiPriority w:val="0"/>
    <w:pPr>
      <w:ind w:left="840" w:leftChars="400"/>
    </w:pPr>
    <w:rPr>
      <w:rFonts w:ascii="宋体" w:hAnsi="宋体" w:cs="宋体"/>
      <w:szCs w:val="28"/>
    </w:rPr>
  </w:style>
  <w:style w:type="paragraph" w:styleId="18">
    <w:name w:val="Plain Text"/>
    <w:basedOn w:val="1"/>
    <w:next w:val="1"/>
    <w:link w:val="42"/>
    <w:autoRedefine/>
    <w:qFormat/>
    <w:uiPriority w:val="0"/>
    <w:pPr>
      <w:ind w:firstLine="1044"/>
    </w:pPr>
    <w:rPr>
      <w:rFonts w:ascii="宋体" w:hAnsi="宋体" w:cs="Times New Roman"/>
      <w:szCs w:val="20"/>
    </w:rPr>
  </w:style>
  <w:style w:type="paragraph" w:styleId="19">
    <w:name w:val="Body Text Indent 2"/>
    <w:basedOn w:val="1"/>
    <w:next w:val="20"/>
    <w:autoRedefine/>
    <w:qFormat/>
    <w:uiPriority w:val="0"/>
    <w:pPr>
      <w:ind w:firstLine="480"/>
    </w:pPr>
    <w:rPr>
      <w:rFonts w:ascii="宋体" w:hAnsi="宋体" w:cs="宋体"/>
    </w:rPr>
  </w:style>
  <w:style w:type="paragraph" w:styleId="20">
    <w:name w:val="Body Text First Indent"/>
    <w:basedOn w:val="16"/>
    <w:next w:val="1"/>
    <w:autoRedefine/>
    <w:qFormat/>
    <w:uiPriority w:val="0"/>
    <w:pPr>
      <w:ind w:firstLine="723"/>
    </w:pPr>
  </w:style>
  <w:style w:type="paragraph" w:styleId="21">
    <w:name w:val="footer"/>
    <w:basedOn w:val="1"/>
    <w:autoRedefine/>
    <w:unhideWhenUsed/>
    <w:qFormat/>
    <w:uiPriority w:val="99"/>
    <w:pPr>
      <w:tabs>
        <w:tab w:val="center" w:pos="4153"/>
        <w:tab w:val="right" w:pos="8306"/>
      </w:tabs>
      <w:snapToGrid w:val="0"/>
    </w:pPr>
    <w:rPr>
      <w:sz w:val="18"/>
      <w:szCs w:val="18"/>
    </w:rPr>
  </w:style>
  <w:style w:type="paragraph" w:styleId="22">
    <w:name w:val="header"/>
    <w:basedOn w:val="1"/>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1"/>
    <w:next w:val="1"/>
    <w:autoRedefine/>
    <w:unhideWhenUsed/>
    <w:qFormat/>
    <w:uiPriority w:val="39"/>
  </w:style>
  <w:style w:type="paragraph" w:styleId="24">
    <w:name w:val="List"/>
    <w:basedOn w:val="1"/>
    <w:autoRedefine/>
    <w:qFormat/>
    <w:uiPriority w:val="0"/>
    <w:pPr>
      <w:ind w:left="200" w:hanging="200" w:hangingChars="200"/>
      <w:contextualSpacing/>
    </w:pPr>
  </w:style>
  <w:style w:type="paragraph" w:styleId="25">
    <w:name w:val="table of figures"/>
    <w:basedOn w:val="1"/>
    <w:next w:val="1"/>
    <w:autoRedefine/>
    <w:qFormat/>
    <w:uiPriority w:val="0"/>
    <w:pPr>
      <w:ind w:left="200" w:leftChars="200" w:hanging="200" w:hangingChars="200"/>
      <w:jc w:val="both"/>
    </w:pPr>
    <w:rPr>
      <w:rFonts w:cs="Times New Roman"/>
      <w:sz w:val="21"/>
      <w:szCs w:val="24"/>
    </w:rPr>
  </w:style>
  <w:style w:type="paragraph" w:styleId="26">
    <w:name w:val="toc 2"/>
    <w:basedOn w:val="1"/>
    <w:next w:val="1"/>
    <w:autoRedefine/>
    <w:unhideWhenUsed/>
    <w:qFormat/>
    <w:uiPriority w:val="39"/>
    <w:pPr>
      <w:ind w:left="420" w:leftChars="200"/>
    </w:pPr>
  </w:style>
  <w:style w:type="paragraph" w:styleId="27">
    <w:name w:val="Normal (Web)"/>
    <w:basedOn w:val="1"/>
    <w:autoRedefine/>
    <w:qFormat/>
    <w:uiPriority w:val="0"/>
    <w:pPr>
      <w:spacing w:before="100" w:beforeAutospacing="1" w:after="100" w:afterAutospacing="1"/>
    </w:pPr>
    <w:rPr>
      <w:rFonts w:cs="Times New Roman"/>
      <w:kern w:val="0"/>
      <w:sz w:val="24"/>
    </w:rPr>
  </w:style>
  <w:style w:type="paragraph" w:styleId="28">
    <w:name w:val="annotation subject"/>
    <w:basedOn w:val="15"/>
    <w:next w:val="15"/>
    <w:link w:val="61"/>
    <w:autoRedefine/>
    <w:qFormat/>
    <w:uiPriority w:val="0"/>
    <w:rPr>
      <w:b/>
      <w:bCs/>
    </w:rPr>
  </w:style>
  <w:style w:type="table" w:styleId="30">
    <w:name w:val="Table Grid"/>
    <w:basedOn w:val="29"/>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2">
    <w:name w:val="Strong"/>
    <w:basedOn w:val="31"/>
    <w:autoRedefine/>
    <w:qFormat/>
    <w:uiPriority w:val="0"/>
    <w:rPr>
      <w:b/>
    </w:rPr>
  </w:style>
  <w:style w:type="character" w:styleId="33">
    <w:name w:val="page number"/>
    <w:basedOn w:val="31"/>
    <w:autoRedefine/>
    <w:qFormat/>
    <w:uiPriority w:val="0"/>
  </w:style>
  <w:style w:type="character" w:styleId="34">
    <w:name w:val="FollowedHyperlink"/>
    <w:basedOn w:val="31"/>
    <w:autoRedefine/>
    <w:qFormat/>
    <w:uiPriority w:val="0"/>
    <w:rPr>
      <w:color w:val="800080"/>
      <w:u w:val="single"/>
    </w:rPr>
  </w:style>
  <w:style w:type="character" w:styleId="35">
    <w:name w:val="Hyperlink"/>
    <w:basedOn w:val="31"/>
    <w:autoRedefine/>
    <w:unhideWhenUsed/>
    <w:qFormat/>
    <w:uiPriority w:val="99"/>
    <w:rPr>
      <w:color w:val="0563C1" w:themeColor="hyperlink"/>
      <w:u w:val="single"/>
      <w14:textFill>
        <w14:solidFill>
          <w14:schemeClr w14:val="hlink"/>
        </w14:solidFill>
      </w14:textFill>
    </w:rPr>
  </w:style>
  <w:style w:type="character" w:styleId="36">
    <w:name w:val="annotation reference"/>
    <w:basedOn w:val="31"/>
    <w:autoRedefine/>
    <w:qFormat/>
    <w:uiPriority w:val="0"/>
    <w:rPr>
      <w:sz w:val="21"/>
      <w:szCs w:val="21"/>
    </w:rPr>
  </w:style>
  <w:style w:type="character" w:customStyle="1" w:styleId="37">
    <w:name w:val="标题 1 字符"/>
    <w:basedOn w:val="31"/>
    <w:link w:val="4"/>
    <w:autoRedefine/>
    <w:qFormat/>
    <w:uiPriority w:val="9"/>
    <w:rPr>
      <w:rFonts w:ascii="Times New Roman" w:hAnsi="Times New Roman" w:eastAsia="宋体" w:cs="Times New Roman"/>
      <w:b/>
      <w:kern w:val="44"/>
      <w:sz w:val="36"/>
      <w:szCs w:val="28"/>
    </w:rPr>
  </w:style>
  <w:style w:type="character" w:customStyle="1" w:styleId="38">
    <w:name w:val="标题 2 字符"/>
    <w:link w:val="5"/>
    <w:autoRedefine/>
    <w:qFormat/>
    <w:uiPriority w:val="0"/>
    <w:rPr>
      <w:rFonts w:ascii="Arial" w:hAnsi="Arial" w:cs="Times New Roman" w:eastAsiaTheme="minorEastAsia"/>
      <w:b/>
      <w:kern w:val="2"/>
      <w:sz w:val="32"/>
      <w:szCs w:val="32"/>
    </w:rPr>
  </w:style>
  <w:style w:type="character" w:customStyle="1" w:styleId="39">
    <w:name w:val="标题 4 字符"/>
    <w:basedOn w:val="31"/>
    <w:link w:val="7"/>
    <w:autoRedefine/>
    <w:semiHidden/>
    <w:qFormat/>
    <w:uiPriority w:val="9"/>
    <w:rPr>
      <w:rFonts w:ascii="宋体" w:hAnsi="宋体" w:eastAsia="宋体" w:cs="宋体"/>
      <w:b/>
      <w:kern w:val="2"/>
      <w:sz w:val="28"/>
      <w:szCs w:val="28"/>
    </w:rPr>
  </w:style>
  <w:style w:type="character" w:customStyle="1" w:styleId="40">
    <w:name w:val="标题 3 字符"/>
    <w:link w:val="6"/>
    <w:autoRedefine/>
    <w:qFormat/>
    <w:uiPriority w:val="0"/>
    <w:rPr>
      <w:rFonts w:ascii="Times New Roman" w:hAnsi="Times New Roman" w:eastAsia="宋体" w:cs="Times New Roman"/>
      <w:b/>
      <w:bCs/>
      <w:sz w:val="30"/>
      <w:szCs w:val="28"/>
    </w:rPr>
  </w:style>
  <w:style w:type="paragraph" w:customStyle="1" w:styleId="41">
    <w:name w:val="首行缩进"/>
    <w:basedOn w:val="1"/>
    <w:autoRedefine/>
    <w:qFormat/>
    <w:uiPriority w:val="0"/>
    <w:pPr>
      <w:snapToGrid w:val="0"/>
      <w:ind w:firstLine="482"/>
    </w:pPr>
    <w:rPr>
      <w:rFonts w:ascii="宋体" w:hAnsi="宋体" w:cs="宋体"/>
    </w:rPr>
  </w:style>
  <w:style w:type="character" w:customStyle="1" w:styleId="42">
    <w:name w:val="纯文本 字符"/>
    <w:basedOn w:val="31"/>
    <w:link w:val="18"/>
    <w:autoRedefine/>
    <w:qFormat/>
    <w:uiPriority w:val="0"/>
    <w:rPr>
      <w:rFonts w:ascii="宋体" w:hAnsi="宋体" w:eastAsia="宋体" w:cs="Times New Roman"/>
      <w:sz w:val="28"/>
      <w:szCs w:val="20"/>
    </w:rPr>
  </w:style>
  <w:style w:type="paragraph" w:customStyle="1" w:styleId="43">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44">
    <w:name w:val="正文文本 (2)_"/>
    <w:link w:val="45"/>
    <w:autoRedefine/>
    <w:unhideWhenUsed/>
    <w:qFormat/>
    <w:uiPriority w:val="99"/>
    <w:rPr>
      <w:rFonts w:hint="eastAsia" w:ascii="宋体" w:hAnsi="宋体"/>
      <w:kern w:val="0"/>
      <w:sz w:val="13"/>
      <w:szCs w:val="13"/>
    </w:rPr>
  </w:style>
  <w:style w:type="paragraph" w:customStyle="1" w:styleId="45">
    <w:name w:val="正文文本 (2)"/>
    <w:basedOn w:val="1"/>
    <w:link w:val="44"/>
    <w:autoRedefine/>
    <w:unhideWhenUsed/>
    <w:qFormat/>
    <w:uiPriority w:val="99"/>
    <w:pPr>
      <w:shd w:val="clear" w:color="auto" w:fill="FFFFFF"/>
      <w:spacing w:line="237" w:lineRule="exact"/>
      <w:ind w:firstLine="420"/>
      <w:jc w:val="distribute"/>
    </w:pPr>
    <w:rPr>
      <w:rFonts w:hint="eastAsia" w:ascii="宋体" w:hAnsi="宋体"/>
      <w:kern w:val="0"/>
      <w:sz w:val="13"/>
      <w:szCs w:val="13"/>
    </w:rPr>
  </w:style>
  <w:style w:type="paragraph" w:customStyle="1" w:styleId="46">
    <w:name w:val="表文(G)"/>
    <w:autoRedefine/>
    <w:semiHidden/>
    <w:qFormat/>
    <w:uiPriority w:val="0"/>
    <w:pPr>
      <w:widowControl w:val="0"/>
      <w:tabs>
        <w:tab w:val="left" w:pos="1021"/>
      </w:tabs>
      <w:jc w:val="center"/>
    </w:pPr>
    <w:rPr>
      <w:rFonts w:ascii="Times New Roman" w:hAnsi="宋体" w:eastAsia="宋体" w:cs="Times New Roman"/>
      <w:position w:val="-24"/>
      <w:sz w:val="21"/>
      <w:szCs w:val="21"/>
      <w:lang w:val="en-US" w:eastAsia="zh-CN" w:bidi="ar-SA"/>
    </w:rPr>
  </w:style>
  <w:style w:type="paragraph" w:customStyle="1" w:styleId="47">
    <w:name w:val="样式 首行缩进:  2 字符"/>
    <w:autoRedefine/>
    <w:qFormat/>
    <w:uiPriority w:val="0"/>
    <w:pPr>
      <w:widowControl w:val="0"/>
      <w:overflowPunct w:val="0"/>
      <w:adjustRightInd w:val="0"/>
      <w:snapToGrid w:val="0"/>
      <w:spacing w:line="480" w:lineRule="exact"/>
      <w:ind w:firstLine="560" w:firstLineChars="200"/>
      <w:jc w:val="both"/>
    </w:pPr>
    <w:rPr>
      <w:rFonts w:ascii="Times New Roman" w:hAnsi="Times New Roman" w:eastAsia="宋体" w:cs="Times New Roman"/>
      <w:kern w:val="2"/>
      <w:sz w:val="28"/>
      <w:szCs w:val="28"/>
      <w:lang w:val="en-US" w:eastAsia="zh-CN" w:bidi="ar-SA"/>
    </w:rPr>
  </w:style>
  <w:style w:type="paragraph" w:customStyle="1" w:styleId="48">
    <w:name w:val="正文首行缩进2个字"/>
    <w:autoRedefine/>
    <w:qFormat/>
    <w:uiPriority w:val="0"/>
    <w:pPr>
      <w:widowControl w:val="0"/>
      <w:spacing w:line="540" w:lineRule="exact"/>
      <w:ind w:firstLine="200" w:firstLineChars="200"/>
      <w:jc w:val="both"/>
    </w:pPr>
    <w:rPr>
      <w:rFonts w:ascii="Times New Roman" w:hAnsi="Times New Roman" w:eastAsia="宋体" w:cs="Times New Roman"/>
      <w:kern w:val="2"/>
      <w:sz w:val="28"/>
      <w:szCs w:val="28"/>
      <w:lang w:val="en-US" w:eastAsia="zh-CN" w:bidi="ar-SA"/>
    </w:rPr>
  </w:style>
  <w:style w:type="paragraph" w:customStyle="1" w:styleId="49">
    <w:name w:val="正文（4号字 首行缩2）"/>
    <w:autoRedefine/>
    <w:qFormat/>
    <w:uiPriority w:val="0"/>
    <w:pPr>
      <w:widowControl w:val="0"/>
      <w:tabs>
        <w:tab w:val="left" w:pos="4830"/>
      </w:tabs>
      <w:ind w:firstLine="560" w:firstLineChars="200"/>
      <w:jc w:val="both"/>
    </w:pPr>
    <w:rPr>
      <w:rFonts w:ascii="宋体" w:hAnsi="宋体" w:eastAsia="宋体" w:cs="Times New Roman"/>
      <w:kern w:val="2"/>
      <w:sz w:val="28"/>
      <w:szCs w:val="24"/>
      <w:lang w:val="en-US" w:eastAsia="zh-CN" w:bidi="ar-SA"/>
    </w:rPr>
  </w:style>
  <w:style w:type="paragraph" w:customStyle="1" w:styleId="50">
    <w:name w:val="正文缩进1"/>
    <w:basedOn w:val="1"/>
    <w:autoRedefine/>
    <w:qFormat/>
    <w:uiPriority w:val="0"/>
    <w:pPr>
      <w:snapToGrid w:val="0"/>
      <w:spacing w:line="360" w:lineRule="auto"/>
      <w:ind w:firstLine="200"/>
    </w:pPr>
    <w:rPr>
      <w:sz w:val="24"/>
    </w:rPr>
  </w:style>
  <w:style w:type="character" w:customStyle="1" w:styleId="51">
    <w:name w:val="font21"/>
    <w:basedOn w:val="31"/>
    <w:autoRedefine/>
    <w:qFormat/>
    <w:uiPriority w:val="0"/>
    <w:rPr>
      <w:rFonts w:hint="eastAsia" w:ascii="宋体" w:hAnsi="宋体" w:eastAsia="宋体" w:cs="宋体"/>
      <w:color w:val="000000"/>
      <w:sz w:val="24"/>
      <w:szCs w:val="24"/>
      <w:u w:val="none"/>
    </w:rPr>
  </w:style>
  <w:style w:type="character" w:customStyle="1" w:styleId="52">
    <w:name w:val="font01"/>
    <w:basedOn w:val="31"/>
    <w:autoRedefine/>
    <w:qFormat/>
    <w:uiPriority w:val="0"/>
    <w:rPr>
      <w:rFonts w:ascii="宋体" w:hAnsi="宋体" w:eastAsia="宋体" w:cs="宋体"/>
      <w:color w:val="000000"/>
      <w:sz w:val="24"/>
      <w:szCs w:val="24"/>
      <w:u w:val="none"/>
    </w:rPr>
  </w:style>
  <w:style w:type="paragraph" w:styleId="53">
    <w:name w:val="List Paragraph"/>
    <w:basedOn w:val="1"/>
    <w:autoRedefine/>
    <w:qFormat/>
    <w:uiPriority w:val="34"/>
    <w:pPr>
      <w:ind w:firstLine="420"/>
    </w:pPr>
    <w:rPr>
      <w:rFonts w:ascii="Calibri" w:hAnsi="Calibri"/>
    </w:rPr>
  </w:style>
  <w:style w:type="character" w:customStyle="1" w:styleId="54">
    <w:name w:val="font11"/>
    <w:basedOn w:val="31"/>
    <w:autoRedefine/>
    <w:qFormat/>
    <w:uiPriority w:val="0"/>
    <w:rPr>
      <w:rFonts w:hint="eastAsia" w:ascii="宋体" w:hAnsi="宋体" w:eastAsia="宋体" w:cs="宋体"/>
      <w:color w:val="000000"/>
      <w:sz w:val="28"/>
      <w:szCs w:val="28"/>
      <w:u w:val="none"/>
    </w:rPr>
  </w:style>
  <w:style w:type="character" w:customStyle="1" w:styleId="55">
    <w:name w:val="t_tag"/>
    <w:autoRedefine/>
    <w:semiHidden/>
    <w:qFormat/>
    <w:uiPriority w:val="0"/>
  </w:style>
  <w:style w:type="paragraph" w:customStyle="1" w:styleId="56">
    <w:name w:val="WPSOffice手动目录 1"/>
    <w:autoRedefine/>
    <w:qFormat/>
    <w:uiPriority w:val="0"/>
    <w:rPr>
      <w:rFonts w:ascii="Times New Roman" w:hAnsi="Times New Roman" w:eastAsia="宋体" w:cs="Times New Roman"/>
      <w:lang w:val="en-US" w:eastAsia="zh-CN" w:bidi="ar-SA"/>
    </w:rPr>
  </w:style>
  <w:style w:type="paragraph" w:customStyle="1" w:styleId="57">
    <w:name w:val="表格1"/>
    <w:autoRedefine/>
    <w:qFormat/>
    <w:uiPriority w:val="0"/>
    <w:pPr>
      <w:adjustRightInd w:val="0"/>
      <w:spacing w:line="360" w:lineRule="auto"/>
      <w:jc w:val="center"/>
      <w:textAlignment w:val="center"/>
    </w:pPr>
    <w:rPr>
      <w:rFonts w:ascii="Times New Roman" w:hAnsi="Times New Roman" w:eastAsia="宋体" w:cs="Times New Roman"/>
      <w:sz w:val="21"/>
      <w:lang w:val="en-US" w:eastAsia="zh-CN" w:bidi="ar-SA"/>
    </w:rPr>
  </w:style>
  <w:style w:type="character" w:customStyle="1" w:styleId="58">
    <w:name w:val="font31"/>
    <w:basedOn w:val="31"/>
    <w:autoRedefine/>
    <w:qFormat/>
    <w:uiPriority w:val="0"/>
    <w:rPr>
      <w:rFonts w:ascii="宋体" w:hAnsi="宋体" w:eastAsia="宋体" w:cs="宋体"/>
      <w:color w:val="000000"/>
      <w:sz w:val="26"/>
      <w:szCs w:val="26"/>
      <w:u w:val="none"/>
    </w:rPr>
  </w:style>
  <w:style w:type="paragraph" w:customStyle="1" w:styleId="59">
    <w:name w:val="Revision"/>
    <w:autoRedefine/>
    <w:hidden/>
    <w:unhideWhenUsed/>
    <w:qFormat/>
    <w:uiPriority w:val="99"/>
    <w:rPr>
      <w:rFonts w:ascii="Times New Roman" w:hAnsi="Times New Roman" w:eastAsia="宋体" w:cstheme="minorBidi"/>
      <w:kern w:val="2"/>
      <w:sz w:val="28"/>
      <w:szCs w:val="22"/>
      <w:lang w:val="en-US" w:eastAsia="zh-CN" w:bidi="ar-SA"/>
    </w:rPr>
  </w:style>
  <w:style w:type="character" w:customStyle="1" w:styleId="60">
    <w:name w:val="批注文字 字符"/>
    <w:basedOn w:val="31"/>
    <w:link w:val="15"/>
    <w:autoRedefine/>
    <w:qFormat/>
    <w:uiPriority w:val="0"/>
    <w:rPr>
      <w:rFonts w:cstheme="minorBidi"/>
      <w:kern w:val="2"/>
      <w:sz w:val="28"/>
      <w:szCs w:val="22"/>
    </w:rPr>
  </w:style>
  <w:style w:type="character" w:customStyle="1" w:styleId="61">
    <w:name w:val="批注主题 字符"/>
    <w:basedOn w:val="60"/>
    <w:link w:val="28"/>
    <w:autoRedefine/>
    <w:qFormat/>
    <w:uiPriority w:val="0"/>
    <w:rPr>
      <w:rFonts w:cstheme="minorBidi"/>
      <w:b/>
      <w:bCs/>
      <w:kern w:val="2"/>
      <w:sz w:val="28"/>
      <w:szCs w:val="22"/>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8" Type="http://schemas.openxmlformats.org/officeDocument/2006/relationships/fontTable" Target="fontTable.xml"/><Relationship Id="rId47" Type="http://schemas.openxmlformats.org/officeDocument/2006/relationships/numbering" Target="numbering.xml"/><Relationship Id="rId46" Type="http://schemas.openxmlformats.org/officeDocument/2006/relationships/customXml" Target="../customXml/item1.xml"/><Relationship Id="rId45" Type="http://schemas.openxmlformats.org/officeDocument/2006/relationships/image" Target="media/image25.jpeg"/><Relationship Id="rId44" Type="http://schemas.openxmlformats.org/officeDocument/2006/relationships/image" Target="media/image24.jpeg"/><Relationship Id="rId43" Type="http://schemas.openxmlformats.org/officeDocument/2006/relationships/image" Target="media/image23.jpeg"/><Relationship Id="rId42" Type="http://schemas.openxmlformats.org/officeDocument/2006/relationships/image" Target="media/image22.jpeg"/><Relationship Id="rId41" Type="http://schemas.openxmlformats.org/officeDocument/2006/relationships/image" Target="media/image21.jpeg"/><Relationship Id="rId40" Type="http://schemas.openxmlformats.org/officeDocument/2006/relationships/image" Target="media/image20.jpeg"/><Relationship Id="rId4" Type="http://schemas.openxmlformats.org/officeDocument/2006/relationships/endnotes" Target="endnotes.xml"/><Relationship Id="rId39" Type="http://schemas.openxmlformats.org/officeDocument/2006/relationships/image" Target="media/image19.jpeg"/><Relationship Id="rId38" Type="http://schemas.openxmlformats.org/officeDocument/2006/relationships/image" Target="media/image18.jpeg"/><Relationship Id="rId37" Type="http://schemas.openxmlformats.org/officeDocument/2006/relationships/image" Target="media/image17.jpeg"/><Relationship Id="rId36" Type="http://schemas.openxmlformats.org/officeDocument/2006/relationships/image" Target="media/image16.jpeg"/><Relationship Id="rId35" Type="http://schemas.openxmlformats.org/officeDocument/2006/relationships/image" Target="media/image15.jpeg"/><Relationship Id="rId34" Type="http://schemas.openxmlformats.org/officeDocument/2006/relationships/image" Target="media/image14.jpeg"/><Relationship Id="rId33" Type="http://schemas.openxmlformats.org/officeDocument/2006/relationships/image" Target="media/image13.jpeg"/><Relationship Id="rId32" Type="http://schemas.openxmlformats.org/officeDocument/2006/relationships/image" Target="media/image12.jpeg"/><Relationship Id="rId31" Type="http://schemas.openxmlformats.org/officeDocument/2006/relationships/image" Target="media/image11.jpeg"/><Relationship Id="rId30" Type="http://schemas.openxmlformats.org/officeDocument/2006/relationships/image" Target="media/image10.jpeg"/><Relationship Id="rId3" Type="http://schemas.openxmlformats.org/officeDocument/2006/relationships/footnotes" Target="footnotes.xml"/><Relationship Id="rId29" Type="http://schemas.openxmlformats.org/officeDocument/2006/relationships/image" Target="media/image9.png"/><Relationship Id="rId28" Type="http://schemas.openxmlformats.org/officeDocument/2006/relationships/image" Target="media/image8.png"/><Relationship Id="rId27" Type="http://schemas.openxmlformats.org/officeDocument/2006/relationships/image" Target="media/image7.png"/><Relationship Id="rId26" Type="http://schemas.openxmlformats.org/officeDocument/2006/relationships/image" Target="media/image6.png"/><Relationship Id="rId25" Type="http://schemas.openxmlformats.org/officeDocument/2006/relationships/image" Target="media/image5.emf"/><Relationship Id="rId24" Type="http://schemas.openxmlformats.org/officeDocument/2006/relationships/oleObject" Target="embeddings/oleObject1.bin"/><Relationship Id="rId23" Type="http://schemas.openxmlformats.org/officeDocument/2006/relationships/image" Target="media/image4.png"/><Relationship Id="rId22" Type="http://schemas.openxmlformats.org/officeDocument/2006/relationships/image" Target="media/image3.png"/><Relationship Id="rId21" Type="http://schemas.openxmlformats.org/officeDocument/2006/relationships/image" Target="media/image2.png"/><Relationship Id="rId20" Type="http://schemas.openxmlformats.org/officeDocument/2006/relationships/image" Target="media/image1.png"/><Relationship Id="rId2" Type="http://schemas.openxmlformats.org/officeDocument/2006/relationships/settings" Target="settings.xml"/><Relationship Id="rId19" Type="http://schemas.openxmlformats.org/officeDocument/2006/relationships/theme" Target="theme/theme1.xml"/><Relationship Id="rId18" Type="http://schemas.openxmlformats.org/officeDocument/2006/relationships/footer" Target="footer9.xml"/><Relationship Id="rId17" Type="http://schemas.openxmlformats.org/officeDocument/2006/relationships/footer" Target="footer8.xml"/><Relationship Id="rId16" Type="http://schemas.openxmlformats.org/officeDocument/2006/relationships/header" Target="header5.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1026" textRotate="1"/>
    <customShpInfo spid="_x0000_s205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111</Pages>
  <Words>22691</Words>
  <Characters>129342</Characters>
  <Lines>1077</Lines>
  <Paragraphs>303</Paragraphs>
  <TotalTime>1</TotalTime>
  <ScaleCrop>false</ScaleCrop>
  <LinksUpToDate>false</LinksUpToDate>
  <CharactersWithSpaces>151730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2022-12-06T06:36:00Z</dcterms:created>
  <dc:creator>罗龘</dc:creator>
  <cp:lastModifiedBy>lyypzq</cp:lastModifiedBy>
  <dcterms:modified xsi:type="dcterms:W3CDTF">2024-01-23T01:08:49Z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EA0659CC6BF14FA8BF74D471CF1016FD_13</vt:lpwstr>
  </property>
</Properties>
</file>