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3E55" w:rsidRDefault="00943E55" w:rsidP="00943E55">
      <w:pPr>
        <w:spacing w:before="78" w:after="78"/>
        <w:ind w:firstLine="420"/>
        <w:jc w:val="center"/>
        <w:rPr>
          <w:rFonts w:ascii="宋体" w:hAnsi="宋体" w:hint="eastAsia"/>
          <w:sz w:val="28"/>
          <w:szCs w:val="28"/>
        </w:rPr>
      </w:pPr>
      <w:r>
        <w:rPr>
          <w:noProof/>
        </w:rPr>
        <w:drawing>
          <wp:inline distT="0" distB="0" distL="0" distR="0">
            <wp:extent cx="4610100" cy="5509260"/>
            <wp:effectExtent l="19050" t="0" r="0" b="0"/>
            <wp:docPr id="1"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9"/>
                    <pic:cNvPicPr>
                      <a:picLocks noChangeAspect="1" noChangeArrowheads="1"/>
                    </pic:cNvPicPr>
                  </pic:nvPicPr>
                  <pic:blipFill>
                    <a:blip r:embed="rId5" cstate="print"/>
                    <a:srcRect/>
                    <a:stretch>
                      <a:fillRect/>
                    </a:stretch>
                  </pic:blipFill>
                  <pic:spPr bwMode="auto">
                    <a:xfrm>
                      <a:off x="0" y="0"/>
                      <a:ext cx="4610100" cy="5509260"/>
                    </a:xfrm>
                    <a:prstGeom prst="rect">
                      <a:avLst/>
                    </a:prstGeom>
                    <a:noFill/>
                    <a:ln w="9525" cmpd="sng">
                      <a:noFill/>
                      <a:miter lim="800000"/>
                      <a:headEnd/>
                      <a:tailEnd/>
                    </a:ln>
                  </pic:spPr>
                </pic:pic>
              </a:graphicData>
            </a:graphic>
          </wp:inline>
        </w:drawing>
      </w:r>
      <w: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圆角矩形标注 12" o:spid="_x0000_s1031" type="#_x0000_t62" style="position:absolute;left:0;text-align:left;margin-left:229.25pt;margin-top:101.7pt;width:83.25pt;height:48pt;z-index:251665408;mso-position-horizontal-relative:text;mso-position-vertical-relative:text" o:gfxdata="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" adj="-22378,21195,14400" strokecolor="#00b050" strokeweight="1.25pt">
            <v:fill opacity="0" color2="#767676" focus="100%" type="gradient"/>
            <v:textbox>
              <w:txbxContent>
                <w:p w:rsidR="00943E55" w:rsidRDefault="00943E55" w:rsidP="00943E55">
                  <w:pPr>
                    <w:ind w:firstLine="412"/>
                    <w:rPr>
                      <w:color w:val="FF0000"/>
                    </w:rPr>
                  </w:pPr>
                  <w:r>
                    <w:rPr>
                      <w:rFonts w:ascii="宋体" w:hAnsi="宋体" w:hint="eastAsia"/>
                      <w:color w:val="FF0000"/>
                      <w:spacing w:val="-2"/>
                      <w:szCs w:val="21"/>
                    </w:rPr>
                    <w:t>富源华昊能源开发有限公司</w:t>
                  </w:r>
                </w:p>
              </w:txbxContent>
            </v:textbox>
          </v:shape>
        </w:pict>
      </w:r>
    </w:p>
    <w:p w:rsidR="00943E55" w:rsidRDefault="00943E55" w:rsidP="00943E55">
      <w:pPr>
        <w:numPr>
          <w:ilvl w:val="0"/>
          <w:numId w:val="1"/>
        </w:numPr>
        <w:tabs>
          <w:tab w:val="left" w:pos="980"/>
        </w:tabs>
        <w:spacing w:line="400" w:lineRule="exact"/>
        <w:ind w:firstLine="480"/>
        <w:jc w:val="center"/>
        <w:rPr>
          <w:rFonts w:ascii="Times New Roman" w:hAnsi="Times New Roman" w:hint="eastAsia"/>
          <w:color w:val="000000"/>
          <w:sz w:val="24"/>
        </w:rPr>
      </w:pPr>
      <w:r>
        <w:rPr>
          <w:rFonts w:ascii="Times New Roman" w:hAnsi="Times New Roman" w:hint="eastAsia"/>
          <w:color w:val="000000"/>
          <w:sz w:val="24"/>
        </w:rPr>
        <w:pict>
          <v:rect id="矩形 7" o:spid="_x0000_s1026" style="position:absolute;left:0;text-align:left;margin-left:189pt;margin-top:41pt;width:94.5pt;height:30.75pt;z-index:251660288" o:gfxdata="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CqCpv9sAAAAKAQAADwAAAAAAAAAB&#10;ACAAAAAiAAAAZHJzL2Rvd25yZXYueG1sUEsBAhQAFAAAAAgAh07iQDDRL1GbAQAANgMAAA4AAAAA&#10;AAAAAQAgAAAAKgEAAGRycy9lMm9Eb2MueG1sUEsFBgAAAAAGAAYAWQEAADcFAAAAAA==&#10;" filled="f" stroked="f"/>
        </w:pict>
      </w:r>
      <w:r>
        <w:rPr>
          <w:rFonts w:ascii="Times New Roman" w:hAnsi="Times New Roman" w:hint="eastAsia"/>
          <w:color w:val="000000"/>
          <w:sz w:val="24"/>
        </w:rPr>
        <w:t xml:space="preserve"> </w:t>
      </w:r>
      <w:r>
        <w:rPr>
          <w:rFonts w:ascii="Times New Roman" w:hAnsi="Times New Roman" w:hint="eastAsia"/>
          <w:color w:val="000000"/>
          <w:sz w:val="24"/>
        </w:rPr>
        <w:t>富源工业园区胜境片区</w:t>
      </w:r>
      <w:r>
        <w:rPr>
          <w:rFonts w:ascii="Times New Roman" w:hAnsi="Times New Roman" w:hint="eastAsia"/>
          <w:color w:val="000000"/>
          <w:sz w:val="24"/>
        </w:rPr>
        <w:t>LNG</w:t>
      </w:r>
      <w:r>
        <w:rPr>
          <w:rFonts w:ascii="Times New Roman" w:hAnsi="Times New Roman" w:hint="eastAsia"/>
          <w:color w:val="000000"/>
          <w:sz w:val="24"/>
        </w:rPr>
        <w:t>气化站项目交通位置图</w:t>
      </w:r>
    </w:p>
    <w:p w:rsidR="00943E55" w:rsidRDefault="00943E55" w:rsidP="00943E55">
      <w:pPr>
        <w:ind w:firstLine="420"/>
        <w:jc w:val="center"/>
        <w:rPr>
          <w:rFonts w:hint="eastAsia"/>
        </w:rPr>
      </w:pPr>
    </w:p>
    <w:p w:rsidR="00943E55" w:rsidRDefault="00943E55" w:rsidP="00943E55">
      <w:pPr>
        <w:ind w:firstLine="420"/>
        <w:jc w:val="center"/>
        <w:rPr>
          <w:rFonts w:hint="eastAsia"/>
          <w:b/>
          <w:snapToGrid w:val="0"/>
        </w:rPr>
      </w:pPr>
      <w:r>
        <w:rPr>
          <w:rFonts w:cs="宋体"/>
        </w:rPr>
        <w:lastRenderedPageBreak/>
        <w:pict>
          <v:oval id="椭圆 11" o:spid="_x0000_s1027" style="position:absolute;left:0;text-align:left;margin-left:161.9pt;margin-top:118.7pt;width:10.5pt;height:10.5pt;z-index:251661312" o:gfxdata="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Q&#10;cB+c2gAAAAsBAAAPAAAAAAAAAAEAIAAAACIAAABkcnMvZG93bnJldi54bWxQSwECFAAUAAAACACH&#10;TuJAcEKlKLABAABjAwAADgAAAAAAAAABACAAAAApAQAAZHJzL2Uyb0RvYy54bWxQSwUGAAAAAAYA&#10;BgBZAQAASwUAAAAA&#10;" fillcolor="red" stroked="f"/>
        </w:pict>
      </w:r>
      <w:r>
        <w:rPr>
          <w:rFonts w:cs="宋体"/>
          <w:noProof/>
        </w:rPr>
        <w:drawing>
          <wp:inline distT="0" distB="0" distL="0" distR="0">
            <wp:extent cx="5280660" cy="2918460"/>
            <wp:effectExtent l="19050" t="0" r="0" b="0"/>
            <wp:docPr id="2" name="图片 170" descr="QQ截图20160116155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0" descr="QQ截图20160116155421"/>
                    <pic:cNvPicPr>
                      <a:picLocks noChangeAspect="1" noChangeArrowheads="1"/>
                    </pic:cNvPicPr>
                  </pic:nvPicPr>
                  <pic:blipFill>
                    <a:blip r:embed="rId6" cstate="print">
                      <a:lum bright="18000"/>
                    </a:blip>
                    <a:srcRect/>
                    <a:stretch>
                      <a:fillRect/>
                    </a:stretch>
                  </pic:blipFill>
                  <pic:spPr bwMode="auto">
                    <a:xfrm>
                      <a:off x="0" y="0"/>
                      <a:ext cx="5280660" cy="2918460"/>
                    </a:xfrm>
                    <a:prstGeom prst="rect">
                      <a:avLst/>
                    </a:prstGeom>
                    <a:noFill/>
                    <a:ln w="9525" cmpd="sng">
                      <a:noFill/>
                      <a:miter lim="800000"/>
                      <a:headEnd/>
                      <a:tailEnd/>
                    </a:ln>
                  </pic:spPr>
                </pic:pic>
              </a:graphicData>
            </a:graphic>
          </wp:inline>
        </w:drawing>
      </w:r>
      <w:r>
        <w:rPr>
          <w:rFonts w:cs="宋体"/>
        </w:rPr>
        <w:pict>
          <v:rect id="矩形 9" o:spid="_x0000_s1030" style="position:absolute;left:0;text-align:left;margin-left:157.5pt;margin-top:88.1pt;width:47.25pt;height:20.25pt;z-index:251664384;mso-position-horizontal-relative:text;mso-position-vertical-relative:text" o:gfxdata="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5J0m69wAAAALAQAADwAA&#10;AAAAAAABACAAAAAiAAAAZHJzL2Rvd25yZXYueG1sUEsBAhQAFAAAAAgAh07iQExKv+6gAQAAQAMA&#10;AA4AAAAAAAAAAQAgAAAAKwEAAGRycy9lMm9Eb2MueG1sUEsFBgAAAAAGAAYAWQEAAD0FAAAAAA==&#10;" filled="f" stroked="f">
            <v:textbox>
              <w:txbxContent>
                <w:p w:rsidR="00943E55" w:rsidRDefault="00943E55" w:rsidP="00943E55">
                  <w:pPr>
                    <w:ind w:firstLine="420"/>
                    <w:rPr>
                      <w:color w:val="FF0000"/>
                    </w:rPr>
                  </w:pPr>
                  <w:r>
                    <w:rPr>
                      <w:rFonts w:ascii="宋体" w:hAnsi="宋体" w:hint="eastAsia"/>
                      <w:color w:val="FF0000"/>
                      <w:szCs w:val="21"/>
                    </w:rPr>
                    <w:t>站址</w:t>
                  </w:r>
                </w:p>
              </w:txbxContent>
            </v:textbox>
          </v:rect>
        </w:pict>
      </w:r>
      <w:r>
        <w:pict>
          <v:rect id="矩形 10" o:spid="_x0000_s1029" style="position:absolute;left:0;text-align:left;margin-left:215.25pt;margin-top:42.35pt;width:147pt;height:36.75pt;z-index:251663360;mso-position-horizontal-relative:text;mso-position-vertical-relative:text" o:gfxdata="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FWbiH/bAAAACgEAAA8A&#10;AAAAAAAAAQAgAAAAIgAAAGRycy9kb3ducmV2LnhtbFBLAQIUABQAAAAIAIdO4kA0CMdcogEAAEMD&#10;AAAOAAAAAAAAAAEAIAAAACoBAABkcnMvZTJvRG9jLnhtbFBLBQYAAAAABgAGAFkBAAA+BQAAAAA=&#10;" filled="f" stroked="f">
            <v:textbox>
              <w:txbxContent>
                <w:p w:rsidR="00943E55" w:rsidRDefault="00943E55" w:rsidP="00943E55">
                  <w:pPr>
                    <w:ind w:firstLine="420"/>
                    <w:rPr>
                      <w:color w:val="FF0000"/>
                    </w:rPr>
                  </w:pPr>
                  <w:r>
                    <w:rPr>
                      <w:rFonts w:ascii="宋体" w:hAnsi="宋体" w:hint="eastAsia"/>
                      <w:color w:val="FF0000"/>
                      <w:szCs w:val="21"/>
                    </w:rPr>
                    <w:t>云铝富源泽鑫铝业有限公司</w:t>
                  </w:r>
                </w:p>
              </w:txbxContent>
            </v:textbox>
          </v:rect>
        </w:pict>
      </w:r>
      <w:r>
        <w:pict>
          <v:rect id="矩形 5" o:spid="_x0000_s1028" style="position:absolute;left:0;text-align:left;margin-left:178.5pt;margin-top:188.6pt;width:115.5pt;height:36.75pt;z-index:251662336;mso-position-horizontal-relative:text;mso-position-vertical-relative:text" o:gfxdata="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AAK8cdwAAAALAQAADwAA&#10;AAAAAAABACAAAAAiAAAAZHJzL2Rvd25yZXYueG1sUEsBAhQAFAAAAAgAh07iQHEgAf6gAQAAQQMA&#10;AA4AAAAAAAAAAQAgAAAAKwEAAGRycy9lMm9Eb2MueG1sUEsFBgAAAAAGAAYAWQEAAD0FAAAAAA==&#10;" filled="f" stroked="f">
            <v:textbox>
              <w:txbxContent>
                <w:p w:rsidR="00943E55" w:rsidRDefault="00943E55" w:rsidP="00943E55">
                  <w:pPr>
                    <w:ind w:firstLine="420"/>
                    <w:rPr>
                      <w:rFonts w:hint="eastAsia"/>
                      <w:color w:val="FF0000"/>
                    </w:rPr>
                  </w:pPr>
                  <w:r>
                    <w:rPr>
                      <w:rFonts w:hint="eastAsia"/>
                      <w:color w:val="FF0000"/>
                    </w:rPr>
                    <w:t>淮海机械厂</w:t>
                  </w:r>
                </w:p>
              </w:txbxContent>
            </v:textbox>
          </v:rect>
        </w:pict>
      </w:r>
    </w:p>
    <w:p w:rsidR="00943E55" w:rsidRDefault="00943E55" w:rsidP="00943E55">
      <w:pPr>
        <w:numPr>
          <w:ilvl w:val="0"/>
          <w:numId w:val="1"/>
        </w:numPr>
        <w:tabs>
          <w:tab w:val="left" w:pos="980"/>
        </w:tabs>
        <w:spacing w:line="400" w:lineRule="exact"/>
        <w:ind w:firstLine="480"/>
        <w:jc w:val="center"/>
        <w:rPr>
          <w:rFonts w:ascii="Times New Roman" w:hAnsi="Times New Roman" w:hint="eastAsia"/>
          <w:color w:val="000000"/>
          <w:sz w:val="24"/>
        </w:rPr>
      </w:pPr>
      <w:r>
        <w:rPr>
          <w:rFonts w:ascii="Times New Roman" w:hAnsi="Times New Roman" w:hint="eastAsia"/>
          <w:color w:val="000000"/>
          <w:sz w:val="24"/>
        </w:rPr>
        <w:t xml:space="preserve">   </w:t>
      </w:r>
      <w:r>
        <w:rPr>
          <w:rFonts w:ascii="Times New Roman" w:hAnsi="Times New Roman" w:hint="eastAsia"/>
          <w:color w:val="000000"/>
          <w:sz w:val="24"/>
        </w:rPr>
        <w:t>富源工业园区胜境片区</w:t>
      </w:r>
      <w:r>
        <w:rPr>
          <w:rFonts w:ascii="Times New Roman" w:hAnsi="Times New Roman" w:hint="eastAsia"/>
          <w:color w:val="000000"/>
          <w:sz w:val="24"/>
        </w:rPr>
        <w:t>LNG</w:t>
      </w:r>
      <w:r>
        <w:rPr>
          <w:rFonts w:ascii="Times New Roman" w:hAnsi="Times New Roman" w:hint="eastAsia"/>
          <w:color w:val="000000"/>
          <w:sz w:val="24"/>
        </w:rPr>
        <w:t>气化站项目区域位置图</w:t>
      </w:r>
    </w:p>
    <w:p w:rsidR="00943E55" w:rsidRDefault="00943E55" w:rsidP="00943E55">
      <w:pPr>
        <w:pStyle w:val="3"/>
      </w:pPr>
      <w:r>
        <w:t>2.2.2气象条件</w:t>
      </w:r>
    </w:p>
    <w:p w:rsidR="00943E55" w:rsidRDefault="00943E55" w:rsidP="00943E55">
      <w:pPr>
        <w:pStyle w:val="15"/>
        <w:ind w:firstLine="592"/>
        <w:rPr>
          <w:rFonts w:ascii="宋体" w:hAnsi="宋体" w:hint="eastAsia"/>
          <w:spacing w:val="8"/>
          <w:szCs w:val="28"/>
        </w:rPr>
      </w:pPr>
      <w:r>
        <w:rPr>
          <w:rFonts w:ascii="宋体" w:hAnsi="宋体" w:hint="eastAsia"/>
          <w:spacing w:val="8"/>
          <w:szCs w:val="28"/>
        </w:rPr>
        <w:t>富源县属亚热带季风气候。其特点是冬无严寒，夏无酷热，春秋气候干燥温和，夏季降水丰沛，年日照充足。多年平均气温14.3℃。1月平均气温6.3℃，极端最低气温-11.0℃（1983年12月29日）；7月平均气温19.4℃，极端最高气温34.9℃（1963年5月31日）。最低月均气温1.5℃（1968年1月）；最高月均气温21.8℃（1963年5月）；平均气温年较差13.5℃。生长期年平均170d，无霜期年平均264d，最长329d，最短189d。年平均日照时数1491.8h，年平均降水量1064.6mm，年平均降雨日数142.4d，最多191d（1964年），最少124d（2009年），极端年最大雨量1565.2mm（1964年），极端年最少雨量634.5mm（2011年）。降雨集中在每年5月至10月，7月最多。</w:t>
      </w:r>
    </w:p>
    <w:p w:rsidR="00943E55" w:rsidRDefault="00943E55" w:rsidP="00943E55">
      <w:pPr>
        <w:pStyle w:val="3"/>
      </w:pPr>
      <w:r>
        <w:lastRenderedPageBreak/>
        <w:t>2.2.3地质条件</w:t>
      </w:r>
    </w:p>
    <w:p w:rsidR="00943E55" w:rsidRDefault="00943E55" w:rsidP="00943E55">
      <w:pPr>
        <w:pStyle w:val="4"/>
        <w:ind w:firstLine="562"/>
        <w:rPr>
          <w:rFonts w:hint="eastAsia"/>
        </w:rPr>
      </w:pPr>
      <w:r>
        <w:rPr>
          <w:rFonts w:hint="eastAsia"/>
        </w:rPr>
        <w:t>2.2.3.1</w:t>
      </w:r>
      <w:r>
        <w:rPr>
          <w:rFonts w:hint="eastAsia"/>
        </w:rPr>
        <w:t>地形、地貌</w:t>
      </w:r>
    </w:p>
    <w:p w:rsidR="00943E55" w:rsidRDefault="00943E55" w:rsidP="00943E55">
      <w:pPr>
        <w:pStyle w:val="a3"/>
        <w:ind w:firstLine="600"/>
        <w:rPr>
          <w:rFonts w:hint="eastAsia"/>
          <w:spacing w:val="10"/>
          <w:sz w:val="28"/>
          <w:szCs w:val="28"/>
        </w:rPr>
      </w:pPr>
      <w:r>
        <w:rPr>
          <w:rFonts w:hint="eastAsia"/>
          <w:spacing w:val="10"/>
          <w:sz w:val="28"/>
          <w:szCs w:val="28"/>
        </w:rPr>
        <w:t>富源县地貌为中山山地，突出的峡谷地貌，其特征为河流纵向切割、山川南北展布、地形破碎、山高谷深、坡陡流急、岩溶发达、河谷阶地狭窄，耕地零星分散。乌蒙山支脉自北向南纵贯全境，南北长约</w:t>
      </w:r>
      <w:r>
        <w:rPr>
          <w:rFonts w:hint="eastAsia"/>
          <w:spacing w:val="10"/>
          <w:sz w:val="28"/>
          <w:szCs w:val="28"/>
        </w:rPr>
        <w:t>103km</w:t>
      </w:r>
      <w:r>
        <w:rPr>
          <w:rFonts w:hint="eastAsia"/>
          <w:spacing w:val="10"/>
          <w:sz w:val="28"/>
          <w:szCs w:val="28"/>
        </w:rPr>
        <w:t>，东西宽约</w:t>
      </w:r>
      <w:r>
        <w:rPr>
          <w:rFonts w:hint="eastAsia"/>
          <w:spacing w:val="10"/>
          <w:sz w:val="28"/>
          <w:szCs w:val="28"/>
        </w:rPr>
        <w:t>54km</w:t>
      </w:r>
      <w:r>
        <w:rPr>
          <w:rFonts w:hint="eastAsia"/>
          <w:spacing w:val="10"/>
          <w:sz w:val="28"/>
          <w:szCs w:val="28"/>
        </w:rPr>
        <w:t>，两头宽、中间窄，呈薯形相衔狭长地形。全境地势北高南低，由西北向东南略有倾斜。境内最高海拔为西北部的营盘山，海拔</w:t>
      </w:r>
      <w:r>
        <w:rPr>
          <w:rFonts w:hint="eastAsia"/>
          <w:spacing w:val="10"/>
          <w:sz w:val="28"/>
          <w:szCs w:val="28"/>
        </w:rPr>
        <w:t>2748.9m</w:t>
      </w:r>
      <w:r>
        <w:rPr>
          <w:rFonts w:hint="eastAsia"/>
          <w:spacing w:val="10"/>
          <w:sz w:val="28"/>
          <w:szCs w:val="28"/>
        </w:rPr>
        <w:t>，最低海拔为东南部的特土峡谷，海拔</w:t>
      </w:r>
      <w:r>
        <w:rPr>
          <w:rFonts w:hint="eastAsia"/>
          <w:spacing w:val="10"/>
          <w:sz w:val="28"/>
          <w:szCs w:val="28"/>
        </w:rPr>
        <w:t>1110m</w:t>
      </w:r>
      <w:r>
        <w:rPr>
          <w:rFonts w:hint="eastAsia"/>
          <w:spacing w:val="10"/>
          <w:sz w:val="28"/>
          <w:szCs w:val="28"/>
        </w:rPr>
        <w:t>。</w:t>
      </w:r>
    </w:p>
    <w:p w:rsidR="00943E55" w:rsidRDefault="00943E55" w:rsidP="00943E55">
      <w:pPr>
        <w:pStyle w:val="4"/>
        <w:ind w:firstLine="562"/>
        <w:rPr>
          <w:rFonts w:hint="eastAsia"/>
        </w:rPr>
      </w:pPr>
      <w:r>
        <w:rPr>
          <w:rFonts w:hint="eastAsia"/>
        </w:rPr>
        <w:t>2.2.3.2</w:t>
      </w:r>
      <w:r>
        <w:rPr>
          <w:rFonts w:hint="eastAsia"/>
        </w:rPr>
        <w:t>水文条件</w:t>
      </w:r>
    </w:p>
    <w:p w:rsidR="00943E55" w:rsidRDefault="00943E55" w:rsidP="00943E55">
      <w:pPr>
        <w:pStyle w:val="a3"/>
        <w:ind w:firstLine="600"/>
        <w:rPr>
          <w:rFonts w:hint="eastAsia"/>
          <w:spacing w:val="10"/>
          <w:sz w:val="28"/>
          <w:szCs w:val="28"/>
        </w:rPr>
      </w:pPr>
      <w:r>
        <w:rPr>
          <w:rFonts w:hint="eastAsia"/>
          <w:spacing w:val="10"/>
          <w:sz w:val="28"/>
          <w:szCs w:val="28"/>
        </w:rPr>
        <w:t>富源县地处滇东多雨区，属珠江上游的山区县，自然水源丰富，雨量充沛，年平均降雨量量</w:t>
      </w:r>
      <w:r>
        <w:rPr>
          <w:rFonts w:hint="eastAsia"/>
          <w:spacing w:val="10"/>
          <w:sz w:val="28"/>
          <w:szCs w:val="28"/>
        </w:rPr>
        <w:t>1332mm</w:t>
      </w:r>
      <w:r>
        <w:rPr>
          <w:rFonts w:hint="eastAsia"/>
          <w:spacing w:val="10"/>
          <w:sz w:val="28"/>
          <w:szCs w:val="28"/>
        </w:rPr>
        <w:t>，水资源总量</w:t>
      </w:r>
      <w:r>
        <w:rPr>
          <w:rFonts w:hint="eastAsia"/>
          <w:spacing w:val="10"/>
          <w:sz w:val="28"/>
          <w:szCs w:val="28"/>
        </w:rPr>
        <w:t>28.8</w:t>
      </w:r>
      <w:r>
        <w:rPr>
          <w:rFonts w:hint="eastAsia"/>
          <w:spacing w:val="10"/>
          <w:sz w:val="28"/>
          <w:szCs w:val="28"/>
        </w:rPr>
        <w:t>亿</w:t>
      </w:r>
      <w:r>
        <w:rPr>
          <w:rFonts w:hint="eastAsia"/>
          <w:spacing w:val="10"/>
          <w:sz w:val="28"/>
          <w:szCs w:val="28"/>
        </w:rPr>
        <w:t>m</w:t>
      </w:r>
      <w:r>
        <w:rPr>
          <w:rFonts w:hint="eastAsia"/>
          <w:spacing w:val="10"/>
          <w:sz w:val="28"/>
          <w:szCs w:val="28"/>
          <w:vertAlign w:val="superscript"/>
        </w:rPr>
        <w:t>3</w:t>
      </w:r>
      <w:r>
        <w:rPr>
          <w:rFonts w:hint="eastAsia"/>
          <w:spacing w:val="10"/>
          <w:sz w:val="28"/>
          <w:szCs w:val="28"/>
        </w:rPr>
        <w:t>，境内河流属珠江流域西江水系的南北盘江</w:t>
      </w:r>
      <w:r>
        <w:rPr>
          <w:rFonts w:hint="eastAsia"/>
          <w:spacing w:val="10"/>
          <w:sz w:val="28"/>
          <w:szCs w:val="28"/>
        </w:rPr>
        <w:t xml:space="preserve"> </w:t>
      </w:r>
      <w:r>
        <w:rPr>
          <w:rFonts w:hint="eastAsia"/>
          <w:spacing w:val="10"/>
          <w:sz w:val="28"/>
          <w:szCs w:val="28"/>
        </w:rPr>
        <w:t>支流，主要河流有块泽河、黄泥河、嘉河、丕德河、篆长河、水城河、木浪河及其支流，境内流量</w:t>
      </w:r>
      <w:r>
        <w:rPr>
          <w:rFonts w:hint="eastAsia"/>
          <w:spacing w:val="10"/>
          <w:sz w:val="28"/>
          <w:szCs w:val="28"/>
        </w:rPr>
        <w:t>22.1</w:t>
      </w:r>
      <w:r>
        <w:rPr>
          <w:rFonts w:hint="eastAsia"/>
          <w:spacing w:val="10"/>
          <w:sz w:val="28"/>
          <w:szCs w:val="28"/>
        </w:rPr>
        <w:t>亿</w:t>
      </w:r>
      <w:r>
        <w:rPr>
          <w:rFonts w:hint="eastAsia"/>
          <w:spacing w:val="10"/>
          <w:sz w:val="28"/>
          <w:szCs w:val="28"/>
        </w:rPr>
        <w:t>m</w:t>
      </w:r>
      <w:r>
        <w:rPr>
          <w:rFonts w:hint="eastAsia"/>
          <w:spacing w:val="10"/>
          <w:sz w:val="28"/>
          <w:szCs w:val="28"/>
          <w:vertAlign w:val="superscript"/>
        </w:rPr>
        <w:t>3</w:t>
      </w:r>
      <w:r>
        <w:rPr>
          <w:rFonts w:hint="eastAsia"/>
          <w:spacing w:val="10"/>
          <w:sz w:val="28"/>
          <w:szCs w:val="28"/>
        </w:rPr>
        <w:t>，境外流入水量</w:t>
      </w:r>
      <w:r>
        <w:rPr>
          <w:rFonts w:hint="eastAsia"/>
          <w:spacing w:val="10"/>
          <w:sz w:val="28"/>
          <w:szCs w:val="28"/>
        </w:rPr>
        <w:t>6.7</w:t>
      </w:r>
      <w:r>
        <w:rPr>
          <w:rFonts w:hint="eastAsia"/>
          <w:spacing w:val="10"/>
          <w:sz w:val="28"/>
          <w:szCs w:val="28"/>
        </w:rPr>
        <w:t>亿</w:t>
      </w:r>
      <w:r>
        <w:rPr>
          <w:rFonts w:hint="eastAsia"/>
          <w:spacing w:val="10"/>
          <w:sz w:val="28"/>
          <w:szCs w:val="28"/>
        </w:rPr>
        <w:t>m</w:t>
      </w:r>
      <w:r>
        <w:rPr>
          <w:rFonts w:hint="eastAsia"/>
          <w:spacing w:val="10"/>
          <w:sz w:val="28"/>
          <w:szCs w:val="28"/>
          <w:vertAlign w:val="superscript"/>
        </w:rPr>
        <w:t>3</w:t>
      </w:r>
      <w:r>
        <w:rPr>
          <w:rFonts w:hint="eastAsia"/>
          <w:spacing w:val="10"/>
          <w:sz w:val="28"/>
          <w:szCs w:val="28"/>
        </w:rPr>
        <w:t>，人均拥有水资源</w:t>
      </w:r>
      <w:r>
        <w:rPr>
          <w:rFonts w:hint="eastAsia"/>
          <w:spacing w:val="10"/>
          <w:sz w:val="28"/>
          <w:szCs w:val="28"/>
        </w:rPr>
        <w:t>4500m</w:t>
      </w:r>
      <w:r>
        <w:rPr>
          <w:rFonts w:hint="eastAsia"/>
          <w:spacing w:val="10"/>
          <w:sz w:val="28"/>
          <w:szCs w:val="28"/>
          <w:vertAlign w:val="superscript"/>
        </w:rPr>
        <w:t>3</w:t>
      </w:r>
      <w:r>
        <w:rPr>
          <w:rFonts w:hint="eastAsia"/>
          <w:spacing w:val="10"/>
          <w:sz w:val="28"/>
          <w:szCs w:val="28"/>
        </w:rPr>
        <w:t>，全县已建立蓄水工程</w:t>
      </w:r>
      <w:r>
        <w:rPr>
          <w:rFonts w:hint="eastAsia"/>
          <w:spacing w:val="10"/>
          <w:sz w:val="28"/>
          <w:szCs w:val="28"/>
        </w:rPr>
        <w:t>46</w:t>
      </w:r>
      <w:r>
        <w:rPr>
          <w:rFonts w:hint="eastAsia"/>
          <w:spacing w:val="10"/>
          <w:sz w:val="28"/>
          <w:szCs w:val="28"/>
        </w:rPr>
        <w:t>座，正常蓄水</w:t>
      </w:r>
      <w:r>
        <w:rPr>
          <w:rFonts w:hint="eastAsia"/>
          <w:spacing w:val="10"/>
          <w:sz w:val="28"/>
          <w:szCs w:val="28"/>
        </w:rPr>
        <w:t>7083.6</w:t>
      </w:r>
      <w:r>
        <w:rPr>
          <w:rFonts w:hint="eastAsia"/>
          <w:spacing w:val="10"/>
          <w:sz w:val="28"/>
          <w:szCs w:val="28"/>
        </w:rPr>
        <w:t>万</w:t>
      </w:r>
      <w:r>
        <w:rPr>
          <w:rFonts w:hint="eastAsia"/>
          <w:spacing w:val="10"/>
          <w:sz w:val="28"/>
          <w:szCs w:val="28"/>
        </w:rPr>
        <w:t>m</w:t>
      </w:r>
      <w:r>
        <w:rPr>
          <w:rFonts w:hint="eastAsia"/>
          <w:spacing w:val="10"/>
          <w:sz w:val="28"/>
          <w:szCs w:val="28"/>
          <w:vertAlign w:val="superscript"/>
        </w:rPr>
        <w:t>3</w:t>
      </w:r>
      <w:r>
        <w:rPr>
          <w:rFonts w:hint="eastAsia"/>
          <w:spacing w:val="10"/>
          <w:sz w:val="28"/>
          <w:szCs w:val="28"/>
        </w:rPr>
        <w:t>。</w:t>
      </w:r>
    </w:p>
    <w:p w:rsidR="00943E55" w:rsidRDefault="00943E55" w:rsidP="00943E55">
      <w:pPr>
        <w:pStyle w:val="4"/>
        <w:ind w:firstLine="562"/>
        <w:rPr>
          <w:rFonts w:hint="eastAsia"/>
        </w:rPr>
      </w:pPr>
      <w:r>
        <w:rPr>
          <w:rFonts w:hint="eastAsia"/>
        </w:rPr>
        <w:t>2.2.3.3</w:t>
      </w:r>
      <w:r>
        <w:rPr>
          <w:rFonts w:hint="eastAsia"/>
        </w:rPr>
        <w:t>场地地震效应</w:t>
      </w:r>
    </w:p>
    <w:p w:rsidR="00943E55" w:rsidRDefault="00943E55" w:rsidP="00943E55">
      <w:pPr>
        <w:pStyle w:val="a3"/>
        <w:ind w:firstLine="600"/>
        <w:rPr>
          <w:rFonts w:hint="eastAsia"/>
          <w:spacing w:val="10"/>
          <w:sz w:val="28"/>
          <w:szCs w:val="28"/>
        </w:rPr>
      </w:pPr>
      <w:r>
        <w:rPr>
          <w:rFonts w:hint="eastAsia"/>
          <w:spacing w:val="10"/>
          <w:sz w:val="28"/>
          <w:szCs w:val="28"/>
        </w:rPr>
        <w:t>根据《建筑抗震设计规范》（</w:t>
      </w:r>
      <w:r>
        <w:rPr>
          <w:rFonts w:hint="eastAsia"/>
          <w:spacing w:val="10"/>
          <w:sz w:val="28"/>
          <w:szCs w:val="28"/>
        </w:rPr>
        <w:t>GB50011-2010</w:t>
      </w:r>
      <w:r>
        <w:rPr>
          <w:rFonts w:hint="eastAsia"/>
          <w:spacing w:val="10"/>
          <w:sz w:val="28"/>
          <w:szCs w:val="28"/>
        </w:rPr>
        <w:t>）附录</w:t>
      </w:r>
      <w:r>
        <w:rPr>
          <w:rFonts w:hint="eastAsia"/>
          <w:spacing w:val="10"/>
          <w:sz w:val="28"/>
          <w:szCs w:val="28"/>
        </w:rPr>
        <w:t>A</w:t>
      </w:r>
      <w:r>
        <w:rPr>
          <w:rFonts w:hint="eastAsia"/>
          <w:spacing w:val="10"/>
          <w:sz w:val="28"/>
          <w:szCs w:val="28"/>
        </w:rPr>
        <w:t>第</w:t>
      </w:r>
      <w:r>
        <w:rPr>
          <w:rFonts w:hint="eastAsia"/>
          <w:spacing w:val="10"/>
          <w:sz w:val="28"/>
          <w:szCs w:val="28"/>
        </w:rPr>
        <w:t>A.0.22</w:t>
      </w:r>
      <w:r>
        <w:rPr>
          <w:rFonts w:hint="eastAsia"/>
          <w:spacing w:val="10"/>
          <w:sz w:val="28"/>
          <w:szCs w:val="28"/>
        </w:rPr>
        <w:t>条第</w:t>
      </w:r>
      <w:r>
        <w:rPr>
          <w:rFonts w:hint="eastAsia"/>
          <w:spacing w:val="10"/>
          <w:sz w:val="28"/>
          <w:szCs w:val="28"/>
        </w:rPr>
        <w:t>2</w:t>
      </w:r>
      <w:r>
        <w:rPr>
          <w:rFonts w:hint="eastAsia"/>
          <w:spacing w:val="10"/>
          <w:sz w:val="28"/>
          <w:szCs w:val="28"/>
        </w:rPr>
        <w:t>款的规定：曲靖市抗震设防烈度为</w:t>
      </w:r>
      <w:r>
        <w:rPr>
          <w:rFonts w:hint="eastAsia"/>
          <w:spacing w:val="10"/>
          <w:sz w:val="28"/>
          <w:szCs w:val="28"/>
        </w:rPr>
        <w:t>7</w:t>
      </w:r>
      <w:r>
        <w:rPr>
          <w:rFonts w:hint="eastAsia"/>
          <w:spacing w:val="10"/>
          <w:sz w:val="28"/>
          <w:szCs w:val="28"/>
        </w:rPr>
        <w:t>度，第三组，设计基本地震加速度为</w:t>
      </w:r>
      <w:r>
        <w:rPr>
          <w:rFonts w:hint="eastAsia"/>
          <w:spacing w:val="10"/>
          <w:sz w:val="28"/>
          <w:szCs w:val="28"/>
        </w:rPr>
        <w:t>0.10g</w:t>
      </w:r>
      <w:r>
        <w:rPr>
          <w:rFonts w:hint="eastAsia"/>
          <w:spacing w:val="10"/>
          <w:sz w:val="28"/>
          <w:szCs w:val="28"/>
        </w:rPr>
        <w:t>。</w:t>
      </w:r>
    </w:p>
    <w:p w:rsidR="00943E55" w:rsidRDefault="00943E55" w:rsidP="00943E55">
      <w:pPr>
        <w:pStyle w:val="3"/>
      </w:pPr>
      <w:r>
        <w:lastRenderedPageBreak/>
        <w:t>2.2.4重大危险源周边环境情况</w:t>
      </w:r>
    </w:p>
    <w:p w:rsidR="00943E55" w:rsidRDefault="00943E55" w:rsidP="00943E55">
      <w:pPr>
        <w:pStyle w:val="4"/>
        <w:ind w:firstLine="562"/>
      </w:pPr>
      <w:r>
        <w:t>2.2.4.1</w:t>
      </w:r>
      <w:r>
        <w:t>厂区外部环境</w:t>
      </w:r>
    </w:p>
    <w:p w:rsidR="00943E55" w:rsidRDefault="00943E55" w:rsidP="00943E55">
      <w:pPr>
        <w:ind w:firstLine="592"/>
        <w:rPr>
          <w:spacing w:val="8"/>
          <w:sz w:val="28"/>
          <w:szCs w:val="28"/>
        </w:rPr>
      </w:pPr>
      <w:r>
        <w:rPr>
          <w:rFonts w:ascii="宋体" w:hAnsi="宋体" w:hint="eastAsia"/>
          <w:spacing w:val="8"/>
          <w:sz w:val="28"/>
          <w:szCs w:val="28"/>
        </w:rPr>
        <w:t>富源华昊能源开发有限公司在富源县云铝集团泽鑫铝业有限公司的南面310m处（铝厂的布置长轴线为北偏西至东偏南方向），</w:t>
      </w:r>
      <w:r>
        <w:rPr>
          <w:rFonts w:hint="eastAsia"/>
          <w:spacing w:val="8"/>
          <w:sz w:val="28"/>
          <w:szCs w:val="28"/>
        </w:rPr>
        <w:t>从工程地勘钻孔平面布置图提供的等高线图中可以看出，站址与云铝富源泽鑫铝业有限公司之间有一处低凹的荒地，面对站址中央的广场（未布置装置）长约</w:t>
      </w:r>
      <w:r>
        <w:rPr>
          <w:rFonts w:hint="eastAsia"/>
          <w:spacing w:val="8"/>
          <w:sz w:val="28"/>
          <w:szCs w:val="28"/>
        </w:rPr>
        <w:t>12m</w:t>
      </w:r>
      <w:r>
        <w:rPr>
          <w:rFonts w:hint="eastAsia"/>
          <w:spacing w:val="8"/>
          <w:sz w:val="28"/>
          <w:szCs w:val="28"/>
        </w:rPr>
        <w:t>左右，最大高差为</w:t>
      </w:r>
      <w:r>
        <w:rPr>
          <w:rFonts w:hint="eastAsia"/>
          <w:spacing w:val="8"/>
          <w:sz w:val="28"/>
          <w:szCs w:val="28"/>
        </w:rPr>
        <w:t>10m,</w:t>
      </w:r>
      <w:r>
        <w:rPr>
          <w:rFonts w:hint="eastAsia"/>
          <w:spacing w:val="8"/>
          <w:sz w:val="28"/>
          <w:szCs w:val="28"/>
        </w:rPr>
        <w:t>在设计时，可采用挡墙固定。因远离装置区及辅助用房，不会对供气门站产生影响。</w:t>
      </w:r>
    </w:p>
    <w:p w:rsidR="00943E55" w:rsidRDefault="00943E55" w:rsidP="00943E55">
      <w:pPr>
        <w:ind w:firstLine="592"/>
        <w:rPr>
          <w:rFonts w:ascii="宋体" w:hAnsi="宋体" w:hint="eastAsia"/>
          <w:spacing w:val="8"/>
          <w:sz w:val="28"/>
          <w:szCs w:val="28"/>
        </w:rPr>
      </w:pPr>
      <w:r>
        <w:rPr>
          <w:rFonts w:ascii="宋体" w:hAnsi="宋体" w:hint="eastAsia"/>
          <w:spacing w:val="8"/>
          <w:sz w:val="28"/>
          <w:szCs w:val="28"/>
        </w:rPr>
        <w:t>站址东面有一砖墙围起来的是1000m</w:t>
      </w:r>
      <w:r>
        <w:rPr>
          <w:rFonts w:ascii="宋体" w:hAnsi="宋体" w:hint="eastAsia"/>
          <w:spacing w:val="8"/>
          <w:sz w:val="28"/>
          <w:szCs w:val="28"/>
          <w:vertAlign w:val="superscript"/>
        </w:rPr>
        <w:t>3</w:t>
      </w:r>
      <w:r>
        <w:rPr>
          <w:rFonts w:ascii="宋体" w:hAnsi="宋体" w:hint="eastAsia"/>
          <w:spacing w:val="8"/>
          <w:sz w:val="28"/>
          <w:szCs w:val="28"/>
        </w:rPr>
        <w:t>的储水池（原农灌水池），以远是一片长满小松树的山丘及2160m外的小井湾村；其南面临一便道（规划为开发区内的一条大道），以远是待开发的山坡，在坡顶有一4000m</w:t>
      </w:r>
      <w:r>
        <w:rPr>
          <w:rFonts w:ascii="宋体" w:hAnsi="宋体" w:hint="eastAsia"/>
          <w:spacing w:val="8"/>
          <w:sz w:val="28"/>
          <w:szCs w:val="28"/>
          <w:vertAlign w:val="superscript"/>
        </w:rPr>
        <w:t>3</w:t>
      </w:r>
      <w:r>
        <w:rPr>
          <w:rFonts w:ascii="宋体" w:hAnsi="宋体" w:hint="eastAsia"/>
          <w:spacing w:val="8"/>
          <w:sz w:val="28"/>
          <w:szCs w:val="28"/>
        </w:rPr>
        <w:t>的储水池（原农灌水池），坡后是一正在开发的“淮海机械厂及今飞汽车轮箍制造厂”;西面是坡地，为工业园待开发的旱地。</w:t>
      </w:r>
    </w:p>
    <w:p w:rsidR="00943E55" w:rsidRDefault="00943E55" w:rsidP="00943E55">
      <w:pPr>
        <w:ind w:firstLine="592"/>
        <w:rPr>
          <w:rFonts w:ascii="宋体" w:hAnsi="宋体" w:hint="eastAsia"/>
          <w:spacing w:val="8"/>
          <w:sz w:val="28"/>
          <w:szCs w:val="28"/>
        </w:rPr>
      </w:pPr>
      <w:r>
        <w:rPr>
          <w:rFonts w:ascii="宋体" w:hAnsi="宋体" w:hint="eastAsia"/>
          <w:spacing w:val="8"/>
          <w:sz w:val="28"/>
          <w:szCs w:val="28"/>
        </w:rPr>
        <w:t>站址场地属山地斜坡地貌，北低南高，最高处位于南部布置辅助用房一带，海拔高程2125.00m,最低处位于储罐布置处，海拔高程2117.00m。北部与云铝集团泽鑫铝业有限公司之间有一低地，最低海拔高程2095.0m，接近门站场地的标高为2107.0m,门站场地边标高为2114.2m，建设时可采用挡墙保持用地的安全。</w:t>
      </w:r>
    </w:p>
    <w:p w:rsidR="00943E55" w:rsidRDefault="00943E55" w:rsidP="00943E55">
      <w:pPr>
        <w:ind w:firstLine="592"/>
        <w:rPr>
          <w:rFonts w:ascii="宋体" w:hAnsi="宋体" w:hint="eastAsia"/>
          <w:spacing w:val="8"/>
          <w:sz w:val="28"/>
          <w:szCs w:val="28"/>
        </w:rPr>
      </w:pPr>
      <w:r>
        <w:rPr>
          <w:rFonts w:ascii="宋体" w:hAnsi="宋体" w:hint="eastAsia"/>
          <w:spacing w:val="8"/>
          <w:sz w:val="28"/>
          <w:szCs w:val="28"/>
        </w:rPr>
        <w:t>富源华昊能源开发有限公司LNG气化站周围500范围内无湖泊、风景名胜区和自然保护区，无供水水源、及水源保护区，无</w:t>
      </w:r>
      <w:r>
        <w:rPr>
          <w:rFonts w:ascii="宋体" w:hAnsi="宋体" w:hint="eastAsia"/>
          <w:spacing w:val="8"/>
          <w:sz w:val="28"/>
          <w:szCs w:val="28"/>
        </w:rPr>
        <w:lastRenderedPageBreak/>
        <w:t>《工业企业总平面设计规范》等法律、法规规定予保护的其他区域。评价项目设施与站外设施的安全距离符合《城镇燃气设计规范》（GB50028-2006）及《石油天然气工程设计防火规范》（GB5083-2015）的要求。</w:t>
      </w:r>
    </w:p>
    <w:p w:rsidR="00CF0B13" w:rsidRDefault="00CF0B13" w:rsidP="00943E55">
      <w:pPr>
        <w:ind w:firstLine="420"/>
      </w:pPr>
    </w:p>
    <w:sectPr w:rsidR="00CF0B13" w:rsidSect="00CF0B1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Raavi">
    <w:panose1 w:val="020B0502040204020203"/>
    <w:charset w:val="00"/>
    <w:family w:val="swiss"/>
    <w:pitch w:val="variable"/>
    <w:sig w:usb0="0002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4F7897"/>
    <w:multiLevelType w:val="multilevel"/>
    <w:tmpl w:val="174F7897"/>
    <w:lvl w:ilvl="0">
      <w:start w:val="1"/>
      <w:numFmt w:val="decimal"/>
      <w:lvlText w:val="图2-%1"/>
      <w:lvlJc w:val="left"/>
      <w:pPr>
        <w:tabs>
          <w:tab w:val="num" w:pos="980"/>
        </w:tabs>
        <w:ind w:left="98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43E55"/>
    <w:rsid w:val="00943E55"/>
    <w:rsid w:val="00AB3C4D"/>
    <w:rsid w:val="00CF0B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3E55"/>
    <w:pPr>
      <w:widowControl w:val="0"/>
      <w:spacing w:line="360" w:lineRule="auto"/>
      <w:ind w:firstLineChars="200" w:firstLine="200"/>
      <w:jc w:val="both"/>
    </w:pPr>
    <w:rPr>
      <w:rFonts w:ascii="Calibri" w:eastAsia="宋体" w:hAnsi="Calibri" w:cs="Times New Roman"/>
    </w:rPr>
  </w:style>
  <w:style w:type="paragraph" w:styleId="3">
    <w:name w:val="heading 3"/>
    <w:basedOn w:val="a"/>
    <w:next w:val="a"/>
    <w:link w:val="3Char"/>
    <w:qFormat/>
    <w:rsid w:val="00943E55"/>
    <w:pPr>
      <w:keepNext/>
      <w:keepLines/>
      <w:spacing w:before="120" w:after="120" w:line="415" w:lineRule="auto"/>
      <w:ind w:firstLineChars="98" w:firstLine="275"/>
      <w:jc w:val="left"/>
      <w:outlineLvl w:val="2"/>
    </w:pPr>
    <w:rPr>
      <w:rFonts w:ascii="黑体" w:eastAsia="黑体" w:hAnsi="黑体"/>
      <w:b/>
      <w:bCs/>
      <w:snapToGrid w:val="0"/>
      <w:kern w:val="0"/>
      <w:sz w:val="28"/>
      <w:szCs w:val="32"/>
    </w:rPr>
  </w:style>
  <w:style w:type="paragraph" w:styleId="4">
    <w:name w:val="heading 4"/>
    <w:basedOn w:val="a"/>
    <w:next w:val="a"/>
    <w:link w:val="4Char"/>
    <w:qFormat/>
    <w:rsid w:val="00943E55"/>
    <w:pPr>
      <w:keepNext/>
      <w:keepLines/>
      <w:outlineLvl w:val="3"/>
    </w:pPr>
    <w:rPr>
      <w:rFonts w:ascii="Raavi" w:hAnsi="Raav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qFormat/>
    <w:rsid w:val="00943E55"/>
    <w:rPr>
      <w:rFonts w:ascii="黑体" w:eastAsia="黑体" w:hAnsi="黑体" w:cs="Times New Roman"/>
      <w:b/>
      <w:bCs/>
      <w:snapToGrid w:val="0"/>
      <w:kern w:val="0"/>
      <w:sz w:val="28"/>
      <w:szCs w:val="32"/>
    </w:rPr>
  </w:style>
  <w:style w:type="character" w:customStyle="1" w:styleId="4Char">
    <w:name w:val="标题 4 Char"/>
    <w:basedOn w:val="a0"/>
    <w:link w:val="4"/>
    <w:rsid w:val="00943E55"/>
    <w:rPr>
      <w:rFonts w:ascii="Raavi" w:eastAsia="宋体" w:hAnsi="Raavi" w:cs="Times New Roman"/>
      <w:b/>
      <w:bCs/>
      <w:sz w:val="28"/>
      <w:szCs w:val="28"/>
    </w:rPr>
  </w:style>
  <w:style w:type="paragraph" w:styleId="a3">
    <w:name w:val="Normal Indent"/>
    <w:basedOn w:val="a"/>
    <w:qFormat/>
    <w:rsid w:val="00943E55"/>
    <w:pPr>
      <w:widowControl/>
      <w:ind w:firstLine="420"/>
      <w:jc w:val="left"/>
    </w:pPr>
    <w:rPr>
      <w:kern w:val="0"/>
      <w:sz w:val="20"/>
      <w:szCs w:val="20"/>
    </w:rPr>
  </w:style>
  <w:style w:type="paragraph" w:customStyle="1" w:styleId="15">
    <w:name w:val="样式 四号 行距: 1.5 倍行距"/>
    <w:basedOn w:val="a"/>
    <w:qFormat/>
    <w:rsid w:val="00943E55"/>
    <w:pPr>
      <w:snapToGrid w:val="0"/>
    </w:pPr>
    <w:rPr>
      <w:rFonts w:cs="宋体"/>
      <w:sz w:val="28"/>
    </w:rPr>
  </w:style>
  <w:style w:type="paragraph" w:styleId="a4">
    <w:name w:val="Balloon Text"/>
    <w:basedOn w:val="a"/>
    <w:link w:val="Char"/>
    <w:uiPriority w:val="99"/>
    <w:semiHidden/>
    <w:unhideWhenUsed/>
    <w:rsid w:val="00943E55"/>
    <w:pPr>
      <w:spacing w:line="240" w:lineRule="auto"/>
    </w:pPr>
    <w:rPr>
      <w:sz w:val="18"/>
      <w:szCs w:val="18"/>
    </w:rPr>
  </w:style>
  <w:style w:type="character" w:customStyle="1" w:styleId="Char">
    <w:name w:val="批注框文本 Char"/>
    <w:basedOn w:val="a0"/>
    <w:link w:val="a4"/>
    <w:uiPriority w:val="99"/>
    <w:semiHidden/>
    <w:rsid w:val="00943E55"/>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242</Words>
  <Characters>1380</Characters>
  <Application>Microsoft Office Word</Application>
  <DocSecurity>0</DocSecurity>
  <Lines>11</Lines>
  <Paragraphs>3</Paragraphs>
  <ScaleCrop>false</ScaleCrop>
  <Company/>
  <LinksUpToDate>false</LinksUpToDate>
  <CharactersWithSpaces>1619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2022-01-14T05:06:00Z</dcterms:created>
  <dcterms:modified xsi:type="dcterms:W3CDTF">2022-01-14T05:07:00Z</dcterms:modified>
</cp:coreProperties>
</file>